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34BF5AB9" w14:textId="77777777" w:rsidTr="00F363FE">
        <w:tc>
          <w:tcPr>
            <w:tcW w:w="6512" w:type="dxa"/>
          </w:tcPr>
          <w:p w14:paraId="38826C8C" w14:textId="3529B85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A2EC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A2ECA">
              <w:rPr>
                <w:b/>
                <w:bCs/>
                <w:lang w:bidi="ar-EG"/>
              </w:rPr>
              <w:t>PL 3</w:t>
            </w:r>
          </w:p>
        </w:tc>
        <w:tc>
          <w:tcPr>
            <w:tcW w:w="3117" w:type="dxa"/>
          </w:tcPr>
          <w:p w14:paraId="7E8AFAAA" w14:textId="3065862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1A2ECA">
              <w:rPr>
                <w:b/>
                <w:bCs/>
                <w:lang w:bidi="ar-EG"/>
              </w:rPr>
              <w:t>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EBD9F59" w14:textId="77777777" w:rsidTr="00F363FE">
        <w:tc>
          <w:tcPr>
            <w:tcW w:w="6512" w:type="dxa"/>
          </w:tcPr>
          <w:p w14:paraId="2C08349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1D54B7B" w14:textId="178CA034" w:rsidR="007B0AA0" w:rsidRPr="007B0AA0" w:rsidRDefault="00CC7B9D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مايو</w:t>
            </w:r>
            <w:r w:rsidR="001A2ECA">
              <w:rPr>
                <w:rFonts w:hint="cs"/>
                <w:b/>
                <w:bCs/>
                <w:rtl/>
              </w:rPr>
              <w:t>‏ 2025</w:t>
            </w:r>
          </w:p>
        </w:tc>
      </w:tr>
      <w:tr w:rsidR="007B0AA0" w14:paraId="75FF31B2" w14:textId="77777777" w:rsidTr="00F363FE">
        <w:tc>
          <w:tcPr>
            <w:tcW w:w="6512" w:type="dxa"/>
          </w:tcPr>
          <w:p w14:paraId="4B97083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C236C50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B668919" w14:textId="77777777" w:rsidTr="00F363FE">
        <w:tc>
          <w:tcPr>
            <w:tcW w:w="6512" w:type="dxa"/>
          </w:tcPr>
          <w:p w14:paraId="5A226496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479B01F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925422A" w14:textId="77777777" w:rsidTr="00EE7446">
        <w:tc>
          <w:tcPr>
            <w:tcW w:w="9629" w:type="dxa"/>
            <w:gridSpan w:val="2"/>
          </w:tcPr>
          <w:p w14:paraId="27A67D65" w14:textId="77777777" w:rsidR="007B0AA0" w:rsidRDefault="001D64C7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66CB704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568211E" w14:textId="3B41825F" w:rsidR="007B0AA0" w:rsidRPr="001A2ECA" w:rsidRDefault="001A2ECA" w:rsidP="001A2ECA">
            <w:pPr>
              <w:pStyle w:val="Subtitle0"/>
            </w:pPr>
            <w:r w:rsidRPr="001A2ECA">
              <w:rPr>
                <w:rtl/>
              </w:rPr>
              <w:t>قرارات المجلس ومقرراته التي انتهى مفعولها</w:t>
            </w:r>
          </w:p>
        </w:tc>
      </w:tr>
      <w:tr w:rsidR="007B0AA0" w14:paraId="7D5DA37A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E978D" w14:textId="16BC690C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028D490" w14:textId="61A4F0BF" w:rsidR="007B0AA0" w:rsidRPr="00853D8C" w:rsidRDefault="001A2ECA" w:rsidP="001A2ECA">
            <w:pPr>
              <w:rPr>
                <w:spacing w:val="-4"/>
                <w:rtl/>
                <w:lang w:bidi="ar-EG"/>
              </w:rPr>
            </w:pPr>
            <w:r w:rsidRPr="00853D8C">
              <w:rPr>
                <w:spacing w:val="-4"/>
                <w:rtl/>
              </w:rPr>
              <w:t>بعد كل دورة عادية من دورات مجلس</w:t>
            </w:r>
            <w:r w:rsidRPr="00853D8C">
              <w:rPr>
                <w:spacing w:val="-4"/>
                <w:rtl/>
                <w:lang w:bidi="ar-EG"/>
              </w:rPr>
              <w:t xml:space="preserve"> الاتحاد</w:t>
            </w:r>
            <w:r w:rsidRPr="00853D8C">
              <w:rPr>
                <w:spacing w:val="-4"/>
                <w:rtl/>
              </w:rPr>
              <w:t>، تُلغى القرارات والمقررات التي تم تنفيذها أو انتهى مفعولها، وبالتالي تُحذَف من مجلد القرارات والمقررات الصادرة عن المجلس.</w:t>
            </w:r>
          </w:p>
          <w:p w14:paraId="496F7812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45E299F" w14:textId="217F1FBA" w:rsidR="007B0AA0" w:rsidRDefault="001A2ECA" w:rsidP="007B0AA0">
            <w:pPr>
              <w:rPr>
                <w:rtl/>
              </w:rPr>
            </w:pPr>
            <w:r w:rsidRPr="00454B8E">
              <w:rPr>
                <w:spacing w:val="-2"/>
                <w:rtl/>
              </w:rPr>
              <w:t xml:space="preserve">يُرجى من المجلس </w:t>
            </w:r>
            <w:r w:rsidRPr="00454B8E">
              <w:rPr>
                <w:b/>
                <w:bCs/>
                <w:spacing w:val="-2"/>
                <w:rtl/>
              </w:rPr>
              <w:t>النظر</w:t>
            </w:r>
            <w:r w:rsidRPr="00454B8E">
              <w:rPr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في ال</w:t>
            </w:r>
            <w:r w:rsidRPr="00454B8E">
              <w:rPr>
                <w:spacing w:val="-2"/>
                <w:rtl/>
              </w:rPr>
              <w:t>قائمة</w:t>
            </w:r>
            <w:r w:rsidRPr="00454B8E">
              <w:rPr>
                <w:rFonts w:hint="cs"/>
                <w:spacing w:val="-2"/>
                <w:rtl/>
              </w:rPr>
              <w:t xml:space="preserve"> المقترحة</w:t>
            </w:r>
            <w:r w:rsidRPr="00454B8E">
              <w:rPr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ل</w:t>
            </w:r>
            <w:r w:rsidRPr="00454B8E">
              <w:rPr>
                <w:spacing w:val="-2"/>
                <w:rtl/>
              </w:rPr>
              <w:t xml:space="preserve">لقرارات والمقرّرات التي ينبغي إلغاؤها وبالتالي حذفها من المجلد، </w:t>
            </w:r>
            <w:r w:rsidRPr="00454B8E">
              <w:rPr>
                <w:b/>
                <w:bCs/>
                <w:spacing w:val="-2"/>
                <w:rtl/>
              </w:rPr>
              <w:t>وإقرار</w:t>
            </w:r>
            <w:r w:rsidRPr="00454B8E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Pr="00454B8E">
              <w:rPr>
                <w:rFonts w:hint="cs"/>
                <w:spacing w:val="-2"/>
                <w:rtl/>
              </w:rPr>
              <w:t>القائمة</w:t>
            </w:r>
            <w:r w:rsidRPr="00454B8E">
              <w:rPr>
                <w:spacing w:val="-2"/>
                <w:rtl/>
              </w:rPr>
              <w:t>.</w:t>
            </w:r>
          </w:p>
          <w:p w14:paraId="3B6FA5DC" w14:textId="61203304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453AAE61" w14:textId="36F3FA7E" w:rsidR="007B0AA0" w:rsidRDefault="001A2ECA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لا تنطبق.</w:t>
            </w:r>
          </w:p>
          <w:p w14:paraId="7740A7AF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066DECB9" w14:textId="7DF02AA0" w:rsidR="006F363C" w:rsidRPr="005546CF" w:rsidRDefault="001A2ECA" w:rsidP="007B0AA0">
            <w:pPr>
              <w:rPr>
                <w:rtl/>
              </w:rPr>
            </w:pPr>
            <w:r w:rsidRPr="00EF7326">
              <w:rPr>
                <w:b/>
                <w:rtl/>
              </w:rPr>
              <w:t>ضمن الميزانية المخصصة</w:t>
            </w:r>
            <w:r>
              <w:rPr>
                <w:rFonts w:hint="cs"/>
                <w:b/>
                <w:rtl/>
              </w:rPr>
              <w:t xml:space="preserve"> للفترة</w:t>
            </w:r>
            <w:r w:rsidRPr="00EF7326">
              <w:rPr>
                <w:b/>
                <w:rtl/>
              </w:rPr>
              <w:t xml:space="preserve"> 2024-2025</w:t>
            </w:r>
            <w:r>
              <w:rPr>
                <w:rFonts w:hint="cs"/>
                <w:b/>
                <w:rtl/>
              </w:rPr>
              <w:t>.</w:t>
            </w:r>
          </w:p>
          <w:p w14:paraId="421F2A55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0A7D067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0F2CAE0" w14:textId="4771F9F5" w:rsidR="007B0AA0" w:rsidRPr="00CC7B9D" w:rsidRDefault="00971C76" w:rsidP="00853D8C">
            <w:pPr>
              <w:spacing w:after="120"/>
              <w:rPr>
                <w:i/>
                <w:iCs/>
                <w:u w:val="single"/>
                <w:rtl/>
              </w:rPr>
            </w:pPr>
            <w:hyperlink r:id="rId8" w:history="1">
              <w:r w:rsidRPr="00CC7B9D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u w:val="single"/>
                  <w:rtl/>
                  <w:lang w:val="en-US" w:eastAsia="zh-CN"/>
                </w:rPr>
                <w:t>قرارات ومقررات المجلس (2024)</w:t>
              </w:r>
            </w:hyperlink>
          </w:p>
        </w:tc>
      </w:tr>
    </w:tbl>
    <w:p w14:paraId="44D0EE92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A42E8E6" w14:textId="77777777" w:rsidR="001A2ECA" w:rsidRDefault="001A2ECA" w:rsidP="001A2ECA">
      <w:pPr>
        <w:pStyle w:val="Heading1"/>
        <w:spacing w:after="120"/>
        <w:rPr>
          <w:rtl/>
          <w:lang w:bidi="ar-EG"/>
        </w:rPr>
      </w:pPr>
      <w:r w:rsidRPr="000F7331">
        <w:rPr>
          <w:rtl/>
        </w:rPr>
        <w:lastRenderedPageBreak/>
        <w:t>القرارات والمقررات التي ينبغي إلغاؤها</w:t>
      </w:r>
    </w:p>
    <w:tbl>
      <w:tblPr>
        <w:bidiVisual/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747"/>
        <w:gridCol w:w="1351"/>
        <w:gridCol w:w="6943"/>
      </w:tblGrid>
      <w:tr w:rsidR="001A2ECA" w:rsidRPr="00F30F47" w14:paraId="41F97049" w14:textId="77777777" w:rsidTr="00E91FD0">
        <w:trPr>
          <w:tblHeader/>
          <w:jc w:val="center"/>
        </w:trPr>
        <w:tc>
          <w:tcPr>
            <w:tcW w:w="413" w:type="pct"/>
            <w:shd w:val="clear" w:color="auto" w:fill="009CD6"/>
          </w:tcPr>
          <w:p w14:paraId="43ED86D0" w14:textId="77777777" w:rsidR="001A2ECA" w:rsidRPr="00F30F47" w:rsidRDefault="001A2ECA" w:rsidP="00695FEC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القسم</w:t>
            </w:r>
          </w:p>
        </w:tc>
        <w:tc>
          <w:tcPr>
            <w:tcW w:w="747" w:type="pct"/>
            <w:shd w:val="clear" w:color="auto" w:fill="009CD6"/>
          </w:tcPr>
          <w:p w14:paraId="0A59A971" w14:textId="77777777" w:rsidR="001A2ECA" w:rsidRPr="00F30F47" w:rsidRDefault="001A2ECA" w:rsidP="00695FEC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القرار/المقرر</w:t>
            </w:r>
          </w:p>
        </w:tc>
        <w:tc>
          <w:tcPr>
            <w:tcW w:w="3840" w:type="pct"/>
            <w:shd w:val="clear" w:color="auto" w:fill="009CD6"/>
          </w:tcPr>
          <w:p w14:paraId="2CC5F94B" w14:textId="77777777" w:rsidR="001A2ECA" w:rsidRPr="00F30F47" w:rsidRDefault="001A2ECA" w:rsidP="00695FEC">
            <w:pPr>
              <w:tabs>
                <w:tab w:val="clear" w:pos="794"/>
              </w:tabs>
              <w:spacing w:after="120" w:line="300" w:lineRule="exact"/>
              <w:jc w:val="left"/>
              <w:rPr>
                <w:rFonts w:eastAsia="Times New Roman"/>
                <w:bCs/>
                <w:color w:val="FFFFFF"/>
                <w:position w:val="2"/>
                <w:lang w:eastAsia="en-US"/>
              </w:rPr>
            </w:pPr>
            <w:r w:rsidRPr="00F30F47">
              <w:rPr>
                <w:rFonts w:eastAsia="Times New Roman"/>
                <w:bCs/>
                <w:color w:val="FFFFFF"/>
                <w:position w:val="2"/>
                <w:rtl/>
                <w:lang w:eastAsia="en-US"/>
              </w:rPr>
              <w:t>العنوان</w:t>
            </w:r>
          </w:p>
        </w:tc>
      </w:tr>
      <w:tr w:rsidR="001A2ECA" w:rsidRPr="00F30F47" w14:paraId="671468C3" w14:textId="77777777" w:rsidTr="00E91FD0">
        <w:trPr>
          <w:jc w:val="center"/>
        </w:trPr>
        <w:tc>
          <w:tcPr>
            <w:tcW w:w="413" w:type="pct"/>
            <w:shd w:val="clear" w:color="auto" w:fill="FFFFFF"/>
          </w:tcPr>
          <w:p w14:paraId="195589A6" w14:textId="77777777" w:rsidR="001A2ECA" w:rsidRPr="00853D8C" w:rsidRDefault="001A2ECA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</w:pPr>
            <w:r w:rsidRPr="00853D8C">
              <w:rPr>
                <w:rFonts w:eastAsia="Times New Roman"/>
                <w:color w:val="A6A6A6" w:themeColor="background1" w:themeShade="A6"/>
                <w:position w:val="2"/>
                <w:lang w:eastAsia="en-US"/>
              </w:rPr>
              <w:t>1</w:t>
            </w:r>
            <w:r w:rsidRPr="00853D8C"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  <w:t>.1</w:t>
            </w:r>
          </w:p>
        </w:tc>
        <w:tc>
          <w:tcPr>
            <w:tcW w:w="747" w:type="pct"/>
            <w:shd w:val="clear" w:color="auto" w:fill="FFFFFF"/>
          </w:tcPr>
          <w:p w14:paraId="018E52B7" w14:textId="5E8B23DA" w:rsidR="001A2ECA" w:rsidRPr="00DC6021" w:rsidRDefault="001A2ECA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r>
              <w:rPr>
                <w:rFonts w:hint="cs"/>
                <w:b/>
                <w:bCs/>
                <w:color w:val="595959" w:themeColor="text1" w:themeTint="A6"/>
                <w:rtl/>
              </w:rPr>
              <w:t xml:space="preserve">القرار </w:t>
            </w:r>
            <w:r w:rsidRPr="005D5135">
              <w:rPr>
                <w:b/>
                <w:bCs/>
                <w:color w:val="595959" w:themeColor="text1" w:themeTint="A6"/>
              </w:rPr>
              <w:t>1405</w:t>
            </w:r>
          </w:p>
        </w:tc>
        <w:tc>
          <w:tcPr>
            <w:tcW w:w="3840" w:type="pct"/>
            <w:shd w:val="clear" w:color="auto" w:fill="FFFFFF"/>
          </w:tcPr>
          <w:p w14:paraId="4C07ECCE" w14:textId="77777777" w:rsidR="001A2ECA" w:rsidRPr="00853D8C" w:rsidRDefault="001A2ECA" w:rsidP="00695FEC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color w:val="595959" w:themeColor="text1" w:themeTint="A6"/>
                <w:position w:val="2"/>
                <w:lang w:val="en-GB" w:eastAsia="en-US"/>
              </w:rPr>
            </w:pP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 xml:space="preserve">‏ميزانية الاتحاد الدولي للاتصالات لفترة السنتين 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cs/>
                <w:lang w:val="en-GB" w:eastAsia="en-US"/>
              </w:rPr>
              <w:t>‎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lang w:val="en-GB" w:eastAsia="en-US"/>
              </w:rPr>
              <w:t>2023-2022</w:t>
            </w:r>
          </w:p>
        </w:tc>
      </w:tr>
      <w:tr w:rsidR="001A2ECA" w:rsidRPr="00F30F47" w14:paraId="48E92921" w14:textId="77777777" w:rsidTr="00E91FD0">
        <w:trPr>
          <w:jc w:val="center"/>
        </w:trPr>
        <w:tc>
          <w:tcPr>
            <w:tcW w:w="413" w:type="pct"/>
            <w:shd w:val="clear" w:color="auto" w:fill="FFFFFF"/>
          </w:tcPr>
          <w:p w14:paraId="0A2E2E93" w14:textId="6E3335AC" w:rsidR="001A2ECA" w:rsidRPr="00853D8C" w:rsidRDefault="0045272F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</w:pPr>
            <w:r w:rsidRPr="00853D8C"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  <w:t>2.1</w:t>
            </w:r>
          </w:p>
        </w:tc>
        <w:tc>
          <w:tcPr>
            <w:tcW w:w="747" w:type="pct"/>
            <w:shd w:val="clear" w:color="auto" w:fill="FFFFFF"/>
          </w:tcPr>
          <w:p w14:paraId="28BD8124" w14:textId="7C1A3BE2" w:rsidR="001A2ECA" w:rsidRPr="00DC6021" w:rsidRDefault="001A2ECA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r>
              <w:rPr>
                <w:rFonts w:hint="cs"/>
                <w:b/>
                <w:bCs/>
                <w:color w:val="595959" w:themeColor="text1" w:themeTint="A6"/>
                <w:rtl/>
              </w:rPr>
              <w:t xml:space="preserve">المقرر </w:t>
            </w:r>
            <w:r w:rsidRPr="005D5135">
              <w:rPr>
                <w:b/>
                <w:bCs/>
                <w:color w:val="595959" w:themeColor="text1" w:themeTint="A6"/>
              </w:rPr>
              <w:t>639</w:t>
            </w:r>
          </w:p>
        </w:tc>
        <w:tc>
          <w:tcPr>
            <w:tcW w:w="3840" w:type="pct"/>
            <w:shd w:val="clear" w:color="auto" w:fill="FFFFFF"/>
          </w:tcPr>
          <w:p w14:paraId="09101458" w14:textId="77777777" w:rsidR="001A2ECA" w:rsidRPr="00853D8C" w:rsidRDefault="001A2ECA" w:rsidP="00695FEC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color w:val="595959" w:themeColor="text1" w:themeTint="A6"/>
                <w:position w:val="2"/>
                <w:lang w:val="en-GB" w:eastAsia="en-US"/>
              </w:rPr>
            </w:pPr>
            <w:bookmarkStart w:id="0" w:name="_Toc119589722"/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>إلغاء الفوائد على المتأخرات والديون غير القابلة للاسترداد</w:t>
            </w:r>
            <w:bookmarkEnd w:id="0"/>
          </w:p>
        </w:tc>
      </w:tr>
      <w:tr w:rsidR="001A2ECA" w:rsidRPr="00F30F47" w14:paraId="19128385" w14:textId="77777777" w:rsidTr="00E91FD0">
        <w:trPr>
          <w:jc w:val="center"/>
        </w:trPr>
        <w:tc>
          <w:tcPr>
            <w:tcW w:w="413" w:type="pct"/>
            <w:shd w:val="clear" w:color="auto" w:fill="FFFFFF"/>
          </w:tcPr>
          <w:p w14:paraId="33DBBF2D" w14:textId="2AB20820" w:rsidR="001A2ECA" w:rsidRPr="00853D8C" w:rsidRDefault="0045272F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</w:pPr>
            <w:r w:rsidRPr="00853D8C"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  <w:t>1.2</w:t>
            </w:r>
          </w:p>
        </w:tc>
        <w:tc>
          <w:tcPr>
            <w:tcW w:w="747" w:type="pct"/>
            <w:shd w:val="clear" w:color="auto" w:fill="FFFFFF"/>
          </w:tcPr>
          <w:p w14:paraId="1041FDF6" w14:textId="51B3F93D" w:rsidR="001A2ECA" w:rsidRPr="00DC6021" w:rsidRDefault="001A2ECA" w:rsidP="00695FEC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b/>
                <w:bCs/>
                <w:position w:val="2"/>
                <w:rtl/>
                <w:lang w:eastAsia="en-US" w:bidi="ar-EG"/>
              </w:rPr>
            </w:pPr>
            <w:r w:rsidRPr="00853D8C">
              <w:rPr>
                <w:rFonts w:hint="eastAsia"/>
                <w:b/>
                <w:bCs/>
                <w:color w:val="595959" w:themeColor="text1" w:themeTint="A6"/>
                <w:rtl/>
              </w:rPr>
              <w:t>القرار</w:t>
            </w:r>
            <w:r w:rsidRPr="00853D8C">
              <w:rPr>
                <w:b/>
                <w:bCs/>
                <w:color w:val="595959" w:themeColor="text1" w:themeTint="A6"/>
                <w:rtl/>
              </w:rPr>
              <w:t xml:space="preserve"> </w:t>
            </w:r>
            <w:r w:rsidRPr="00853D8C">
              <w:rPr>
                <w:b/>
                <w:bCs/>
                <w:color w:val="595959" w:themeColor="text1" w:themeTint="A6"/>
              </w:rPr>
              <w:t>1425</w:t>
            </w:r>
            <w:r w:rsidRPr="00853D8C">
              <w:rPr>
                <w:rStyle w:val="FootnoteReference"/>
                <w:rFonts w:eastAsia="Times New Roman"/>
                <w:b/>
                <w:bCs/>
                <w:color w:val="595959" w:themeColor="text1" w:themeTint="A6"/>
                <w:rtl/>
                <w:lang w:eastAsia="en-US"/>
              </w:rPr>
              <w:footnoteReference w:id="1"/>
            </w:r>
          </w:p>
        </w:tc>
        <w:tc>
          <w:tcPr>
            <w:tcW w:w="3840" w:type="pct"/>
            <w:shd w:val="clear" w:color="auto" w:fill="FFFFFF"/>
          </w:tcPr>
          <w:p w14:paraId="4EB88D53" w14:textId="77777777" w:rsidR="001A2ECA" w:rsidRPr="00853D8C" w:rsidRDefault="001A2ECA" w:rsidP="00695FEC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color w:val="595959" w:themeColor="text1" w:themeTint="A6"/>
                <w:position w:val="2"/>
                <w:lang w:val="en-GB" w:eastAsia="en-US"/>
              </w:rPr>
            </w:pP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>شروط خدمة الموظفين المنتخبين في الاتحاد</w:t>
            </w:r>
          </w:p>
        </w:tc>
      </w:tr>
      <w:tr w:rsidR="001A2ECA" w:rsidRPr="00F30F47" w14:paraId="684B55A5" w14:textId="77777777" w:rsidTr="00E91FD0">
        <w:trPr>
          <w:jc w:val="center"/>
        </w:trPr>
        <w:tc>
          <w:tcPr>
            <w:tcW w:w="413" w:type="pct"/>
            <w:shd w:val="clear" w:color="auto" w:fill="FFFFFF"/>
          </w:tcPr>
          <w:p w14:paraId="764C3B09" w14:textId="59ADE6D5" w:rsidR="001A2ECA" w:rsidRPr="00853D8C" w:rsidRDefault="0045272F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color w:val="A6A6A6" w:themeColor="background1" w:themeShade="A6"/>
                <w:position w:val="2"/>
                <w:rtl/>
                <w:lang w:val="en-GB" w:eastAsia="en-US" w:bidi="ar-EG"/>
              </w:rPr>
            </w:pPr>
            <w:r w:rsidRPr="00853D8C"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  <w:t>2.2</w:t>
            </w:r>
          </w:p>
        </w:tc>
        <w:tc>
          <w:tcPr>
            <w:tcW w:w="747" w:type="pct"/>
            <w:shd w:val="clear" w:color="auto" w:fill="FFFFFF"/>
          </w:tcPr>
          <w:p w14:paraId="6581D189" w14:textId="3BC42D22" w:rsidR="001A2ECA" w:rsidRPr="00DC6021" w:rsidRDefault="001A2ECA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r>
              <w:rPr>
                <w:rFonts w:hint="cs"/>
                <w:b/>
                <w:bCs/>
                <w:color w:val="595959" w:themeColor="text1" w:themeTint="A6"/>
                <w:rtl/>
              </w:rPr>
              <w:t xml:space="preserve">المقرر </w:t>
            </w:r>
            <w:r w:rsidRPr="005D5135">
              <w:rPr>
                <w:b/>
                <w:bCs/>
                <w:color w:val="595959" w:themeColor="text1" w:themeTint="A6"/>
              </w:rPr>
              <w:t>582</w:t>
            </w:r>
            <w:r w:rsidR="00CC7B9D" w:rsidRPr="00CC7B9D">
              <w:rPr>
                <w:rFonts w:hint="cs"/>
                <w:b/>
                <w:bCs/>
                <w:color w:val="595959" w:themeColor="text1" w:themeTint="A6"/>
                <w:sz w:val="2"/>
                <w:szCs w:val="2"/>
                <w:rtl/>
              </w:rPr>
              <w:t> </w:t>
            </w:r>
            <w:r w:rsidR="00CC7B9D">
              <w:rPr>
                <w:rStyle w:val="FootnoteReference"/>
                <w:b/>
                <w:bCs/>
                <w:color w:val="595959" w:themeColor="text1" w:themeTint="A6"/>
              </w:rPr>
              <w:footnoteReference w:id="2"/>
            </w:r>
          </w:p>
        </w:tc>
        <w:tc>
          <w:tcPr>
            <w:tcW w:w="3840" w:type="pct"/>
            <w:shd w:val="clear" w:color="auto" w:fill="FFFFFF"/>
          </w:tcPr>
          <w:p w14:paraId="40506BFB" w14:textId="77777777" w:rsidR="001A2ECA" w:rsidRPr="00853D8C" w:rsidRDefault="001A2ECA" w:rsidP="00695FEC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color w:val="595959" w:themeColor="text1" w:themeTint="A6"/>
                <w:position w:val="2"/>
                <w:lang w:val="en-GB" w:eastAsia="en-US"/>
              </w:rPr>
            </w:pP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>برنامج إنهاء الخدمة الطوعي والتقاعد المبكر</w:t>
            </w:r>
          </w:p>
        </w:tc>
      </w:tr>
      <w:tr w:rsidR="001A2ECA" w:rsidRPr="00F30F47" w14:paraId="44E74894" w14:textId="77777777" w:rsidTr="00E91FD0">
        <w:trPr>
          <w:jc w:val="center"/>
        </w:trPr>
        <w:tc>
          <w:tcPr>
            <w:tcW w:w="413" w:type="pct"/>
            <w:shd w:val="clear" w:color="auto" w:fill="FFFFFF"/>
          </w:tcPr>
          <w:p w14:paraId="525E91E6" w14:textId="43F195FF" w:rsidR="001A2ECA" w:rsidRPr="00853D8C" w:rsidRDefault="0045272F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</w:pPr>
            <w:r w:rsidRPr="00853D8C"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  <w:t>2.3</w:t>
            </w:r>
          </w:p>
        </w:tc>
        <w:tc>
          <w:tcPr>
            <w:tcW w:w="747" w:type="pct"/>
            <w:shd w:val="clear" w:color="auto" w:fill="FFFFFF"/>
          </w:tcPr>
          <w:p w14:paraId="110FF7F4" w14:textId="6605B63D" w:rsidR="001A2ECA" w:rsidRPr="00DC6021" w:rsidRDefault="001A2ECA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53D8C">
              <w:rPr>
                <w:rFonts w:eastAsia="Times New Roman" w:hint="eastAsia"/>
                <w:b/>
                <w:bCs/>
                <w:color w:val="595959" w:themeColor="text1" w:themeTint="A6"/>
                <w:position w:val="2"/>
                <w:rtl/>
                <w:lang w:eastAsia="en-US"/>
              </w:rPr>
              <w:t>المقرر</w:t>
            </w:r>
            <w:r w:rsidRPr="00853D8C">
              <w:rPr>
                <w:rFonts w:eastAsia="Times New Roman"/>
                <w:b/>
                <w:bCs/>
                <w:color w:val="595959" w:themeColor="text1" w:themeTint="A6"/>
                <w:position w:val="2"/>
                <w:rtl/>
                <w:lang w:eastAsia="en-US"/>
              </w:rPr>
              <w:t xml:space="preserve"> </w:t>
            </w:r>
            <w:r w:rsidRPr="00853D8C">
              <w:rPr>
                <w:rFonts w:eastAsia="Times New Roman"/>
                <w:b/>
                <w:bCs/>
                <w:color w:val="595959" w:themeColor="text1" w:themeTint="A6"/>
                <w:position w:val="2"/>
                <w:lang w:eastAsia="en-US"/>
              </w:rPr>
              <w:t>642</w:t>
            </w:r>
            <w:r w:rsidR="00E91FD0" w:rsidRPr="00E91FD0">
              <w:rPr>
                <w:rFonts w:eastAsia="Times New Roman" w:hint="cs"/>
                <w:b/>
                <w:bCs/>
                <w:color w:val="595959" w:themeColor="text1" w:themeTint="A6"/>
                <w:position w:val="2"/>
                <w:sz w:val="2"/>
                <w:szCs w:val="2"/>
                <w:rtl/>
                <w:lang w:eastAsia="en-US"/>
              </w:rPr>
              <w:t> </w:t>
            </w:r>
            <w:r w:rsidRPr="00853D8C">
              <w:rPr>
                <w:rStyle w:val="FootnoteReference"/>
                <w:rFonts w:eastAsia="Times New Roman"/>
                <w:b/>
                <w:bCs/>
                <w:color w:val="595959" w:themeColor="text1" w:themeTint="A6"/>
                <w:lang w:eastAsia="en-US"/>
              </w:rPr>
              <w:footnoteReference w:id="3"/>
            </w:r>
          </w:p>
        </w:tc>
        <w:tc>
          <w:tcPr>
            <w:tcW w:w="3840" w:type="pct"/>
            <w:shd w:val="clear" w:color="auto" w:fill="FFFFFF"/>
          </w:tcPr>
          <w:p w14:paraId="2CA8057D" w14:textId="77777777" w:rsidR="001A2ECA" w:rsidRPr="00853D8C" w:rsidRDefault="001A2ECA" w:rsidP="00695FEC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color w:val="595959" w:themeColor="text1" w:themeTint="A6"/>
                <w:position w:val="2"/>
                <w:lang w:val="en-GB" w:eastAsia="en-US"/>
              </w:rPr>
            </w:pPr>
            <w:bookmarkStart w:id="1" w:name="_Toc119589833"/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>مواعيد عقد دورات المجلس للأعوام 2025 و2026 و2027 ومد</w:t>
            </w:r>
            <w:r w:rsidRPr="00853D8C">
              <w:rPr>
                <w:rFonts w:eastAsia="Times New Roman" w:hint="eastAsia"/>
                <w:color w:val="595959" w:themeColor="text1" w:themeTint="A6"/>
                <w:position w:val="2"/>
                <w:rtl/>
                <w:lang w:val="en-GB" w:eastAsia="en-US"/>
              </w:rPr>
              <w:t>د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>ها، إلى جانب مواعيد عقد مجموعات اجتماعات أفرقة العمل وأفرقة الخبراء التابعة للمجلس للأعوام 2025 و2026 و2027</w:t>
            </w:r>
            <w:bookmarkEnd w:id="1"/>
          </w:p>
        </w:tc>
      </w:tr>
      <w:tr w:rsidR="001A2ECA" w:rsidRPr="00F30F47" w14:paraId="229842B3" w14:textId="77777777" w:rsidTr="00E91FD0">
        <w:trPr>
          <w:jc w:val="center"/>
        </w:trPr>
        <w:tc>
          <w:tcPr>
            <w:tcW w:w="413" w:type="pct"/>
            <w:shd w:val="clear" w:color="auto" w:fill="FFFFFF"/>
          </w:tcPr>
          <w:p w14:paraId="77D82A22" w14:textId="2D56ADDA" w:rsidR="001A2ECA" w:rsidRPr="00853D8C" w:rsidRDefault="00E91FD0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color w:val="A6A6A6" w:themeColor="background1" w:themeShade="A6"/>
                <w:position w:val="2"/>
                <w:rtl/>
                <w:lang w:val="en-GB" w:eastAsia="en-US" w:bidi="ar-EG"/>
              </w:rPr>
            </w:pPr>
            <w:r>
              <w:rPr>
                <w:rFonts w:eastAsia="Times New Roman"/>
                <w:color w:val="A6A6A6" w:themeColor="background1" w:themeShade="A6"/>
                <w:position w:val="2"/>
                <w:lang w:val="en-GB" w:eastAsia="en-US"/>
              </w:rPr>
              <w:t>2.3</w:t>
            </w:r>
          </w:p>
        </w:tc>
        <w:tc>
          <w:tcPr>
            <w:tcW w:w="747" w:type="pct"/>
            <w:shd w:val="clear" w:color="auto" w:fill="FFFFFF"/>
          </w:tcPr>
          <w:p w14:paraId="3AD5486C" w14:textId="7CC135E8" w:rsidR="001A2ECA" w:rsidRPr="00DC6021" w:rsidRDefault="001A2ECA" w:rsidP="00695FEC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rFonts w:eastAsia="Times New Roman"/>
                <w:b/>
                <w:bCs/>
                <w:position w:val="2"/>
                <w:lang w:eastAsia="en-US"/>
              </w:rPr>
            </w:pPr>
            <w:r w:rsidRPr="00853D8C">
              <w:rPr>
                <w:rFonts w:eastAsia="Times New Roman" w:hint="eastAsia"/>
                <w:b/>
                <w:bCs/>
                <w:color w:val="595959" w:themeColor="text1" w:themeTint="A6"/>
                <w:position w:val="2"/>
                <w:rtl/>
                <w:lang w:eastAsia="en-US"/>
              </w:rPr>
              <w:t>المقرر</w:t>
            </w:r>
            <w:r w:rsidRPr="00853D8C">
              <w:rPr>
                <w:rFonts w:eastAsia="Times New Roman"/>
                <w:b/>
                <w:bCs/>
                <w:color w:val="595959" w:themeColor="text1" w:themeTint="A6"/>
                <w:position w:val="2"/>
                <w:rtl/>
                <w:lang w:eastAsia="en-US"/>
              </w:rPr>
              <w:t xml:space="preserve"> </w:t>
            </w:r>
            <w:r w:rsidRPr="00853D8C">
              <w:rPr>
                <w:rFonts w:eastAsia="Times New Roman"/>
                <w:b/>
                <w:bCs/>
                <w:color w:val="595959" w:themeColor="text1" w:themeTint="A6"/>
                <w:position w:val="2"/>
                <w:lang w:eastAsia="en-US"/>
              </w:rPr>
              <w:t>629</w:t>
            </w:r>
          </w:p>
        </w:tc>
        <w:tc>
          <w:tcPr>
            <w:tcW w:w="3840" w:type="pct"/>
            <w:shd w:val="clear" w:color="auto" w:fill="FFFFFF"/>
          </w:tcPr>
          <w:p w14:paraId="23482AA2" w14:textId="77777777" w:rsidR="001A2ECA" w:rsidRPr="00853D8C" w:rsidRDefault="001A2ECA" w:rsidP="00695FEC">
            <w:pPr>
              <w:tabs>
                <w:tab w:val="clear" w:pos="794"/>
              </w:tabs>
              <w:spacing w:before="60" w:after="60" w:line="300" w:lineRule="exact"/>
              <w:rPr>
                <w:rFonts w:eastAsia="Times New Roman"/>
                <w:color w:val="595959" w:themeColor="text1" w:themeTint="A6"/>
                <w:position w:val="2"/>
                <w:lang w:val="en-GB" w:eastAsia="en-US"/>
              </w:rPr>
            </w:pPr>
            <w:r w:rsidRPr="00853D8C">
              <w:rPr>
                <w:rFonts w:eastAsia="Times New Roman" w:hint="eastAsia"/>
                <w:color w:val="595959" w:themeColor="text1" w:themeTint="A6"/>
                <w:position w:val="2"/>
                <w:rtl/>
                <w:lang w:val="en-GB" w:eastAsia="en-US"/>
              </w:rPr>
              <w:t>عقد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 xml:space="preserve"> </w:t>
            </w:r>
            <w:r w:rsidRPr="00853D8C">
              <w:rPr>
                <w:rFonts w:eastAsia="Times New Roman" w:hint="eastAsia"/>
                <w:color w:val="595959" w:themeColor="text1" w:themeTint="A6"/>
                <w:position w:val="2"/>
                <w:rtl/>
                <w:lang w:val="en-GB" w:eastAsia="en-US"/>
              </w:rPr>
              <w:t>الجمعية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 xml:space="preserve"> </w:t>
            </w:r>
            <w:r w:rsidRPr="00853D8C">
              <w:rPr>
                <w:rFonts w:eastAsia="Times New Roman" w:hint="eastAsia"/>
                <w:color w:val="595959" w:themeColor="text1" w:themeTint="A6"/>
                <w:position w:val="2"/>
                <w:rtl/>
                <w:lang w:val="en-GB" w:eastAsia="en-US"/>
              </w:rPr>
              <w:t>العالمية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 xml:space="preserve"> </w:t>
            </w:r>
            <w:r w:rsidRPr="00853D8C">
              <w:rPr>
                <w:rFonts w:eastAsia="Times New Roman" w:hint="eastAsia"/>
                <w:color w:val="595959" w:themeColor="text1" w:themeTint="A6"/>
                <w:position w:val="2"/>
                <w:rtl/>
                <w:lang w:val="en-GB" w:eastAsia="en-US"/>
              </w:rPr>
              <w:t>لتقييس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 xml:space="preserve"> </w:t>
            </w:r>
            <w:r w:rsidRPr="00853D8C">
              <w:rPr>
                <w:rFonts w:eastAsia="Times New Roman" w:hint="eastAsia"/>
                <w:color w:val="595959" w:themeColor="text1" w:themeTint="A6"/>
                <w:position w:val="2"/>
                <w:rtl/>
                <w:lang w:val="en-GB" w:eastAsia="en-US"/>
              </w:rPr>
              <w:t>الاتصالات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 xml:space="preserve"> </w:t>
            </w:r>
            <w:r w:rsidRPr="00853D8C">
              <w:rPr>
                <w:rFonts w:eastAsia="Times New Roman" w:hint="eastAsia"/>
                <w:color w:val="595959" w:themeColor="text1" w:themeTint="A6"/>
                <w:position w:val="2"/>
                <w:rtl/>
                <w:lang w:val="en-GB" w:eastAsia="en-US"/>
              </w:rPr>
              <w:t>عام</w:t>
            </w:r>
            <w:r w:rsidRPr="00853D8C">
              <w:rPr>
                <w:rFonts w:eastAsia="Times New Roman"/>
                <w:color w:val="595959" w:themeColor="text1" w:themeTint="A6"/>
                <w:position w:val="2"/>
                <w:rtl/>
                <w:lang w:val="en-GB" w:eastAsia="en-US"/>
              </w:rPr>
              <w:t xml:space="preserve"> 2024</w:t>
            </w:r>
          </w:p>
        </w:tc>
      </w:tr>
    </w:tbl>
    <w:p w14:paraId="498812C7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A095" w14:textId="77777777" w:rsidR="00EF3719" w:rsidRDefault="00EF3719" w:rsidP="006C3242">
      <w:pPr>
        <w:spacing w:before="0" w:line="240" w:lineRule="auto"/>
      </w:pPr>
      <w:r>
        <w:separator/>
      </w:r>
    </w:p>
  </w:endnote>
  <w:endnote w:type="continuationSeparator" w:id="0">
    <w:p w14:paraId="3BB40E93" w14:textId="77777777" w:rsidR="00EF3719" w:rsidRDefault="00EF371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7097"/>
      <w:gridCol w:w="399"/>
    </w:tblGrid>
    <w:tr w:rsidR="00F50E3F" w:rsidRPr="007B0AA0" w14:paraId="546A346F" w14:textId="77777777" w:rsidTr="00E91FD0">
      <w:trPr>
        <w:jc w:val="center"/>
      </w:trPr>
      <w:tc>
        <w:tcPr>
          <w:tcW w:w="868" w:type="pct"/>
          <w:vAlign w:val="center"/>
        </w:tcPr>
        <w:p w14:paraId="2169E19E" w14:textId="1BDCC177" w:rsidR="00F50E3F" w:rsidRPr="00E91FD0" w:rsidRDefault="00E91FD0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  <w:r>
            <w:rPr>
              <w:rFonts w:ascii="Calibri" w:hAnsi="Calibri" w:cs="Arial"/>
              <w:noProof/>
              <w:sz w:val="18"/>
              <w:lang w:val="en-US"/>
            </w:rPr>
            <w:t>2500900</w:t>
          </w:r>
        </w:p>
      </w:tc>
      <w:tc>
        <w:tcPr>
          <w:tcW w:w="3912" w:type="pct"/>
        </w:tcPr>
        <w:p w14:paraId="76012032" w14:textId="7AE46BDA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A2ECA">
            <w:rPr>
              <w:rFonts w:ascii="Calibri" w:hAnsi="Calibri" w:cs="Arial"/>
              <w:bCs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43D080A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96A6723" w14:textId="77777777" w:rsidR="006C3242" w:rsidRPr="00CC7B9D" w:rsidRDefault="006C3242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836"/>
      <w:gridCol w:w="397"/>
    </w:tblGrid>
    <w:tr w:rsidR="007B0AA0" w:rsidRPr="007B0AA0" w14:paraId="0708D8B4" w14:textId="77777777" w:rsidTr="00E91FD0">
      <w:trPr>
        <w:jc w:val="center"/>
      </w:trPr>
      <w:tc>
        <w:tcPr>
          <w:tcW w:w="1013" w:type="pct"/>
          <w:vAlign w:val="center"/>
        </w:tcPr>
        <w:p w14:paraId="0F8BF44F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07282231" w14:textId="777FC837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A2ECA">
            <w:rPr>
              <w:rFonts w:ascii="Calibri" w:hAnsi="Calibri" w:cs="Arial"/>
              <w:bCs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19" w:type="pct"/>
        </w:tcPr>
        <w:p w14:paraId="29B45AB7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96E2A09" w14:textId="77777777" w:rsidR="0006468A" w:rsidRPr="007B0AA0" w:rsidRDefault="0006468A" w:rsidP="00BA04B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7BB5" w14:textId="77777777" w:rsidR="00EF3719" w:rsidRDefault="00EF3719" w:rsidP="006C3242">
      <w:pPr>
        <w:spacing w:before="0" w:line="240" w:lineRule="auto"/>
      </w:pPr>
      <w:r>
        <w:separator/>
      </w:r>
    </w:p>
  </w:footnote>
  <w:footnote w:type="continuationSeparator" w:id="0">
    <w:p w14:paraId="5708D1B0" w14:textId="77777777" w:rsidR="00EF3719" w:rsidRDefault="00EF3719" w:rsidP="006C3242">
      <w:pPr>
        <w:spacing w:before="0" w:line="240" w:lineRule="auto"/>
      </w:pPr>
      <w:r>
        <w:continuationSeparator/>
      </w:r>
    </w:p>
  </w:footnote>
  <w:footnote w:id="1">
    <w:p w14:paraId="49EC4637" w14:textId="72F090BB" w:rsidR="001A2ECA" w:rsidRPr="00853D8C" w:rsidRDefault="001A2ECA" w:rsidP="00CC7B9D">
      <w:pPr>
        <w:pStyle w:val="FootnoteText"/>
        <w:tabs>
          <w:tab w:val="clear" w:pos="794"/>
          <w:tab w:val="left" w:pos="282"/>
        </w:tabs>
        <w:rPr>
          <w:sz w:val="18"/>
          <w:szCs w:val="18"/>
          <w:lang w:bidi="ar-EG"/>
        </w:rPr>
      </w:pPr>
      <w:r>
        <w:rPr>
          <w:rStyle w:val="FootnoteReference"/>
        </w:rPr>
        <w:footnoteRef/>
      </w:r>
      <w:r w:rsidR="0045272F" w:rsidRPr="00853D8C">
        <w:rPr>
          <w:sz w:val="18"/>
          <w:szCs w:val="18"/>
          <w:rtl/>
        </w:rPr>
        <w:tab/>
      </w:r>
      <w:r w:rsidR="0045272F" w:rsidRPr="00D41172">
        <w:rPr>
          <w:rFonts w:hint="cs"/>
          <w:sz w:val="12"/>
          <w:szCs w:val="18"/>
          <w:rtl/>
        </w:rPr>
        <w:t>فور اعتماد قرار جديد.</w:t>
      </w:r>
    </w:p>
  </w:footnote>
  <w:footnote w:id="2">
    <w:p w14:paraId="4C56DF5F" w14:textId="213D31D7" w:rsidR="00CC7B9D" w:rsidRPr="000C46A5" w:rsidRDefault="00CC7B9D" w:rsidP="00CC7B9D">
      <w:pPr>
        <w:pStyle w:val="FootnoteText"/>
        <w:tabs>
          <w:tab w:val="clear" w:pos="794"/>
          <w:tab w:val="left" w:pos="282"/>
        </w:tabs>
        <w:rPr>
          <w:sz w:val="18"/>
          <w:lang w:val="en-GB" w:bidi="ar-EG"/>
        </w:rPr>
      </w:pPr>
      <w:r w:rsidRPr="000C46A5">
        <w:rPr>
          <w:rStyle w:val="FootnoteReference"/>
        </w:rPr>
        <w:footnoteRef/>
      </w:r>
      <w:r w:rsidRPr="000C46A5">
        <w:rPr>
          <w:sz w:val="18"/>
          <w:rtl/>
        </w:rPr>
        <w:t xml:space="preserve"> </w:t>
      </w:r>
      <w:r w:rsidRPr="000C46A5">
        <w:rPr>
          <w:sz w:val="18"/>
          <w:rtl/>
          <w:lang w:bidi="ar-EG"/>
        </w:rPr>
        <w:tab/>
      </w:r>
      <w:r w:rsidRPr="000C46A5">
        <w:rPr>
          <w:sz w:val="18"/>
          <w:szCs w:val="18"/>
          <w:rtl/>
        </w:rPr>
        <w:t>‏يعود تاريخ برنامج إنهاء الخدمة الطوعي هذا إلى عام </w:t>
      </w:r>
      <w:r w:rsidRPr="000C46A5">
        <w:rPr>
          <w:sz w:val="18"/>
          <w:szCs w:val="18"/>
          <w:cs/>
        </w:rPr>
        <w:t>‎</w:t>
      </w:r>
      <w:r w:rsidRPr="000C46A5">
        <w:rPr>
          <w:sz w:val="18"/>
          <w:szCs w:val="18"/>
        </w:rPr>
        <w:t>2015</w:t>
      </w:r>
      <w:r w:rsidRPr="000C46A5">
        <w:rPr>
          <w:sz w:val="18"/>
          <w:szCs w:val="18"/>
          <w:rtl/>
        </w:rPr>
        <w:t> ‏وقد اختُتم</w:t>
      </w:r>
      <w:r w:rsidRPr="000C46A5">
        <w:rPr>
          <w:sz w:val="18"/>
          <w:szCs w:val="18"/>
          <w:cs/>
        </w:rPr>
        <w:t>‎</w:t>
      </w:r>
      <w:r w:rsidRPr="000C46A5">
        <w:rPr>
          <w:sz w:val="18"/>
          <w:szCs w:val="18"/>
          <w:rtl/>
        </w:rPr>
        <w:t>.</w:t>
      </w:r>
    </w:p>
  </w:footnote>
  <w:footnote w:id="3">
    <w:p w14:paraId="33DAAA7A" w14:textId="59D1C5AB" w:rsidR="001A2ECA" w:rsidRPr="00853D8C" w:rsidRDefault="001A2ECA" w:rsidP="00CC7B9D">
      <w:pPr>
        <w:pStyle w:val="FootnoteText"/>
        <w:tabs>
          <w:tab w:val="clear" w:pos="794"/>
          <w:tab w:val="left" w:pos="282"/>
        </w:tabs>
        <w:rPr>
          <w:sz w:val="18"/>
          <w:szCs w:val="18"/>
          <w:lang w:bidi="ar-EG"/>
        </w:rPr>
      </w:pPr>
      <w:r>
        <w:rPr>
          <w:rStyle w:val="FootnoteReference"/>
        </w:rPr>
        <w:footnoteRef/>
      </w:r>
      <w:r w:rsidR="0045272F" w:rsidRPr="00853D8C">
        <w:rPr>
          <w:sz w:val="18"/>
          <w:szCs w:val="18"/>
          <w:rtl/>
        </w:rPr>
        <w:tab/>
      </w:r>
      <w:r w:rsidRPr="00D41172">
        <w:rPr>
          <w:rFonts w:hint="cs"/>
          <w:sz w:val="12"/>
          <w:szCs w:val="18"/>
          <w:rtl/>
        </w:rPr>
        <w:t>فور اعتماد مقرر جديد</w:t>
      </w:r>
      <w:r w:rsidRPr="00853D8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87AE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AFE1CC" wp14:editId="2676304B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8A27D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1F27775A" wp14:editId="481A83D3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44C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9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A82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AA5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00B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D1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F8D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F0D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A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AE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5A"/>
    <w:rsid w:val="0006468A"/>
    <w:rsid w:val="000657B5"/>
    <w:rsid w:val="00090574"/>
    <w:rsid w:val="000B0A69"/>
    <w:rsid w:val="000C1C0E"/>
    <w:rsid w:val="000C46A5"/>
    <w:rsid w:val="000C548A"/>
    <w:rsid w:val="00191059"/>
    <w:rsid w:val="001A2ECA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54393"/>
    <w:rsid w:val="0026373E"/>
    <w:rsid w:val="0026639B"/>
    <w:rsid w:val="00271C43"/>
    <w:rsid w:val="00290728"/>
    <w:rsid w:val="002978F4"/>
    <w:rsid w:val="002B028D"/>
    <w:rsid w:val="002C3F32"/>
    <w:rsid w:val="002E6541"/>
    <w:rsid w:val="00334924"/>
    <w:rsid w:val="003409BC"/>
    <w:rsid w:val="00357185"/>
    <w:rsid w:val="00383829"/>
    <w:rsid w:val="003F4B29"/>
    <w:rsid w:val="00420F8A"/>
    <w:rsid w:val="0042686F"/>
    <w:rsid w:val="004317D8"/>
    <w:rsid w:val="0043260A"/>
    <w:rsid w:val="00434183"/>
    <w:rsid w:val="00443869"/>
    <w:rsid w:val="00447F32"/>
    <w:rsid w:val="0045272F"/>
    <w:rsid w:val="00491BA9"/>
    <w:rsid w:val="004A4701"/>
    <w:rsid w:val="004B7334"/>
    <w:rsid w:val="004E11DC"/>
    <w:rsid w:val="004F7962"/>
    <w:rsid w:val="00510845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660DEA"/>
    <w:rsid w:val="00677396"/>
    <w:rsid w:val="0069200F"/>
    <w:rsid w:val="006A65CB"/>
    <w:rsid w:val="006B12E5"/>
    <w:rsid w:val="006B3A20"/>
    <w:rsid w:val="006C3242"/>
    <w:rsid w:val="006C7CC0"/>
    <w:rsid w:val="006F363C"/>
    <w:rsid w:val="006F63F7"/>
    <w:rsid w:val="007025C7"/>
    <w:rsid w:val="00706D7A"/>
    <w:rsid w:val="00722F0D"/>
    <w:rsid w:val="0074420E"/>
    <w:rsid w:val="007648A6"/>
    <w:rsid w:val="0077110E"/>
    <w:rsid w:val="00783E26"/>
    <w:rsid w:val="007A6684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53D8C"/>
    <w:rsid w:val="00874E9F"/>
    <w:rsid w:val="008A7F84"/>
    <w:rsid w:val="0091702E"/>
    <w:rsid w:val="00923B0C"/>
    <w:rsid w:val="00924F46"/>
    <w:rsid w:val="009346CF"/>
    <w:rsid w:val="00935AAC"/>
    <w:rsid w:val="0094021C"/>
    <w:rsid w:val="00952F86"/>
    <w:rsid w:val="00971C76"/>
    <w:rsid w:val="00982B28"/>
    <w:rsid w:val="009D313F"/>
    <w:rsid w:val="009D6409"/>
    <w:rsid w:val="00A47A5A"/>
    <w:rsid w:val="00A63AE6"/>
    <w:rsid w:val="00A6683B"/>
    <w:rsid w:val="00A67F05"/>
    <w:rsid w:val="00A97F94"/>
    <w:rsid w:val="00AA7EA2"/>
    <w:rsid w:val="00B03099"/>
    <w:rsid w:val="00B05BC8"/>
    <w:rsid w:val="00B30F5E"/>
    <w:rsid w:val="00B64B47"/>
    <w:rsid w:val="00B95654"/>
    <w:rsid w:val="00B97F32"/>
    <w:rsid w:val="00BA04B2"/>
    <w:rsid w:val="00BC1101"/>
    <w:rsid w:val="00C002DE"/>
    <w:rsid w:val="00C0602B"/>
    <w:rsid w:val="00C224DA"/>
    <w:rsid w:val="00C53BF8"/>
    <w:rsid w:val="00C66157"/>
    <w:rsid w:val="00C674FE"/>
    <w:rsid w:val="00C67501"/>
    <w:rsid w:val="00C71A64"/>
    <w:rsid w:val="00C75633"/>
    <w:rsid w:val="00CC7B9D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43F7D"/>
    <w:rsid w:val="00D63735"/>
    <w:rsid w:val="00D77D0F"/>
    <w:rsid w:val="00D9298F"/>
    <w:rsid w:val="00D937EA"/>
    <w:rsid w:val="00DA1CF0"/>
    <w:rsid w:val="00DC1E02"/>
    <w:rsid w:val="00DC24B4"/>
    <w:rsid w:val="00DC5FB0"/>
    <w:rsid w:val="00DF0F89"/>
    <w:rsid w:val="00DF16DC"/>
    <w:rsid w:val="00E4235A"/>
    <w:rsid w:val="00E45211"/>
    <w:rsid w:val="00E473C5"/>
    <w:rsid w:val="00E56C41"/>
    <w:rsid w:val="00E61BE8"/>
    <w:rsid w:val="00E63B19"/>
    <w:rsid w:val="00E83FF1"/>
    <w:rsid w:val="00E91FD0"/>
    <w:rsid w:val="00E92863"/>
    <w:rsid w:val="00E979B2"/>
    <w:rsid w:val="00EB796D"/>
    <w:rsid w:val="00EF3719"/>
    <w:rsid w:val="00F058DC"/>
    <w:rsid w:val="00F24FC4"/>
    <w:rsid w:val="00F2676C"/>
    <w:rsid w:val="00F363FE"/>
    <w:rsid w:val="00F50E3F"/>
    <w:rsid w:val="00F84366"/>
    <w:rsid w:val="00F85089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044472"/>
  <w15:chartTrackingRefBased/>
  <w15:docId w15:val="{992AB8EC-E312-48F5-A283-B74692CC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660DEA"/>
    <w:rPr>
      <w:rFonts w:ascii="Calibri" w:eastAsia="Calibri" w:hAnsi="Calibri" w:cs="Arial"/>
      <w:noProof/>
      <w:color w:val="5B9BD5" w:themeColor="accent1"/>
      <w:sz w:val="18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E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5272F"/>
    <w:pPr>
      <w:spacing w:after="0" w:line="240" w:lineRule="auto"/>
    </w:pPr>
    <w:rPr>
      <w:rFonts w:ascii="Dubai" w:hAnsi="Dubai" w:cs="Dubai"/>
    </w:rPr>
  </w:style>
  <w:style w:type="paragraph" w:customStyle="1" w:styleId="FootnoteText0">
    <w:name w:val="Footnote_Text"/>
    <w:basedOn w:val="FootnoteText"/>
    <w:rsid w:val="00CC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CL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11</TotalTime>
  <Pages>2</Pages>
  <Words>185</Words>
  <Characters>1151</Characters>
  <Application>Microsoft Office Word</Application>
  <DocSecurity>0</DocSecurity>
  <Lines>52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and Decisions</dc:title>
  <dc:subject>Council 2025</dc:subject>
  <cp:keywords>C2025, C25, Council-25</cp:keywords>
  <dc:description/>
  <dcterms:created xsi:type="dcterms:W3CDTF">2025-05-01T14:47:00Z</dcterms:created>
  <dcterms:modified xsi:type="dcterms:W3CDTF">2025-05-05T15:08:00Z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