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jc w:val="center"/>
        <w:tblLayout w:type="fixed"/>
        <w:tblLook w:val="0000" w:firstRow="0" w:lastRow="0" w:firstColumn="0" w:lastColumn="0" w:noHBand="0" w:noVBand="0"/>
      </w:tblPr>
      <w:tblGrid>
        <w:gridCol w:w="3969"/>
        <w:gridCol w:w="5245"/>
      </w:tblGrid>
      <w:tr w:rsidR="00FE57F6" w:rsidRPr="00CE7D18" w14:paraId="7C8F3CAE" w14:textId="77777777" w:rsidTr="00561043">
        <w:trPr>
          <w:cantSplit/>
          <w:trHeight w:val="23"/>
          <w:jc w:val="center"/>
        </w:trPr>
        <w:tc>
          <w:tcPr>
            <w:tcW w:w="3969" w:type="dxa"/>
            <w:vMerge w:val="restart"/>
            <w:tcMar>
              <w:left w:w="0" w:type="dxa"/>
            </w:tcMar>
          </w:tcPr>
          <w:p w14:paraId="33E399D3" w14:textId="367D3E13" w:rsidR="00FE57F6" w:rsidRPr="00CE7D18" w:rsidRDefault="00BB6FD8" w:rsidP="00561043">
            <w:pPr>
              <w:tabs>
                <w:tab w:val="left" w:pos="851"/>
              </w:tabs>
              <w:spacing w:before="0" w:line="240" w:lineRule="atLeast"/>
              <w:rPr>
                <w:b/>
              </w:rPr>
            </w:pPr>
            <w:bookmarkStart w:id="0" w:name="_Hlk133421839"/>
            <w:r w:rsidRPr="00CE7D18">
              <w:rPr>
                <w:b/>
              </w:rPr>
              <w:t>Orden del día</w:t>
            </w:r>
            <w:r w:rsidR="00FE57F6" w:rsidRPr="00CE7D18">
              <w:rPr>
                <w:b/>
              </w:rPr>
              <w:t xml:space="preserve">: </w:t>
            </w:r>
            <w:r w:rsidR="00046832" w:rsidRPr="00CE7D18">
              <w:rPr>
                <w:b/>
              </w:rPr>
              <w:t>PL 3</w:t>
            </w:r>
          </w:p>
        </w:tc>
        <w:tc>
          <w:tcPr>
            <w:tcW w:w="5245" w:type="dxa"/>
          </w:tcPr>
          <w:p w14:paraId="3D90F18B" w14:textId="4436D046" w:rsidR="00FE57F6" w:rsidRPr="00CE7D18" w:rsidRDefault="00FE57F6" w:rsidP="00561043">
            <w:pPr>
              <w:tabs>
                <w:tab w:val="left" w:pos="851"/>
              </w:tabs>
              <w:spacing w:before="0" w:line="240" w:lineRule="atLeast"/>
              <w:jc w:val="right"/>
              <w:rPr>
                <w:b/>
              </w:rPr>
            </w:pPr>
            <w:r w:rsidRPr="00CE7D18">
              <w:rPr>
                <w:b/>
              </w:rPr>
              <w:t>Document</w:t>
            </w:r>
            <w:r w:rsidR="00F24B71" w:rsidRPr="00CE7D18">
              <w:rPr>
                <w:b/>
              </w:rPr>
              <w:t>o</w:t>
            </w:r>
            <w:r w:rsidRPr="00CE7D18">
              <w:rPr>
                <w:b/>
              </w:rPr>
              <w:t xml:space="preserve"> </w:t>
            </w:r>
            <w:proofErr w:type="spellStart"/>
            <w:r w:rsidRPr="00CE7D18">
              <w:rPr>
                <w:b/>
              </w:rPr>
              <w:t>C2</w:t>
            </w:r>
            <w:r w:rsidR="00BB6FD8" w:rsidRPr="00CE7D18">
              <w:rPr>
                <w:b/>
              </w:rPr>
              <w:t>5</w:t>
            </w:r>
            <w:proofErr w:type="spellEnd"/>
            <w:r w:rsidRPr="00CE7D18">
              <w:rPr>
                <w:b/>
              </w:rPr>
              <w:t>/</w:t>
            </w:r>
            <w:r w:rsidR="00046832" w:rsidRPr="00CE7D18">
              <w:rPr>
                <w:b/>
              </w:rPr>
              <w:t>2</w:t>
            </w:r>
            <w:r w:rsidRPr="00CE7D18">
              <w:rPr>
                <w:b/>
              </w:rPr>
              <w:t>-</w:t>
            </w:r>
            <w:r w:rsidR="00F24B71" w:rsidRPr="00CE7D18">
              <w:rPr>
                <w:b/>
              </w:rPr>
              <w:t>S</w:t>
            </w:r>
          </w:p>
        </w:tc>
      </w:tr>
      <w:tr w:rsidR="00FE57F6" w:rsidRPr="00CE7D18" w14:paraId="569437EE" w14:textId="77777777" w:rsidTr="00561043">
        <w:trPr>
          <w:cantSplit/>
          <w:jc w:val="center"/>
        </w:trPr>
        <w:tc>
          <w:tcPr>
            <w:tcW w:w="3969" w:type="dxa"/>
            <w:vMerge/>
          </w:tcPr>
          <w:p w14:paraId="1E17E197" w14:textId="77777777" w:rsidR="00FE57F6" w:rsidRPr="00CE7D18" w:rsidRDefault="00FE57F6" w:rsidP="00561043">
            <w:pPr>
              <w:tabs>
                <w:tab w:val="left" w:pos="851"/>
              </w:tabs>
              <w:spacing w:line="240" w:lineRule="atLeast"/>
              <w:rPr>
                <w:b/>
              </w:rPr>
            </w:pPr>
          </w:p>
        </w:tc>
        <w:tc>
          <w:tcPr>
            <w:tcW w:w="5245" w:type="dxa"/>
          </w:tcPr>
          <w:p w14:paraId="1536136F" w14:textId="26DBFA0D" w:rsidR="00FE57F6" w:rsidRPr="00CE7D18" w:rsidRDefault="00046832" w:rsidP="00561043">
            <w:pPr>
              <w:tabs>
                <w:tab w:val="left" w:pos="851"/>
              </w:tabs>
              <w:spacing w:before="0"/>
              <w:jc w:val="right"/>
              <w:rPr>
                <w:b/>
              </w:rPr>
            </w:pPr>
            <w:r w:rsidRPr="00CE7D18">
              <w:rPr>
                <w:b/>
              </w:rPr>
              <w:t>16 de mayo de 2025</w:t>
            </w:r>
          </w:p>
        </w:tc>
      </w:tr>
      <w:tr w:rsidR="00FE57F6" w:rsidRPr="00CE7D18" w14:paraId="3929366D" w14:textId="77777777" w:rsidTr="00561043">
        <w:trPr>
          <w:cantSplit/>
          <w:trHeight w:val="23"/>
          <w:jc w:val="center"/>
        </w:trPr>
        <w:tc>
          <w:tcPr>
            <w:tcW w:w="3969" w:type="dxa"/>
            <w:vMerge/>
          </w:tcPr>
          <w:p w14:paraId="0F327E8E" w14:textId="77777777" w:rsidR="00FE57F6" w:rsidRPr="00CE7D18" w:rsidRDefault="00FE57F6" w:rsidP="00561043">
            <w:pPr>
              <w:tabs>
                <w:tab w:val="left" w:pos="851"/>
              </w:tabs>
              <w:spacing w:line="240" w:lineRule="atLeast"/>
              <w:rPr>
                <w:b/>
              </w:rPr>
            </w:pPr>
          </w:p>
        </w:tc>
        <w:tc>
          <w:tcPr>
            <w:tcW w:w="5245" w:type="dxa"/>
          </w:tcPr>
          <w:p w14:paraId="1F2DBFF1" w14:textId="77777777" w:rsidR="00FE57F6" w:rsidRPr="00CE7D18" w:rsidRDefault="00F24B71" w:rsidP="00561043">
            <w:pPr>
              <w:tabs>
                <w:tab w:val="left" w:pos="851"/>
              </w:tabs>
              <w:spacing w:before="0" w:line="240" w:lineRule="atLeast"/>
              <w:jc w:val="right"/>
              <w:rPr>
                <w:b/>
                <w:bCs/>
              </w:rPr>
            </w:pPr>
            <w:r w:rsidRPr="00CE7D18">
              <w:rPr>
                <w:rFonts w:cstheme="minorHAnsi"/>
                <w:b/>
                <w:bCs/>
              </w:rPr>
              <w:t>Original: inglés</w:t>
            </w:r>
          </w:p>
        </w:tc>
      </w:tr>
      <w:tr w:rsidR="00FE57F6" w:rsidRPr="00CE7D18" w14:paraId="43EFBE4D" w14:textId="77777777" w:rsidTr="00561043">
        <w:trPr>
          <w:cantSplit/>
          <w:trHeight w:val="23"/>
          <w:jc w:val="center"/>
        </w:trPr>
        <w:tc>
          <w:tcPr>
            <w:tcW w:w="3969" w:type="dxa"/>
          </w:tcPr>
          <w:p w14:paraId="7D19BE13" w14:textId="77777777" w:rsidR="00FE57F6" w:rsidRPr="00CE7D18" w:rsidRDefault="00FE57F6" w:rsidP="00561043">
            <w:pPr>
              <w:tabs>
                <w:tab w:val="left" w:pos="851"/>
              </w:tabs>
              <w:spacing w:line="240" w:lineRule="atLeast"/>
              <w:rPr>
                <w:b/>
              </w:rPr>
            </w:pPr>
          </w:p>
        </w:tc>
        <w:tc>
          <w:tcPr>
            <w:tcW w:w="5245" w:type="dxa"/>
          </w:tcPr>
          <w:p w14:paraId="5F9DCDDF" w14:textId="77777777" w:rsidR="00FE57F6" w:rsidRPr="00CE7D18" w:rsidRDefault="00FE57F6" w:rsidP="00561043">
            <w:pPr>
              <w:tabs>
                <w:tab w:val="left" w:pos="851"/>
              </w:tabs>
              <w:spacing w:before="0" w:line="240" w:lineRule="atLeast"/>
              <w:jc w:val="right"/>
              <w:rPr>
                <w:b/>
              </w:rPr>
            </w:pPr>
          </w:p>
        </w:tc>
      </w:tr>
      <w:tr w:rsidR="00FE57F6" w:rsidRPr="00CE7D18" w14:paraId="29870A62" w14:textId="77777777" w:rsidTr="00561043">
        <w:trPr>
          <w:cantSplit/>
          <w:jc w:val="center"/>
        </w:trPr>
        <w:tc>
          <w:tcPr>
            <w:tcW w:w="9214" w:type="dxa"/>
            <w:gridSpan w:val="2"/>
            <w:tcMar>
              <w:left w:w="0" w:type="dxa"/>
            </w:tcMar>
          </w:tcPr>
          <w:p w14:paraId="5F646517" w14:textId="77777777" w:rsidR="00FE57F6" w:rsidRPr="00CE7D18" w:rsidRDefault="00157AC4" w:rsidP="00561043">
            <w:pPr>
              <w:pStyle w:val="Source"/>
              <w:jc w:val="left"/>
              <w:rPr>
                <w:sz w:val="34"/>
                <w:szCs w:val="34"/>
              </w:rPr>
            </w:pPr>
            <w:r w:rsidRPr="00CE7D18">
              <w:rPr>
                <w:rFonts w:cstheme="minorHAnsi"/>
                <w:sz w:val="34"/>
                <w:szCs w:val="34"/>
              </w:rPr>
              <w:t>Informe de la Secretaria General</w:t>
            </w:r>
          </w:p>
        </w:tc>
      </w:tr>
      <w:tr w:rsidR="00FE57F6" w:rsidRPr="00CE7D18" w14:paraId="4C760FE3" w14:textId="77777777" w:rsidTr="00561043">
        <w:trPr>
          <w:cantSplit/>
          <w:jc w:val="center"/>
        </w:trPr>
        <w:tc>
          <w:tcPr>
            <w:tcW w:w="9214" w:type="dxa"/>
            <w:gridSpan w:val="2"/>
            <w:tcMar>
              <w:left w:w="0" w:type="dxa"/>
            </w:tcMar>
          </w:tcPr>
          <w:p w14:paraId="3CA62213" w14:textId="2A8138FA" w:rsidR="00FE57F6" w:rsidRPr="00CE7D18" w:rsidRDefault="00046832" w:rsidP="00561043">
            <w:pPr>
              <w:pStyle w:val="Subtitle"/>
              <w:framePr w:hSpace="0" w:wrap="auto" w:vAnchor="margin" w:hAnchor="text" w:xAlign="left" w:yAlign="inline"/>
            </w:pPr>
            <w:r w:rsidRPr="00CE7D18">
              <w:t>FECHAS Y DURACIÓN PROPUESTAS PARA LAS REUNIONES DE 2026, 2027 Y 2028 DEL CONSEJO Y FECHAS PROPUESTAS PARA LAS SERIES DE REUNIONES DE LOS GRUPOS DE TRABAJO Y LOS GRUPOS DE EXPERTOS DEL CONSEJO PARA EL MISMO PERIODO</w:t>
            </w:r>
          </w:p>
        </w:tc>
      </w:tr>
      <w:tr w:rsidR="00FE57F6" w:rsidRPr="00CE7D18" w14:paraId="55B9A7B9" w14:textId="77777777" w:rsidTr="00561043">
        <w:trPr>
          <w:cantSplit/>
          <w:jc w:val="center"/>
        </w:trPr>
        <w:tc>
          <w:tcPr>
            <w:tcW w:w="9214" w:type="dxa"/>
            <w:gridSpan w:val="2"/>
            <w:tcBorders>
              <w:top w:val="single" w:sz="4" w:space="0" w:color="auto"/>
              <w:bottom w:val="single" w:sz="4" w:space="0" w:color="auto"/>
            </w:tcBorders>
            <w:tcMar>
              <w:left w:w="0" w:type="dxa"/>
            </w:tcMar>
          </w:tcPr>
          <w:p w14:paraId="684C6143" w14:textId="77777777" w:rsidR="00FE57F6" w:rsidRPr="00CE7D18" w:rsidRDefault="00F24B71" w:rsidP="00561043">
            <w:pPr>
              <w:spacing w:before="160"/>
              <w:rPr>
                <w:b/>
                <w:bCs/>
                <w:sz w:val="26"/>
                <w:szCs w:val="26"/>
              </w:rPr>
            </w:pPr>
            <w:r w:rsidRPr="00CE7D18">
              <w:rPr>
                <w:b/>
                <w:bCs/>
                <w:sz w:val="26"/>
                <w:szCs w:val="26"/>
              </w:rPr>
              <w:t>Finalidad</w:t>
            </w:r>
          </w:p>
          <w:p w14:paraId="553C3376" w14:textId="7B8D0570" w:rsidR="00FE57F6" w:rsidRPr="00CE7D18" w:rsidRDefault="00046832" w:rsidP="00727D48">
            <w:pPr>
              <w:jc w:val="both"/>
            </w:pPr>
            <w:r w:rsidRPr="00CE7D18">
              <w:t>En la Resolución 77 (Rev. Bucarest, 2022) de la Conferencia de Plenipotenciarios se encarga al Consejo de la UIT que, en cada reunión ordinaria, planifique sus próximas tres reuniones ordinarias para el periodo junio-julio y examine dicha planificación de manera continua.</w:t>
            </w:r>
          </w:p>
          <w:p w14:paraId="018F13D5" w14:textId="77777777" w:rsidR="00FE57F6" w:rsidRPr="00CE7D18" w:rsidRDefault="00F24B71" w:rsidP="00561043">
            <w:pPr>
              <w:spacing w:before="160"/>
              <w:rPr>
                <w:b/>
                <w:bCs/>
                <w:sz w:val="26"/>
                <w:szCs w:val="26"/>
              </w:rPr>
            </w:pPr>
            <w:r w:rsidRPr="00CE7D18">
              <w:rPr>
                <w:b/>
                <w:bCs/>
                <w:sz w:val="26"/>
                <w:szCs w:val="26"/>
              </w:rPr>
              <w:t xml:space="preserve">Acción solicitada </w:t>
            </w:r>
            <w:r w:rsidR="00677A97" w:rsidRPr="00CE7D18">
              <w:rPr>
                <w:b/>
                <w:bCs/>
                <w:sz w:val="26"/>
                <w:szCs w:val="26"/>
              </w:rPr>
              <w:t>al</w:t>
            </w:r>
            <w:r w:rsidRPr="00CE7D18">
              <w:rPr>
                <w:b/>
                <w:bCs/>
                <w:sz w:val="26"/>
                <w:szCs w:val="26"/>
              </w:rPr>
              <w:t xml:space="preserve"> Consejo</w:t>
            </w:r>
          </w:p>
          <w:p w14:paraId="68F87D50" w14:textId="72FC2787" w:rsidR="00F92BED" w:rsidRPr="00CE7D18" w:rsidRDefault="00046832" w:rsidP="00727D48">
            <w:pPr>
              <w:jc w:val="both"/>
              <w:rPr>
                <w:szCs w:val="24"/>
              </w:rPr>
            </w:pPr>
            <w:r w:rsidRPr="00CE7D18">
              <w:t xml:space="preserve">Se invita al Consejo a </w:t>
            </w:r>
            <w:r w:rsidRPr="00CE7D18">
              <w:rPr>
                <w:b/>
                <w:bCs/>
              </w:rPr>
              <w:t>confirmar</w:t>
            </w:r>
            <w:r w:rsidRPr="00CE7D18">
              <w:t xml:space="preserve"> las fechas de sus reuniones de 2026, 2027 y 2028, así como las fechas de las series de reuniones de los Grupos de Trabajo y Grupos de Expertos del Consejo (</w:t>
            </w:r>
            <w:proofErr w:type="spellStart"/>
            <w:r w:rsidRPr="00CE7D18">
              <w:t>GTC</w:t>
            </w:r>
            <w:proofErr w:type="spellEnd"/>
            <w:r w:rsidRPr="00CE7D18">
              <w:t xml:space="preserve"> y GE) para el mismo periodo, y a </w:t>
            </w:r>
            <w:r w:rsidRPr="00CE7D18">
              <w:rPr>
                <w:b/>
                <w:bCs/>
              </w:rPr>
              <w:t>adoptar</w:t>
            </w:r>
            <w:r w:rsidRPr="00CE7D18">
              <w:t xml:space="preserve"> el proyecto de Acuerdo que figura en el Anexo al presente documento</w:t>
            </w:r>
            <w:r w:rsidRPr="00CE7D18">
              <w:rPr>
                <w:szCs w:val="24"/>
              </w:rPr>
              <w:t>.</w:t>
            </w:r>
          </w:p>
          <w:p w14:paraId="1FEC42FA" w14:textId="77777777" w:rsidR="00F92BED" w:rsidRPr="00CE7D18" w:rsidRDefault="00F92BED" w:rsidP="00561043">
            <w:pPr>
              <w:spacing w:before="160"/>
              <w:rPr>
                <w:b/>
                <w:bCs/>
                <w:sz w:val="26"/>
                <w:szCs w:val="26"/>
              </w:rPr>
            </w:pPr>
            <w:r w:rsidRPr="00CE7D18">
              <w:rPr>
                <w:b/>
                <w:bCs/>
                <w:sz w:val="26"/>
                <w:szCs w:val="26"/>
              </w:rPr>
              <w:t>Vínculo(s) pertinente(s) con el Plan Estratégico</w:t>
            </w:r>
          </w:p>
          <w:p w14:paraId="45D238C0" w14:textId="7F3494EB" w:rsidR="00F92BED" w:rsidRPr="00CE7D18" w:rsidRDefault="00046832" w:rsidP="00561043">
            <w:r w:rsidRPr="00CE7D18">
              <w:t>Plataforma de encuentro</w:t>
            </w:r>
            <w:r w:rsidR="00530C64" w:rsidRPr="00CE7D18">
              <w:t>.</w:t>
            </w:r>
          </w:p>
          <w:p w14:paraId="2CD805FA" w14:textId="77777777" w:rsidR="00F92BED" w:rsidRPr="00CE7D18" w:rsidRDefault="00F92BED" w:rsidP="00561043">
            <w:pPr>
              <w:spacing w:before="160"/>
              <w:rPr>
                <w:b/>
                <w:bCs/>
                <w:sz w:val="26"/>
                <w:szCs w:val="26"/>
              </w:rPr>
            </w:pPr>
            <w:r w:rsidRPr="00CE7D18">
              <w:rPr>
                <w:b/>
                <w:bCs/>
                <w:sz w:val="26"/>
                <w:szCs w:val="26"/>
              </w:rPr>
              <w:t>Repercusiones financieras</w:t>
            </w:r>
          </w:p>
          <w:p w14:paraId="27A518EF" w14:textId="3F5D5F2B" w:rsidR="00046832" w:rsidRPr="00046832" w:rsidRDefault="00046832" w:rsidP="00727D48">
            <w:pPr>
              <w:jc w:val="both"/>
            </w:pPr>
            <w:r w:rsidRPr="00046832">
              <w:t xml:space="preserve">Los costes inherentes a la celebración de las reuniones del Consejo y de las series de reuniones de los </w:t>
            </w:r>
            <w:proofErr w:type="spellStart"/>
            <w:r w:rsidRPr="00046832">
              <w:t>GTC</w:t>
            </w:r>
            <w:proofErr w:type="spellEnd"/>
            <w:r w:rsidRPr="00046832">
              <w:t xml:space="preserve"> y GE en la UIT en 2026 y 2027 se financiarán con cargo al presupuesto bienal correspondiente</w:t>
            </w:r>
            <w:r w:rsidR="00530C64" w:rsidRPr="00CE7D18">
              <w:t>.</w:t>
            </w:r>
          </w:p>
          <w:p w14:paraId="004798B2" w14:textId="47B27E88" w:rsidR="00FE57F6" w:rsidRPr="00561043" w:rsidRDefault="00046832" w:rsidP="00561043">
            <w:pPr>
              <w:spacing w:after="120"/>
            </w:pPr>
            <w:r w:rsidRPr="00046832">
              <w:t xml:space="preserve">En 2028, las salas de reuniones de la Sede de la UIT y el </w:t>
            </w:r>
            <w:proofErr w:type="spellStart"/>
            <w:r w:rsidRPr="00046832">
              <w:t>CICG</w:t>
            </w:r>
            <w:proofErr w:type="spellEnd"/>
            <w:r w:rsidRPr="00046832">
              <w:t xml:space="preserve"> no estarán disponibles.</w:t>
            </w:r>
          </w:p>
        </w:tc>
      </w:tr>
      <w:tr w:rsidR="00561043" w:rsidRPr="00CE7D18" w14:paraId="38607887" w14:textId="77777777" w:rsidTr="00561043">
        <w:trPr>
          <w:cantSplit/>
          <w:jc w:val="center"/>
        </w:trPr>
        <w:tc>
          <w:tcPr>
            <w:tcW w:w="9214" w:type="dxa"/>
            <w:gridSpan w:val="2"/>
            <w:tcBorders>
              <w:top w:val="single" w:sz="4" w:space="0" w:color="auto"/>
              <w:bottom w:val="single" w:sz="4" w:space="0" w:color="auto"/>
            </w:tcBorders>
            <w:tcMar>
              <w:left w:w="0" w:type="dxa"/>
            </w:tcMar>
          </w:tcPr>
          <w:p w14:paraId="68E755D6" w14:textId="77777777" w:rsidR="00561043" w:rsidRPr="00046832" w:rsidRDefault="00561043" w:rsidP="00A42D01">
            <w:pPr>
              <w:jc w:val="both"/>
            </w:pPr>
            <w:r w:rsidRPr="00046832">
              <w:lastRenderedPageBreak/>
              <w:t xml:space="preserve">Otra opción es organizar los eventos en </w:t>
            </w:r>
            <w:proofErr w:type="spellStart"/>
            <w:r w:rsidRPr="00046832">
              <w:t>Palexpo</w:t>
            </w:r>
            <w:proofErr w:type="spellEnd"/>
            <w:r w:rsidRPr="00046832">
              <w:t>, con los siguientes costes estimados negociados con un descuento del 40</w:t>
            </w:r>
            <w:r w:rsidRPr="00CE7D18">
              <w:t> </w:t>
            </w:r>
            <w:r w:rsidRPr="00046832">
              <w:t>% (aplicable únicamente a las tarifas de alquiler; los requerimientos técnicos y de seguridad generarán costes adicionales):</w:t>
            </w:r>
          </w:p>
          <w:p w14:paraId="0DD4E7A2" w14:textId="77777777" w:rsidR="00561043" w:rsidRPr="00CE7D18" w:rsidRDefault="00561043" w:rsidP="007A1DB7">
            <w:pPr>
              <w:pStyle w:val="enumlev1"/>
            </w:pPr>
            <w:r w:rsidRPr="00CE7D18">
              <w:t>–</w:t>
            </w:r>
            <w:r w:rsidRPr="00CE7D18">
              <w:tab/>
              <w:t xml:space="preserve">10 días para la primera serie de reuniones de los </w:t>
            </w:r>
            <w:proofErr w:type="spellStart"/>
            <w:r w:rsidRPr="00CE7D18">
              <w:t>GTC</w:t>
            </w:r>
            <w:proofErr w:type="spellEnd"/>
            <w:r w:rsidRPr="00CE7D18">
              <w:t xml:space="preserve"> y GE (9 días + 1 día para la preparación de la sala), costes estimados: </w:t>
            </w:r>
            <w:r w:rsidRPr="00CE7D18">
              <w:rPr>
                <w:b/>
                <w:bCs/>
              </w:rPr>
              <w:t>48 000 CHF</w:t>
            </w:r>
            <w:r w:rsidRPr="00CE7D18">
              <w:t>;</w:t>
            </w:r>
          </w:p>
          <w:p w14:paraId="3BC6F31D" w14:textId="77777777" w:rsidR="00561043" w:rsidRPr="00CE7D18" w:rsidRDefault="00561043" w:rsidP="007A1DB7">
            <w:pPr>
              <w:pStyle w:val="enumlev1"/>
            </w:pPr>
            <w:r w:rsidRPr="00CE7D18">
              <w:t>–</w:t>
            </w:r>
            <w:r w:rsidRPr="00CE7D18">
              <w:tab/>
              <w:t xml:space="preserve">10 días para la reunión del Consejo 2028 (9 días + 1 día para la preparación de la sala), costes estimados: </w:t>
            </w:r>
            <w:r w:rsidRPr="00CE7D18">
              <w:rPr>
                <w:b/>
                <w:bCs/>
              </w:rPr>
              <w:t>95 400 CHF</w:t>
            </w:r>
            <w:r w:rsidRPr="00CE7D18">
              <w:t>;</w:t>
            </w:r>
          </w:p>
          <w:p w14:paraId="5CC90ECF" w14:textId="77777777" w:rsidR="00561043" w:rsidRPr="00CE7D18" w:rsidRDefault="00561043" w:rsidP="007A1DB7">
            <w:pPr>
              <w:pStyle w:val="enumlev1"/>
            </w:pPr>
            <w:r w:rsidRPr="00CE7D18">
              <w:t>–</w:t>
            </w:r>
            <w:r w:rsidRPr="00CE7D18">
              <w:tab/>
              <w:t xml:space="preserve">10 días para la segunda serie de reuniones de los </w:t>
            </w:r>
            <w:proofErr w:type="spellStart"/>
            <w:r w:rsidRPr="00CE7D18">
              <w:t>GTC</w:t>
            </w:r>
            <w:proofErr w:type="spellEnd"/>
            <w:r w:rsidRPr="00CE7D18">
              <w:t xml:space="preserve"> y GE (9 días + 1 día para la preparación de la sala), costes estimados: </w:t>
            </w:r>
            <w:r w:rsidRPr="00CE7D18">
              <w:rPr>
                <w:b/>
                <w:bCs/>
              </w:rPr>
              <w:t>48 000 CHF</w:t>
            </w:r>
            <w:r w:rsidRPr="00CE7D18">
              <w:t>.</w:t>
            </w:r>
          </w:p>
          <w:p w14:paraId="284A000F" w14:textId="77777777" w:rsidR="00561043" w:rsidRPr="00CE7D18" w:rsidRDefault="00561043" w:rsidP="00A42D01">
            <w:pPr>
              <w:jc w:val="both"/>
            </w:pPr>
            <w:r w:rsidRPr="00CE7D18">
              <w:t xml:space="preserve">Costes totales estimados a tarifas negociadas para el alquiler del espacio para los tres eventos: </w:t>
            </w:r>
            <w:r w:rsidRPr="00CE7D18">
              <w:rPr>
                <w:b/>
                <w:bCs/>
              </w:rPr>
              <w:t>191 400 CHF</w:t>
            </w:r>
            <w:r w:rsidRPr="00CE7D18">
              <w:t>.</w:t>
            </w:r>
          </w:p>
          <w:p w14:paraId="39F0F64C" w14:textId="77777777" w:rsidR="00561043" w:rsidRPr="00CE7D18" w:rsidRDefault="00561043" w:rsidP="00561043">
            <w:pPr>
              <w:spacing w:before="160"/>
              <w:rPr>
                <w:caps/>
                <w:sz w:val="22"/>
              </w:rPr>
            </w:pPr>
            <w:r w:rsidRPr="00CE7D18">
              <w:rPr>
                <w:sz w:val="22"/>
              </w:rPr>
              <w:t>__________________</w:t>
            </w:r>
          </w:p>
          <w:p w14:paraId="6C2599F3" w14:textId="77777777" w:rsidR="00561043" w:rsidRPr="00CE7D18" w:rsidRDefault="00561043" w:rsidP="00561043">
            <w:pPr>
              <w:spacing w:before="160"/>
              <w:rPr>
                <w:b/>
                <w:bCs/>
                <w:sz w:val="26"/>
                <w:szCs w:val="26"/>
              </w:rPr>
            </w:pPr>
            <w:r w:rsidRPr="00CE7D18">
              <w:rPr>
                <w:b/>
                <w:bCs/>
                <w:sz w:val="26"/>
                <w:szCs w:val="26"/>
              </w:rPr>
              <w:t>Referencias</w:t>
            </w:r>
          </w:p>
          <w:p w14:paraId="2F21A26A" w14:textId="040FFAA2" w:rsidR="00561043" w:rsidRPr="00CE7D18" w:rsidRDefault="00561043" w:rsidP="00727D48">
            <w:pPr>
              <w:spacing w:after="120"/>
              <w:jc w:val="both"/>
              <w:rPr>
                <w:b/>
                <w:bCs/>
                <w:sz w:val="26"/>
                <w:szCs w:val="26"/>
              </w:rPr>
            </w:pPr>
            <w:hyperlink r:id="rId8" w:history="1">
              <w:r w:rsidRPr="00CE7D18">
                <w:rPr>
                  <w:rStyle w:val="Hyperlink"/>
                  <w:i/>
                  <w:iCs/>
                  <w:sz w:val="22"/>
                  <w:szCs w:val="22"/>
                </w:rPr>
                <w:t>Artículo 1 del Reglamento Interno del Consejo</w:t>
              </w:r>
            </w:hyperlink>
            <w:r w:rsidRPr="00CE7D18">
              <w:rPr>
                <w:i/>
                <w:iCs/>
                <w:sz w:val="22"/>
                <w:szCs w:val="22"/>
              </w:rPr>
              <w:t xml:space="preserve">; </w:t>
            </w:r>
            <w:r w:rsidR="00F75F8F">
              <w:rPr>
                <w:i/>
                <w:iCs/>
                <w:sz w:val="22"/>
                <w:szCs w:val="22"/>
              </w:rPr>
              <w:t>Resoluciones</w:t>
            </w:r>
            <w:r w:rsidRPr="00CE7D18">
              <w:rPr>
                <w:i/>
                <w:iCs/>
                <w:sz w:val="22"/>
                <w:szCs w:val="22"/>
              </w:rPr>
              <w:t xml:space="preserve"> </w:t>
            </w:r>
            <w:hyperlink r:id="rId9" w:history="1">
              <w:r w:rsidRPr="00F75F8F">
                <w:rPr>
                  <w:rStyle w:val="Hyperlink"/>
                  <w:i/>
                  <w:iCs/>
                  <w:sz w:val="22"/>
                  <w:szCs w:val="22"/>
                </w:rPr>
                <w:t>77 (Rev. Bucarest, 2022)</w:t>
              </w:r>
            </w:hyperlink>
            <w:r w:rsidRPr="00CE7D18">
              <w:rPr>
                <w:i/>
                <w:iCs/>
                <w:sz w:val="22"/>
                <w:szCs w:val="22"/>
              </w:rPr>
              <w:t xml:space="preserve"> y </w:t>
            </w:r>
            <w:hyperlink r:id="rId10" w:history="1">
              <w:r w:rsidRPr="00CE7D18">
                <w:rPr>
                  <w:rStyle w:val="Hyperlink"/>
                  <w:i/>
                  <w:iCs/>
                  <w:sz w:val="22"/>
                  <w:szCs w:val="22"/>
                </w:rPr>
                <w:t xml:space="preserve">111 (Rev. </w:t>
              </w:r>
              <w:proofErr w:type="spellStart"/>
              <w:r w:rsidRPr="00CE7D18">
                <w:rPr>
                  <w:rStyle w:val="Hyperlink"/>
                  <w:i/>
                  <w:iCs/>
                  <w:sz w:val="22"/>
                  <w:szCs w:val="22"/>
                </w:rPr>
                <w:t>Busán</w:t>
              </w:r>
              <w:proofErr w:type="spellEnd"/>
              <w:r w:rsidRPr="00CE7D18">
                <w:rPr>
                  <w:rStyle w:val="Hyperlink"/>
                  <w:i/>
                  <w:iCs/>
                  <w:sz w:val="22"/>
                  <w:szCs w:val="22"/>
                </w:rPr>
                <w:t>,</w:t>
              </w:r>
              <w:r w:rsidRPr="00CE7D18">
                <w:rPr>
                  <w:rStyle w:val="Hyperlink"/>
                  <w:i/>
                  <w:iCs/>
                  <w:sz w:val="22"/>
                  <w:szCs w:val="22"/>
                </w:rPr>
                <w:t xml:space="preserve"> 2014)</w:t>
              </w:r>
            </w:hyperlink>
            <w:r w:rsidRPr="00CE7D18">
              <w:rPr>
                <w:i/>
                <w:iCs/>
                <w:sz w:val="22"/>
                <w:szCs w:val="22"/>
              </w:rPr>
              <w:t xml:space="preserve"> de la Conferencia de Plenipotenciarios; </w:t>
            </w:r>
            <w:r w:rsidRPr="00727D48">
              <w:rPr>
                <w:i/>
                <w:iCs/>
                <w:sz w:val="22"/>
                <w:szCs w:val="22"/>
              </w:rPr>
              <w:t>Acuerd</w:t>
            </w:r>
            <w:r w:rsidRPr="00727D48">
              <w:rPr>
                <w:i/>
                <w:iCs/>
                <w:sz w:val="22"/>
                <w:szCs w:val="22"/>
              </w:rPr>
              <w:t>o</w:t>
            </w:r>
            <w:r w:rsidRPr="00727D48">
              <w:rPr>
                <w:i/>
                <w:iCs/>
                <w:sz w:val="22"/>
                <w:szCs w:val="22"/>
              </w:rPr>
              <w:t xml:space="preserve"> </w:t>
            </w:r>
            <w:hyperlink r:id="rId11" w:history="1">
              <w:r w:rsidRPr="00727D48">
                <w:rPr>
                  <w:rStyle w:val="Hyperlink"/>
                  <w:i/>
                  <w:iCs/>
                  <w:sz w:val="22"/>
                  <w:szCs w:val="22"/>
                </w:rPr>
                <w:t>642 (</w:t>
              </w:r>
              <w:proofErr w:type="spellStart"/>
              <w:r w:rsidRPr="00727D48">
                <w:rPr>
                  <w:rStyle w:val="Hyperlink"/>
                  <w:i/>
                  <w:iCs/>
                  <w:sz w:val="22"/>
                  <w:szCs w:val="22"/>
                </w:rPr>
                <w:t>C24</w:t>
              </w:r>
              <w:proofErr w:type="spellEnd"/>
              <w:r w:rsidRPr="00727D48">
                <w:rPr>
                  <w:rStyle w:val="Hyperlink"/>
                  <w:i/>
                  <w:iCs/>
                  <w:sz w:val="22"/>
                  <w:szCs w:val="22"/>
                </w:rPr>
                <w:t>)</w:t>
              </w:r>
            </w:hyperlink>
            <w:r w:rsidRPr="00CE7D18">
              <w:rPr>
                <w:i/>
                <w:iCs/>
                <w:sz w:val="22"/>
                <w:szCs w:val="22"/>
              </w:rPr>
              <w:t xml:space="preserve"> del Consejo.</w:t>
            </w:r>
          </w:p>
        </w:tc>
      </w:tr>
      <w:bookmarkEnd w:id="0"/>
    </w:tbl>
    <w:p w14:paraId="567BC8A2" w14:textId="77777777" w:rsidR="00561043" w:rsidRDefault="00561043">
      <w:pPr>
        <w:tabs>
          <w:tab w:val="clear" w:pos="567"/>
          <w:tab w:val="clear" w:pos="1134"/>
          <w:tab w:val="clear" w:pos="1701"/>
          <w:tab w:val="clear" w:pos="2268"/>
          <w:tab w:val="clear" w:pos="2835"/>
        </w:tabs>
        <w:overflowPunct/>
        <w:autoSpaceDE/>
        <w:autoSpaceDN/>
        <w:adjustRightInd/>
        <w:spacing w:before="0"/>
        <w:textAlignment w:val="auto"/>
        <w:rPr>
          <w:b/>
        </w:rPr>
      </w:pPr>
      <w:r>
        <w:br w:type="page"/>
      </w:r>
    </w:p>
    <w:p w14:paraId="058DAB08" w14:textId="068C7BF3" w:rsidR="00046832" w:rsidRPr="00CE7D18" w:rsidRDefault="00046832" w:rsidP="00277AED">
      <w:pPr>
        <w:pStyle w:val="Headingb"/>
      </w:pPr>
      <w:r w:rsidRPr="00CE7D18">
        <w:lastRenderedPageBreak/>
        <w:t>Introducción</w:t>
      </w:r>
    </w:p>
    <w:p w14:paraId="26E6F5B9" w14:textId="77777777" w:rsidR="00046832" w:rsidRPr="00CE7D18" w:rsidRDefault="00046832" w:rsidP="00F75F8F">
      <w:pPr>
        <w:jc w:val="both"/>
      </w:pPr>
      <w:r w:rsidRPr="00CE7D18">
        <w:t>1</w:t>
      </w:r>
      <w:r w:rsidRPr="00CE7D18">
        <w:tab/>
        <w:t xml:space="preserve">En su reunión de 2024 (11-21 de junio de 2024), el Consejo de la UIT adoptó el </w:t>
      </w:r>
      <w:hyperlink r:id="rId12" w:history="1">
        <w:r w:rsidRPr="00CE7D18">
          <w:rPr>
            <w:rStyle w:val="Hyperlink"/>
          </w:rPr>
          <w:t>Acuerdo 642</w:t>
        </w:r>
      </w:hyperlink>
      <w:r w:rsidRPr="00CE7D18">
        <w:t>, relativo a las fechas y duración propuestas tanto para las reuniones de 2025, 2026 y 2027 del Consejo, como para las series de reuniones de los Grupos de Trabajo y Grupos de Expertos del Consejo (GTC y GE) para el mismo periodo.</w:t>
      </w:r>
    </w:p>
    <w:p w14:paraId="056D8D4E" w14:textId="77777777" w:rsidR="00046832" w:rsidRPr="00CE7D18" w:rsidRDefault="00046832" w:rsidP="00F75F8F">
      <w:pPr>
        <w:jc w:val="both"/>
      </w:pPr>
      <w:r w:rsidRPr="00CE7D18">
        <w:t>2</w:t>
      </w:r>
      <w:r w:rsidRPr="00CE7D18">
        <w:tab/>
        <w:t>Se pide al Consejo 25 que vuelva a confirmar las fechas para 2026 y 2027, y que examine y apruebe las fechas propuestas para el Consejo y sus Grupos de Trabajo en 2028.</w:t>
      </w:r>
    </w:p>
    <w:p w14:paraId="56D2ADAB" w14:textId="77777777" w:rsidR="00046832" w:rsidRPr="00CE7D18" w:rsidRDefault="00046832" w:rsidP="00F75F8F">
      <w:pPr>
        <w:jc w:val="both"/>
      </w:pPr>
      <w:r w:rsidRPr="00CE7D18">
        <w:t>3</w:t>
      </w:r>
      <w:r w:rsidRPr="00CE7D18">
        <w:tab/>
        <w:t>La planificación para 2028 presenta varios desafíos:</w:t>
      </w:r>
    </w:p>
    <w:p w14:paraId="6B5D6C22" w14:textId="6357AE7E" w:rsidR="00046832" w:rsidRPr="00CE7D18" w:rsidRDefault="00277AED" w:rsidP="007A1DB7">
      <w:pPr>
        <w:pStyle w:val="enumlev1"/>
      </w:pPr>
      <w:r w:rsidRPr="00CE7D18">
        <w:t>–</w:t>
      </w:r>
      <w:r w:rsidRPr="00CE7D18">
        <w:tab/>
      </w:r>
      <w:r w:rsidR="00046832" w:rsidRPr="00CE7D18">
        <w:t xml:space="preserve">Las salas de reunión de la Sede de la UIT podrían no estar disponibles en 2028 debido al desmantelamiento del edificio de Varembé (véase el </w:t>
      </w:r>
      <w:hyperlink r:id="rId13" w:history="1">
        <w:r w:rsidR="00046832" w:rsidRPr="00CE7D18">
          <w:rPr>
            <w:rStyle w:val="Hyperlink"/>
          </w:rPr>
          <w:t>Acuerdo 640</w:t>
        </w:r>
      </w:hyperlink>
      <w:r w:rsidR="00046832" w:rsidRPr="00CE7D18">
        <w:t xml:space="preserve"> (C24) del Consejo sobre el proyecto alternativo reevaluado de las instalaciones de la Sede de la UIT; Documento </w:t>
      </w:r>
      <w:hyperlink r:id="rId14" w:history="1">
        <w:proofErr w:type="spellStart"/>
        <w:r w:rsidR="00046832" w:rsidRPr="00CE7D18">
          <w:rPr>
            <w:rStyle w:val="Hyperlink"/>
          </w:rPr>
          <w:t>CWG</w:t>
        </w:r>
        <w:proofErr w:type="spellEnd"/>
        <w:r w:rsidR="00046832" w:rsidRPr="00CE7D18">
          <w:rPr>
            <w:rStyle w:val="Hyperlink"/>
          </w:rPr>
          <w:t>-</w:t>
        </w:r>
        <w:proofErr w:type="spellStart"/>
        <w:r w:rsidR="00046832" w:rsidRPr="00CE7D18">
          <w:rPr>
            <w:rStyle w:val="Hyperlink"/>
          </w:rPr>
          <w:t>FHR</w:t>
        </w:r>
        <w:proofErr w:type="spellEnd"/>
        <w:r w:rsidR="00046832" w:rsidRPr="00CE7D18">
          <w:rPr>
            <w:rStyle w:val="Hyperlink"/>
          </w:rPr>
          <w:t>-</w:t>
        </w:r>
        <w:r w:rsidR="00046832" w:rsidRPr="00CE7D18">
          <w:rPr>
            <w:rStyle w:val="Hyperlink"/>
          </w:rPr>
          <w:t>2</w:t>
        </w:r>
        <w:r w:rsidR="00046832" w:rsidRPr="00CE7D18">
          <w:rPr>
            <w:rStyle w:val="Hyperlink"/>
          </w:rPr>
          <w:t>0/8</w:t>
        </w:r>
      </w:hyperlink>
      <w:r w:rsidR="00046832" w:rsidRPr="00CE7D18">
        <w:t xml:space="preserve"> sobre el proyecto inicial del plan estratégico de las instalaciones; y el calendario del proyecto de la Sede de la UIT presentado en el Anexo</w:t>
      </w:r>
      <w:r w:rsidR="005C00E1" w:rsidRPr="00CE7D18">
        <w:t> </w:t>
      </w:r>
      <w:r w:rsidR="00046832" w:rsidRPr="00CE7D18">
        <w:t xml:space="preserve">G del Documento </w:t>
      </w:r>
      <w:hyperlink r:id="rId15" w:history="1">
        <w:r w:rsidR="00046832" w:rsidRPr="00CE7D18">
          <w:rPr>
            <w:rStyle w:val="Hyperlink"/>
          </w:rPr>
          <w:t>C24/7</w:t>
        </w:r>
      </w:hyperlink>
      <w:r w:rsidR="00046832" w:rsidRPr="00CE7D18">
        <w:t xml:space="preserve"> del Consejo.</w:t>
      </w:r>
    </w:p>
    <w:p w14:paraId="7A0A4D95" w14:textId="1013FFCE" w:rsidR="00046832" w:rsidRPr="00CE7D18" w:rsidRDefault="00277AED" w:rsidP="007A1DB7">
      <w:pPr>
        <w:pStyle w:val="enumlev1"/>
      </w:pPr>
      <w:r w:rsidRPr="00CE7D18">
        <w:t>–</w:t>
      </w:r>
      <w:r w:rsidRPr="00CE7D18">
        <w:tab/>
      </w:r>
      <w:r w:rsidR="00046832" w:rsidRPr="00CE7D18">
        <w:t>El Centro Internacional de Conferencias de Ginebra (CICG) no estará disponible en 2028.</w:t>
      </w:r>
    </w:p>
    <w:p w14:paraId="784F496F" w14:textId="045FD5B4" w:rsidR="00046832" w:rsidRPr="00CE7D18" w:rsidRDefault="00277AED" w:rsidP="007A1DB7">
      <w:pPr>
        <w:pStyle w:val="enumlev1"/>
      </w:pPr>
      <w:r w:rsidRPr="00CE7D18">
        <w:t>–</w:t>
      </w:r>
      <w:r w:rsidRPr="00CE7D18">
        <w:tab/>
      </w:r>
      <w:r w:rsidR="00046832" w:rsidRPr="00CE7D18">
        <w:t>El centro de conferencias Palexpo (en Ginebra) es actualmente el lugar propuesto para celebrar el Consejo 28 y los dos grupos de GTC y GE; el centro de conferencias no abrirá el fin de semana anterior a los eventos y, en consecuencia, las reuniones de los GTC y los GE tendrían que comenzar el martes, para permitir la preparación de las salas el lunes anterior al comienzo de las reuniones.</w:t>
      </w:r>
    </w:p>
    <w:p w14:paraId="14C10E5B" w14:textId="127CB235" w:rsidR="00046832" w:rsidRPr="00CE7D18" w:rsidRDefault="00277AED" w:rsidP="007A1DB7">
      <w:pPr>
        <w:pStyle w:val="enumlev1"/>
      </w:pPr>
      <w:r w:rsidRPr="00CE7D18">
        <w:t>–</w:t>
      </w:r>
      <w:r w:rsidRPr="00CE7D18">
        <w:tab/>
      </w:r>
      <w:r w:rsidR="00046832" w:rsidRPr="00CE7D18">
        <w:t>Para evitar conflictos con dos importantes eventos religiosos, el primer grupo de los GTC y GE se celebrará a principios de año o a finales de marzo.</w:t>
      </w:r>
    </w:p>
    <w:p w14:paraId="4D50633E" w14:textId="1FC96768" w:rsidR="00046832" w:rsidRPr="00CE7D18" w:rsidRDefault="00046832" w:rsidP="00F75F8F">
      <w:pPr>
        <w:jc w:val="both"/>
      </w:pPr>
      <w:r w:rsidRPr="00CE7D18">
        <w:t>4</w:t>
      </w:r>
      <w:r w:rsidRPr="00CE7D18">
        <w:tab/>
        <w:t>Por consiguiente, las fechas propuestas para los GTC y GE, as</w:t>
      </w:r>
      <w:r w:rsidR="005C00E1" w:rsidRPr="00CE7D18">
        <w:t>í</w:t>
      </w:r>
      <w:r w:rsidRPr="00CE7D18">
        <w:t xml:space="preserve"> como para la sesión del Consejo en 2028, son las siguientes:</w:t>
      </w:r>
    </w:p>
    <w:p w14:paraId="1FFC257B" w14:textId="514E5B70" w:rsidR="00046832" w:rsidRPr="00CE7D18" w:rsidRDefault="005C00E1" w:rsidP="007A1DB7">
      <w:pPr>
        <w:pStyle w:val="enumlev1"/>
      </w:pPr>
      <w:r w:rsidRPr="00CE7D18">
        <w:t>–</w:t>
      </w:r>
      <w:r w:rsidRPr="00CE7D18">
        <w:tab/>
      </w:r>
      <w:r w:rsidR="00046832" w:rsidRPr="00CE7D18">
        <w:t xml:space="preserve">primera serie de reuniones de los Grupos de Trabajo y los Grupos de Expertos del Consejo (9 días): </w:t>
      </w:r>
      <w:r w:rsidR="00046832" w:rsidRPr="00CE7D18">
        <w:rPr>
          <w:b/>
          <w:bCs/>
        </w:rPr>
        <w:t>del</w:t>
      </w:r>
      <w:r w:rsidR="00046832" w:rsidRPr="00CE7D18">
        <w:t xml:space="preserve"> </w:t>
      </w:r>
      <w:r w:rsidR="00046832" w:rsidRPr="00CE7D18">
        <w:rPr>
          <w:b/>
        </w:rPr>
        <w:t>martes 11 de enero al viernes 21 de enero de 2028</w:t>
      </w:r>
      <w:r w:rsidR="00046832" w:rsidRPr="00CE7D18">
        <w:rPr>
          <w:bCs/>
        </w:rPr>
        <w:t>.</w:t>
      </w:r>
    </w:p>
    <w:p w14:paraId="27369F00" w14:textId="002F9720" w:rsidR="00046832" w:rsidRPr="00CE7D18" w:rsidRDefault="005C00E1" w:rsidP="007A1DB7">
      <w:pPr>
        <w:pStyle w:val="enumlev1"/>
        <w:rPr>
          <w:bCs/>
        </w:rPr>
      </w:pPr>
      <w:r w:rsidRPr="00CE7D18">
        <w:t>–</w:t>
      </w:r>
      <w:r w:rsidRPr="00CE7D18">
        <w:tab/>
      </w:r>
      <w:r w:rsidR="00046832" w:rsidRPr="00CE7D18">
        <w:t xml:space="preserve">reunión de 2028 del Consejo de la UIT (9 días): </w:t>
      </w:r>
      <w:r w:rsidR="00046832" w:rsidRPr="00CE7D18">
        <w:rPr>
          <w:b/>
          <w:bCs/>
        </w:rPr>
        <w:t>del</w:t>
      </w:r>
      <w:r w:rsidR="00046832" w:rsidRPr="00CE7D18">
        <w:t xml:space="preserve"> </w:t>
      </w:r>
      <w:r w:rsidR="00046832" w:rsidRPr="00CE7D18">
        <w:rPr>
          <w:b/>
        </w:rPr>
        <w:t>martes 13 de junio al viernes 23 de junio de 2028</w:t>
      </w:r>
      <w:r w:rsidRPr="00CE7D18">
        <w:rPr>
          <w:bCs/>
        </w:rPr>
        <w:t>;</w:t>
      </w:r>
    </w:p>
    <w:p w14:paraId="757E8921" w14:textId="466DA672" w:rsidR="00046832" w:rsidRPr="00CE7D18" w:rsidRDefault="005C00E1" w:rsidP="007A1DB7">
      <w:pPr>
        <w:pStyle w:val="enumlev1"/>
        <w:rPr>
          <w:bCs/>
        </w:rPr>
      </w:pPr>
      <w:r w:rsidRPr="00CE7D18">
        <w:t>–</w:t>
      </w:r>
      <w:r w:rsidRPr="00CE7D18">
        <w:tab/>
      </w:r>
      <w:r w:rsidR="00046832" w:rsidRPr="00CE7D18">
        <w:t xml:space="preserve">segunda serie de reuniones de los Grupos de Trabajo y los Grupos de Expertos del Consejo (9 días): </w:t>
      </w:r>
      <w:r w:rsidR="00046832" w:rsidRPr="00CE7D18">
        <w:rPr>
          <w:b/>
          <w:bCs/>
        </w:rPr>
        <w:t>del</w:t>
      </w:r>
      <w:r w:rsidR="00046832" w:rsidRPr="00CE7D18">
        <w:t xml:space="preserve"> </w:t>
      </w:r>
      <w:r w:rsidR="00046832" w:rsidRPr="00CE7D18">
        <w:rPr>
          <w:b/>
        </w:rPr>
        <w:t>martes 12 de septiembre al viernes 22 de septiembre de 2028</w:t>
      </w:r>
      <w:r w:rsidR="00277AED" w:rsidRPr="00CE7D18">
        <w:rPr>
          <w:bCs/>
        </w:rPr>
        <w:t>.</w:t>
      </w:r>
    </w:p>
    <w:p w14:paraId="125FB7CB" w14:textId="77777777" w:rsidR="00046832" w:rsidRPr="00CE7D18" w:rsidRDefault="00046832" w:rsidP="00F75F8F">
      <w:pPr>
        <w:jc w:val="both"/>
      </w:pPr>
      <w:r w:rsidRPr="00CE7D18">
        <w:t>5</w:t>
      </w:r>
      <w:r w:rsidRPr="00CE7D18">
        <w:tab/>
        <w:t xml:space="preserve">Se invita al Consejo a </w:t>
      </w:r>
      <w:r w:rsidRPr="00CE7D18">
        <w:rPr>
          <w:b/>
        </w:rPr>
        <w:t>adoptar</w:t>
      </w:r>
      <w:r w:rsidRPr="00CE7D18">
        <w:rPr>
          <w:bCs/>
        </w:rPr>
        <w:t xml:space="preserve"> </w:t>
      </w:r>
      <w:r w:rsidRPr="00CE7D18">
        <w:t>el proyecto de Acuerdo que figura en el Anexo, en virtud del cual se acuerdan las fechas de las reuniones del Consejo y de las series de reuniones de sus GTC y GE.</w:t>
      </w:r>
    </w:p>
    <w:p w14:paraId="7D1AA382" w14:textId="77777777" w:rsidR="00046832" w:rsidRPr="00CE7D18" w:rsidRDefault="00046832" w:rsidP="00F75F8F">
      <w:pPr>
        <w:spacing w:before="2400"/>
        <w:rPr>
          <w:bCs/>
          <w:i/>
          <w:iCs/>
        </w:rPr>
      </w:pPr>
      <w:r w:rsidRPr="00CE7D18">
        <w:rPr>
          <w:b/>
          <w:bCs/>
          <w:i/>
          <w:iCs/>
        </w:rPr>
        <w:t>Anexo</w:t>
      </w:r>
      <w:r w:rsidRPr="00CE7D18">
        <w:rPr>
          <w:i/>
          <w:iCs/>
        </w:rPr>
        <w:t xml:space="preserve">: </w:t>
      </w:r>
      <w:r w:rsidRPr="00CE7D18">
        <w:rPr>
          <w:bCs/>
          <w:i/>
          <w:iCs/>
        </w:rPr>
        <w:t>1</w:t>
      </w:r>
    </w:p>
    <w:p w14:paraId="01FFBE59" w14:textId="77777777" w:rsidR="00046832" w:rsidRPr="00CE7D18" w:rsidRDefault="00046832" w:rsidP="00046832">
      <w:r w:rsidRPr="00CE7D18">
        <w:br w:type="page"/>
      </w:r>
    </w:p>
    <w:p w14:paraId="4B360338" w14:textId="77777777" w:rsidR="00046832" w:rsidRPr="00CE7D18" w:rsidRDefault="00046832" w:rsidP="00277AED">
      <w:pPr>
        <w:pStyle w:val="AnnexNo"/>
      </w:pPr>
      <w:bookmarkStart w:id="1" w:name="_Hlk37226918"/>
      <w:r w:rsidRPr="00CE7D18">
        <w:lastRenderedPageBreak/>
        <w:t>Anexo</w:t>
      </w:r>
    </w:p>
    <w:p w14:paraId="72265F99" w14:textId="77777777" w:rsidR="00046832" w:rsidRPr="00CE7D18" w:rsidRDefault="00046832" w:rsidP="007A1DB7">
      <w:pPr>
        <w:pStyle w:val="DesNo"/>
      </w:pPr>
      <w:r w:rsidRPr="00CE7D18">
        <w:t>Proyecto de acuerdo [...]</w:t>
      </w:r>
    </w:p>
    <w:p w14:paraId="452E62C6" w14:textId="77777777" w:rsidR="00046832" w:rsidRPr="00CE7D18" w:rsidRDefault="00046832" w:rsidP="007A1DB7">
      <w:pPr>
        <w:pStyle w:val="Destitle"/>
      </w:pPr>
      <w:r w:rsidRPr="00CE7D18">
        <w:t xml:space="preserve">Fechas y duración propuestas para las reuniones de 2026, 2027 y 2028 </w:t>
      </w:r>
      <w:r w:rsidRPr="00CE7D18">
        <w:br/>
        <w:t>del Consejo y fechas propuestas para las series de reuniones</w:t>
      </w:r>
      <w:r w:rsidRPr="00CE7D18">
        <w:br/>
        <w:t>de los Grupos de Trabajo y Grupos de Expertos</w:t>
      </w:r>
      <w:r w:rsidRPr="00CE7D18">
        <w:br/>
        <w:t>del Consejo para el mismo periodo</w:t>
      </w:r>
    </w:p>
    <w:bookmarkEnd w:id="1"/>
    <w:p w14:paraId="1F9018E1" w14:textId="77777777" w:rsidR="00046832" w:rsidRPr="00CE7D18" w:rsidRDefault="00046832" w:rsidP="007A1DB7">
      <w:pPr>
        <w:pStyle w:val="Normalaftertitle"/>
      </w:pPr>
      <w:r w:rsidRPr="00CE7D18">
        <w:t>El Consejo de la UIT,</w:t>
      </w:r>
    </w:p>
    <w:p w14:paraId="76172622" w14:textId="77777777" w:rsidR="00046832" w:rsidRPr="00CE7D18" w:rsidRDefault="00046832" w:rsidP="00277AED">
      <w:pPr>
        <w:pStyle w:val="Call"/>
      </w:pPr>
      <w:r w:rsidRPr="00CE7D18">
        <w:t>teniendo presente</w:t>
      </w:r>
    </w:p>
    <w:p w14:paraId="711EE19B" w14:textId="77777777" w:rsidR="00046832" w:rsidRPr="00CE7D18" w:rsidRDefault="00046832" w:rsidP="007A1DB7">
      <w:pPr>
        <w:jc w:val="both"/>
      </w:pPr>
      <w:r w:rsidRPr="00CE7D18">
        <w:rPr>
          <w:i/>
          <w:iCs/>
        </w:rPr>
        <w:t>a)</w:t>
      </w:r>
      <w:r w:rsidRPr="00CE7D18">
        <w:tab/>
        <w:t>la Resolución 77 (Rev. Bucarest, 2022) de la Conferencia de Plenipotenciarios, en la que se encarga al Consejo "que, en cada reunión ordinaria, planifique sus próximas tres reuniones ordinarias para el periodo junio-julio y examine dicha planificación de manera continua";</w:t>
      </w:r>
    </w:p>
    <w:p w14:paraId="48C1EFDE" w14:textId="37148D45" w:rsidR="00046832" w:rsidRPr="00CE7D18" w:rsidRDefault="00046832" w:rsidP="007A1DB7">
      <w:pPr>
        <w:jc w:val="both"/>
      </w:pPr>
      <w:r w:rsidRPr="00CE7D18">
        <w:rPr>
          <w:i/>
          <w:iCs/>
        </w:rPr>
        <w:t>b)</w:t>
      </w:r>
      <w:r w:rsidRPr="00CE7D18">
        <w:rPr>
          <w:i/>
          <w:iCs/>
        </w:rPr>
        <w:tab/>
      </w:r>
      <w:r w:rsidRPr="00CE7D18">
        <w:t>la Resolución 111 (Rev. Busán, 2014) de la Conferencia de Plenipotenciarios, en la que se resuelve "que la Unión y los Estados Miembros del Consejo hagan, en la medida de lo posible, todo lo que esté en su mano para que las reuniones del Consejo de la UIT no coincidan con un periodo religioso importante para un Estado Miembro del Consejo"</w:t>
      </w:r>
      <w:r w:rsidR="00CE7D18" w:rsidRPr="00CE7D18">
        <w:t>,</w:t>
      </w:r>
    </w:p>
    <w:p w14:paraId="531BFB87" w14:textId="77777777" w:rsidR="00046832" w:rsidRPr="00CE7D18" w:rsidRDefault="00046832" w:rsidP="00277AED">
      <w:pPr>
        <w:pStyle w:val="Call"/>
      </w:pPr>
      <w:r w:rsidRPr="00CE7D18">
        <w:t>destacando</w:t>
      </w:r>
    </w:p>
    <w:p w14:paraId="738D48C0" w14:textId="4742C026" w:rsidR="00046832" w:rsidRPr="00CE7D18" w:rsidRDefault="00046832" w:rsidP="007A1DB7">
      <w:pPr>
        <w:jc w:val="both"/>
      </w:pPr>
      <w:r w:rsidRPr="00CE7D18">
        <w:rPr>
          <w:i/>
          <w:iCs/>
        </w:rPr>
        <w:t>a)</w:t>
      </w:r>
      <w:r w:rsidRPr="00CE7D18">
        <w:tab/>
        <w:t>la necesidad de programar las reuniones ordinarias del Consejo, dentro de lo posible, en la misma época del año para facilitar la disposición de los demás eventos de la UIT</w:t>
      </w:r>
      <w:r w:rsidR="00752FA0" w:rsidRPr="00CE7D18">
        <w:t>;</w:t>
      </w:r>
    </w:p>
    <w:p w14:paraId="0E2CDE5F" w14:textId="77777777" w:rsidR="00046832" w:rsidRPr="00CE7D18" w:rsidRDefault="00046832" w:rsidP="007A1DB7">
      <w:pPr>
        <w:jc w:val="both"/>
      </w:pPr>
      <w:r w:rsidRPr="00CE7D18">
        <w:rPr>
          <w:i/>
          <w:iCs/>
        </w:rPr>
        <w:t>b)</w:t>
      </w:r>
      <w:r w:rsidRPr="00CE7D18">
        <w:rPr>
          <w:i/>
          <w:iCs/>
        </w:rPr>
        <w:tab/>
      </w:r>
      <w:r w:rsidRPr="00CE7D18">
        <w:t>que la programación de las series de reuniones de Grupos de Trabajo y Grupos de Expertos del Consejo (GTC y GE) para los tres próximos años no sólo mejoraría la planificación global de los eventos de la UIT, sino que también reduciría el riesgo de solapamiento,</w:t>
      </w:r>
    </w:p>
    <w:p w14:paraId="6A5B9649" w14:textId="77777777" w:rsidR="00046832" w:rsidRPr="00CE7D18" w:rsidRDefault="00046832" w:rsidP="00277AED">
      <w:pPr>
        <w:pStyle w:val="Call"/>
      </w:pPr>
      <w:r w:rsidRPr="00CE7D18">
        <w:t>recordando</w:t>
      </w:r>
    </w:p>
    <w:p w14:paraId="56A15C10" w14:textId="77777777" w:rsidR="00046832" w:rsidRPr="00CE7D18" w:rsidRDefault="00046832" w:rsidP="00046832">
      <w:r w:rsidRPr="00CE7D18">
        <w:t>el Acuerdo 642 (C24) del Consejo, por el que se confirman las fechas y la duración de las reuniones 2025, 2026 y 2027 del Consejo, así como de la serie de reuniones agrupadas de Grupos de Trabajo y Grupos de Expertos del Consejo para el mismo periodo,</w:t>
      </w:r>
    </w:p>
    <w:p w14:paraId="0755C116" w14:textId="77777777" w:rsidR="00046832" w:rsidRPr="00CE7D18" w:rsidRDefault="00046832" w:rsidP="00277AED">
      <w:pPr>
        <w:pStyle w:val="Call"/>
      </w:pPr>
      <w:r w:rsidRPr="00CE7D18">
        <w:t>considerando</w:t>
      </w:r>
    </w:p>
    <w:p w14:paraId="7FDD1259" w14:textId="77777777" w:rsidR="00046832" w:rsidRPr="00CE7D18" w:rsidRDefault="00046832" w:rsidP="007A1DB7">
      <w:pPr>
        <w:jc w:val="both"/>
      </w:pPr>
      <w:r w:rsidRPr="00CE7D18">
        <w:rPr>
          <w:i/>
          <w:iCs/>
        </w:rPr>
        <w:t>a)</w:t>
      </w:r>
      <w:r w:rsidRPr="00CE7D18">
        <w:tab/>
        <w:t>el Acuerdo 640 (C24) sobre el proyecto alternativo reevaluado para la sede de la UIT y la necesidad de encontrar salas de reunión fuera de la Sede de la UIT durante el año 2028;</w:t>
      </w:r>
    </w:p>
    <w:p w14:paraId="5F15EAB9" w14:textId="77777777" w:rsidR="00046832" w:rsidRPr="00CE7D18" w:rsidRDefault="00046832" w:rsidP="007A1DB7">
      <w:pPr>
        <w:jc w:val="both"/>
      </w:pPr>
      <w:r w:rsidRPr="00CE7D18">
        <w:rPr>
          <w:i/>
          <w:iCs/>
        </w:rPr>
        <w:t>b)</w:t>
      </w:r>
      <w:r w:rsidRPr="00CE7D18">
        <w:rPr>
          <w:i/>
          <w:iCs/>
        </w:rPr>
        <w:tab/>
      </w:r>
      <w:r w:rsidRPr="00CE7D18">
        <w:t>que el Centro Internacional de Conferencias de Ginebra (CICG) no estará disponible la mayor parte del año 2028,</w:t>
      </w:r>
    </w:p>
    <w:p w14:paraId="66DAA7ED" w14:textId="77777777" w:rsidR="00046832" w:rsidRPr="00CE7D18" w:rsidRDefault="00046832" w:rsidP="00277AED">
      <w:pPr>
        <w:pStyle w:val="Call"/>
      </w:pPr>
      <w:r w:rsidRPr="00CE7D18">
        <w:t>consciente</w:t>
      </w:r>
    </w:p>
    <w:p w14:paraId="6D691E70" w14:textId="77777777" w:rsidR="00046832" w:rsidRPr="00CE7D18" w:rsidRDefault="00046832" w:rsidP="007A1DB7">
      <w:pPr>
        <w:jc w:val="both"/>
      </w:pPr>
      <w:r w:rsidRPr="00CE7D18">
        <w:t>de la Decisión 11 (Rev. Bucarest, 2022) de la Conferencia de Plenipotenciarios, relativa a la creación y gestión de los Grupos de Trabajo del Consejo, que remite al Anexo 2 a la Decisión 5 (Rev. Bucarest, 2022) de la misma Conferencia, sobre medidas destinadas a reducir gastos,</w:t>
      </w:r>
    </w:p>
    <w:p w14:paraId="74C1ABBD" w14:textId="77777777" w:rsidR="00046832" w:rsidRPr="00CE7D18" w:rsidRDefault="00046832" w:rsidP="00277AED">
      <w:pPr>
        <w:pStyle w:val="Call"/>
      </w:pPr>
      <w:bookmarkStart w:id="2" w:name="_Hlk70323209"/>
      <w:r w:rsidRPr="00CE7D18">
        <w:lastRenderedPageBreak/>
        <w:t>acuerda</w:t>
      </w:r>
    </w:p>
    <w:bookmarkEnd w:id="2"/>
    <w:p w14:paraId="44E67802" w14:textId="77777777" w:rsidR="00046832" w:rsidRPr="00CE7D18" w:rsidRDefault="00046832" w:rsidP="007A1DB7">
      <w:pPr>
        <w:jc w:val="both"/>
      </w:pPr>
      <w:r w:rsidRPr="00CE7D18">
        <w:t>1</w:t>
      </w:r>
      <w:r w:rsidRPr="00CE7D18">
        <w:tab/>
        <w:t>que la reunión ordinaria del Consejo de 2026 se celebre en Ginebra durante un periodo de nueve días laborables y que las series de reuniones de los GTC y GE se celebren en las fechas siguientes:</w:t>
      </w:r>
    </w:p>
    <w:p w14:paraId="5896B26D" w14:textId="77777777" w:rsidR="00046832" w:rsidRPr="00CE7D18" w:rsidRDefault="00046832" w:rsidP="007A1DB7">
      <w:pPr>
        <w:pStyle w:val="enumlev1"/>
      </w:pPr>
      <w:r w:rsidRPr="00CE7D18">
        <w:t>–</w:t>
      </w:r>
      <w:r w:rsidRPr="00CE7D18">
        <w:tab/>
        <w:t>primera serie de reuniones: del lunes 12 de enero al viernes 23 de enero de 2026;</w:t>
      </w:r>
    </w:p>
    <w:p w14:paraId="2847E74D" w14:textId="3AF12B77" w:rsidR="00046832" w:rsidRPr="00CE7D18" w:rsidRDefault="00046832" w:rsidP="007A1DB7">
      <w:pPr>
        <w:pStyle w:val="enumlev1"/>
      </w:pPr>
      <w:r w:rsidRPr="00CE7D18">
        <w:t>–</w:t>
      </w:r>
      <w:r w:rsidRPr="00CE7D18">
        <w:tab/>
      </w:r>
      <w:r w:rsidRPr="00CE7D18">
        <w:rPr>
          <w:b/>
        </w:rPr>
        <w:t>reunión de 2026 del Consejo: del martes 28 de abril al viernes 8 de mayo de 2026</w:t>
      </w:r>
      <w:r w:rsidRPr="00CE7D18">
        <w:t xml:space="preserve">, cuya última sesión se celebrará el sábado </w:t>
      </w:r>
      <w:r w:rsidRPr="00CE7D18">
        <w:rPr>
          <w:b/>
        </w:rPr>
        <w:t>7 de noviembre de 2026</w:t>
      </w:r>
      <w:r w:rsidRPr="00CE7D18">
        <w:t>, víspera del inicio de la Conferencia de Plenipotenciarios de 2026</w:t>
      </w:r>
      <w:r w:rsidR="00727D48">
        <w:t>;</w:t>
      </w:r>
    </w:p>
    <w:p w14:paraId="6981376F" w14:textId="77777777" w:rsidR="00046832" w:rsidRPr="00CE7D18" w:rsidRDefault="00046832" w:rsidP="007A1DB7">
      <w:pPr>
        <w:jc w:val="both"/>
      </w:pPr>
      <w:r w:rsidRPr="00CE7D18">
        <w:t>2</w:t>
      </w:r>
      <w:r w:rsidRPr="00CE7D18">
        <w:tab/>
        <w:t>que la reunión ordinaria del Consejo de 2027 se celebre en Ginebra durante un periodo de nueve días laborables y que las series de reuniones de los GTC y GE se celebren en las fechas siguientes:</w:t>
      </w:r>
    </w:p>
    <w:p w14:paraId="1D387B96" w14:textId="77777777" w:rsidR="00046832" w:rsidRPr="00CE7D18" w:rsidRDefault="00046832" w:rsidP="007A1DB7">
      <w:pPr>
        <w:pStyle w:val="enumlev1"/>
      </w:pPr>
      <w:r w:rsidRPr="00CE7D18">
        <w:t>–</w:t>
      </w:r>
      <w:r w:rsidRPr="00CE7D18">
        <w:tab/>
        <w:t>primera serie de reuniones: del lunes 18 de enero al viernes 29 de enero de 2027;</w:t>
      </w:r>
    </w:p>
    <w:p w14:paraId="1AE9F04D" w14:textId="77777777" w:rsidR="00046832" w:rsidRPr="00CE7D18" w:rsidRDefault="00046832" w:rsidP="007A1DB7">
      <w:pPr>
        <w:pStyle w:val="enumlev1"/>
      </w:pPr>
      <w:r w:rsidRPr="00CE7D18">
        <w:t>–</w:t>
      </w:r>
      <w:r w:rsidRPr="00CE7D18">
        <w:tab/>
        <w:t>reunión de 2027 del Consejo: del martes 8 de junio al viernes 18 de junio de 2027;</w:t>
      </w:r>
    </w:p>
    <w:p w14:paraId="1BB48667" w14:textId="6D9EEAD2" w:rsidR="00046832" w:rsidRPr="00CE7D18" w:rsidRDefault="00046832" w:rsidP="007A1DB7">
      <w:pPr>
        <w:pStyle w:val="enumlev1"/>
      </w:pPr>
      <w:r w:rsidRPr="00CE7D18">
        <w:t>–</w:t>
      </w:r>
      <w:r w:rsidRPr="00CE7D18">
        <w:tab/>
        <w:t>segunda serie de reuniones: del lunes 30 de agosto al viernes 10 de septiembre de 2027</w:t>
      </w:r>
      <w:r w:rsidR="00727D48">
        <w:t>;</w:t>
      </w:r>
    </w:p>
    <w:p w14:paraId="7794DB61" w14:textId="77777777" w:rsidR="00046832" w:rsidRPr="00CE7D18" w:rsidRDefault="00046832" w:rsidP="007A1DB7">
      <w:pPr>
        <w:jc w:val="both"/>
      </w:pPr>
      <w:r w:rsidRPr="00CE7D18">
        <w:t>3</w:t>
      </w:r>
      <w:r w:rsidRPr="00CE7D18">
        <w:tab/>
        <w:t>que la reunión de 2028 del Consejo se celebre en Ginebra durante un periodo de nueve días laborables y celebre las siguientes series de GTC y GE:</w:t>
      </w:r>
    </w:p>
    <w:p w14:paraId="24B120C2" w14:textId="6005A5F7" w:rsidR="00046832" w:rsidRPr="00CE7D18" w:rsidRDefault="00046832" w:rsidP="007A1DB7">
      <w:pPr>
        <w:pStyle w:val="enumlev1"/>
      </w:pPr>
      <w:r w:rsidRPr="00CE7D18">
        <w:t>–</w:t>
      </w:r>
      <w:r w:rsidRPr="00CE7D18">
        <w:tab/>
        <w:t>primera serie de reuniones (9 días): del martes</w:t>
      </w:r>
      <w:bookmarkStart w:id="3" w:name="_Ref199257788"/>
      <w:r w:rsidR="007A1DB7">
        <w:rPr>
          <w:rStyle w:val="FootnoteReference"/>
        </w:rPr>
        <w:footnoteReference w:customMarkFollows="1" w:id="1"/>
        <w:t>1</w:t>
      </w:r>
      <w:bookmarkEnd w:id="3"/>
      <w:r w:rsidRPr="00CE7D18">
        <w:t xml:space="preserve"> 11 de enero al viernes 21 de enero de</w:t>
      </w:r>
      <w:r w:rsidR="007C0FCF" w:rsidRPr="00CE7D18">
        <w:t> </w:t>
      </w:r>
      <w:r w:rsidRPr="00CE7D18">
        <w:t>2028;</w:t>
      </w:r>
    </w:p>
    <w:p w14:paraId="3A428A85" w14:textId="77777777" w:rsidR="00046832" w:rsidRPr="00CE7D18" w:rsidRDefault="00046832" w:rsidP="007A1DB7">
      <w:pPr>
        <w:pStyle w:val="enumlev1"/>
        <w:rPr>
          <w:bCs/>
        </w:rPr>
      </w:pPr>
      <w:r w:rsidRPr="00CE7D18">
        <w:t>–</w:t>
      </w:r>
      <w:r w:rsidRPr="00CE7D18">
        <w:tab/>
        <w:t>reunión de 2028 del Consejo: del martes 13 de junio al viernes 23 de junio de 2028</w:t>
      </w:r>
      <w:r w:rsidRPr="00CE7D18">
        <w:rPr>
          <w:bCs/>
        </w:rPr>
        <w:t>;</w:t>
      </w:r>
    </w:p>
    <w:p w14:paraId="570E67D9" w14:textId="122B183E" w:rsidR="00F92BED" w:rsidRPr="00CE7D18" w:rsidRDefault="00046832" w:rsidP="007A1DB7">
      <w:pPr>
        <w:pStyle w:val="enumlev1"/>
      </w:pPr>
      <w:r w:rsidRPr="00CE7D18">
        <w:t>–</w:t>
      </w:r>
      <w:r w:rsidRPr="00CE7D18">
        <w:tab/>
        <w:t>segunda serie de reuniones (9 días): del martes</w:t>
      </w:r>
      <w:r w:rsidR="007A1DB7" w:rsidRPr="007A1DB7">
        <w:rPr>
          <w:rStyle w:val="FootnoteReference"/>
        </w:rPr>
        <w:fldChar w:fldCharType="begin"/>
      </w:r>
      <w:r w:rsidR="007A1DB7" w:rsidRPr="007A1DB7">
        <w:rPr>
          <w:rStyle w:val="FootnoteReference"/>
        </w:rPr>
        <w:instrText xml:space="preserve"> NOTEREF _Ref199257788 \h </w:instrText>
      </w:r>
      <w:r w:rsidR="007A1DB7" w:rsidRPr="007A1DB7">
        <w:rPr>
          <w:rStyle w:val="FootnoteReference"/>
        </w:rPr>
      </w:r>
      <w:r w:rsidR="007A1DB7">
        <w:rPr>
          <w:rStyle w:val="FootnoteReference"/>
        </w:rPr>
        <w:instrText xml:space="preserve"> \* MERGEFORMAT </w:instrText>
      </w:r>
      <w:r w:rsidR="007A1DB7" w:rsidRPr="007A1DB7">
        <w:rPr>
          <w:rStyle w:val="FootnoteReference"/>
        </w:rPr>
        <w:fldChar w:fldCharType="separate"/>
      </w:r>
      <w:r w:rsidR="007A1DB7" w:rsidRPr="007A1DB7">
        <w:rPr>
          <w:rStyle w:val="FootnoteReference"/>
        </w:rPr>
        <w:t>1</w:t>
      </w:r>
      <w:r w:rsidR="007A1DB7" w:rsidRPr="007A1DB7">
        <w:rPr>
          <w:rStyle w:val="FootnoteReference"/>
        </w:rPr>
        <w:fldChar w:fldCharType="end"/>
      </w:r>
      <w:r w:rsidRPr="00CE7D18">
        <w:t xml:space="preserve"> 12 de septiembre al viernes 22 de septiembre de 2028.</w:t>
      </w:r>
    </w:p>
    <w:p w14:paraId="5EB2C1CD" w14:textId="77777777" w:rsidR="00F92BED" w:rsidRPr="00CE7D18" w:rsidRDefault="00F92BED" w:rsidP="0032202E">
      <w:pPr>
        <w:pStyle w:val="Reasons"/>
      </w:pPr>
    </w:p>
    <w:p w14:paraId="0AC1CABD" w14:textId="77777777" w:rsidR="00F92BED" w:rsidRPr="00F92BED" w:rsidRDefault="00F92BED" w:rsidP="00F92BED">
      <w:pPr>
        <w:jc w:val="center"/>
      </w:pPr>
      <w:r w:rsidRPr="00CE7D18">
        <w:t>______________</w:t>
      </w:r>
    </w:p>
    <w:sectPr w:rsidR="00F92BED" w:rsidRPr="00F92BED" w:rsidSect="00C538FC">
      <w:footerReference w:type="default" r:id="rId16"/>
      <w:headerReference w:type="first" r:id="rId17"/>
      <w:footerReference w:type="first" r:id="rId1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DA9D4" w14:textId="77777777" w:rsidR="00046832" w:rsidRDefault="00046832">
      <w:r>
        <w:separator/>
      </w:r>
    </w:p>
  </w:endnote>
  <w:endnote w:type="continuationSeparator" w:id="0">
    <w:p w14:paraId="495678D3" w14:textId="77777777" w:rsidR="00046832" w:rsidRDefault="00046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42D01" w:rsidRPr="00784011" w14:paraId="672A6BB8" w14:textId="77777777" w:rsidTr="00836373">
      <w:trPr>
        <w:jc w:val="center"/>
      </w:trPr>
      <w:tc>
        <w:tcPr>
          <w:tcW w:w="1803" w:type="dxa"/>
          <w:vAlign w:val="center"/>
        </w:tcPr>
        <w:p w14:paraId="47D87F88" w14:textId="1F5C280D" w:rsidR="00A42D01" w:rsidRPr="002946E2" w:rsidRDefault="00A42D01" w:rsidP="00A42D01">
          <w:pPr>
            <w:pStyle w:val="Header"/>
            <w:jc w:val="left"/>
            <w:rPr>
              <w:noProof/>
            </w:rPr>
          </w:pPr>
        </w:p>
      </w:tc>
      <w:tc>
        <w:tcPr>
          <w:tcW w:w="8261" w:type="dxa"/>
        </w:tcPr>
        <w:p w14:paraId="57A16EF4" w14:textId="77777777" w:rsidR="00A42D01" w:rsidRPr="00E06FD5" w:rsidRDefault="00A42D01" w:rsidP="00A42D01">
          <w:pPr>
            <w:pStyle w:val="Header"/>
            <w:tabs>
              <w:tab w:val="left" w:pos="6731"/>
              <w:tab w:val="right" w:pos="8505"/>
              <w:tab w:val="right" w:pos="9639"/>
            </w:tabs>
            <w:jc w:val="left"/>
            <w:rPr>
              <w:rFonts w:ascii="Arial" w:hAnsi="Arial" w:cs="Arial"/>
              <w:b/>
              <w:bCs/>
              <w:szCs w:val="18"/>
            </w:rPr>
          </w:pPr>
          <w:r>
            <w:rPr>
              <w:bCs/>
            </w:rPr>
            <w:tab/>
          </w:r>
          <w:proofErr w:type="spellStart"/>
          <w:r w:rsidRPr="00623AE3">
            <w:rPr>
              <w:bCs/>
            </w:rPr>
            <w:t>C</w:t>
          </w:r>
          <w:r>
            <w:rPr>
              <w:bCs/>
            </w:rPr>
            <w:t>25</w:t>
          </w:r>
          <w:proofErr w:type="spellEnd"/>
          <w:r w:rsidRPr="00623AE3">
            <w:rPr>
              <w:bCs/>
            </w:rPr>
            <w:t>/</w:t>
          </w:r>
          <w:r>
            <w:rPr>
              <w:bCs/>
            </w:rPr>
            <w:t>2</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44823052" w14:textId="77777777" w:rsidR="00A42D01" w:rsidRDefault="00A42D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60ED1B5E" w14:textId="77777777" w:rsidTr="00E31DCE">
      <w:trPr>
        <w:jc w:val="center"/>
      </w:trPr>
      <w:tc>
        <w:tcPr>
          <w:tcW w:w="1803" w:type="dxa"/>
          <w:vAlign w:val="center"/>
        </w:tcPr>
        <w:p w14:paraId="7EDF7211"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5D27F4F4" w14:textId="0BCBEE0A"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046832">
            <w:rPr>
              <w:bCs/>
            </w:rPr>
            <w:t>2</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033FC01E"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B7267" w14:textId="77777777" w:rsidR="00046832" w:rsidRDefault="00046832">
      <w:r>
        <w:t>____________________</w:t>
      </w:r>
    </w:p>
  </w:footnote>
  <w:footnote w:type="continuationSeparator" w:id="0">
    <w:p w14:paraId="52F6D260" w14:textId="77777777" w:rsidR="00046832" w:rsidRDefault="00046832">
      <w:r>
        <w:continuationSeparator/>
      </w:r>
    </w:p>
  </w:footnote>
  <w:footnote w:id="1">
    <w:p w14:paraId="2CE0794E" w14:textId="74CC632D" w:rsidR="007A1DB7" w:rsidRPr="007A1DB7" w:rsidRDefault="007A1DB7" w:rsidP="007A1DB7">
      <w:pPr>
        <w:pStyle w:val="FootnoteText"/>
        <w:jc w:val="both"/>
        <w:rPr>
          <w:lang w:val="es-ES"/>
        </w:rPr>
      </w:pPr>
      <w:r>
        <w:rPr>
          <w:rStyle w:val="FootnoteReference"/>
        </w:rPr>
        <w:t>1</w:t>
      </w:r>
      <w:r>
        <w:tab/>
      </w:r>
      <w:r w:rsidRPr="00CE7D18">
        <w:t xml:space="preserve">El evento comenzará un martes si se celebra en </w:t>
      </w:r>
      <w:proofErr w:type="spellStart"/>
      <w:r w:rsidRPr="00CE7D18">
        <w:t>Palexpo</w:t>
      </w:r>
      <w:proofErr w:type="spellEnd"/>
      <w:r w:rsidRPr="00CE7D18">
        <w:t>, para permitir la instalación de la sala el lunes anterior a la primera reunión.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1F15338E" w14:textId="77777777" w:rsidTr="00666D09">
      <w:trPr>
        <w:trHeight w:val="1104"/>
        <w:jc w:val="center"/>
      </w:trPr>
      <w:tc>
        <w:tcPr>
          <w:tcW w:w="5998" w:type="dxa"/>
          <w:vAlign w:val="center"/>
        </w:tcPr>
        <w:p w14:paraId="4F800296"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2BA16896" wp14:editId="6A361D14">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7CF005A3" w14:textId="77777777" w:rsidR="00666D09" w:rsidRDefault="00666D09" w:rsidP="001559F5">
          <w:pPr>
            <w:pStyle w:val="Header"/>
            <w:jc w:val="right"/>
            <w:rPr>
              <w:rFonts w:ascii="Arial" w:hAnsi="Arial" w:cs="Arial"/>
              <w:b/>
              <w:bCs/>
              <w:color w:val="009CD6"/>
              <w:szCs w:val="18"/>
            </w:rPr>
          </w:pPr>
        </w:p>
      </w:tc>
    </w:tr>
  </w:tbl>
  <w:p w14:paraId="0B679373"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9067942" wp14:editId="4866AF85">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ECA18"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wK/AEAANkDAAAOAAAAZHJzL2Uyb0RvYy54bWysU8GO0zAQvSPxD5bvNElpu9uo6WrVahHS&#10;AisWPsB1nMTC8Zix27R8PWOnWwrcEBfL45l5fu95vLo79oYdFHoNtuLFJOdMWQm1tm3Fv355eHPL&#10;mQ/C1sKAVRU/Kc/v1q9frQZXqil0YGqFjECsLwdX8S4EV2aZl53qhZ+AU5aSDWAvAoXYZjWKgdB7&#10;k03zfJENgLVDkMp7Ot2OSb5O+E2jZPjUNF4FZipO3EJaMa27uGbrlShbFK7T8kxD/AOLXmhLl16g&#10;tiIItkf9F1SvJYKHJkwk9Bk0jZYqaSA1Rf6HmudOOJW0kDneXWzy/w9Wfjw8IdN1xeecWdHTE30m&#10;04RtjWLzaM/gfElVz+4Jo0DvHkF+88zCpqMqdY8IQ6dETaSKWJ/91hADT61sN3yAmtDFPkBy6thg&#10;HwHJA3ZMD3K6PIg6BibpcDnNb4iXpMzbRb64Te+VifKl16EP7xT0LG4qjsQ8YYvDow+RiyhfShJ3&#10;MLp+0MakANvdxiA7iDga+XKzTXKpxV+XGRuLLcS2ETGeJJFR1+jPDuoTaUQY54v+A206wB+cDTRb&#10;Ffff9wIVZ+a9JZ+WxWwWhzEFs/nNlAK8zuyuM8JKgqp44GzcbsI4wHuHuu3opiKJtnBP3jY6CY++&#10;j6zOZGl+kh/nWY8Deh2nql8/cv0TAAD//wMAUEsDBBQABgAIAAAAIQB4hKAw3wAAAAgBAAAPAAAA&#10;ZHJzL2Rvd25yZXYueG1sTI9BT8JAEIXvJv6HzZh4k11qBK3dEmL0QPCAyIXb0h3bQne2dgco/nq3&#10;Jz1NZt7Lm+9ls9414oRdqD1pGI8UCKTC25pKDZvPt7tHEIENWdN4Qg0XDDDLr68yk1p/pg88rbkU&#10;MYRCajRUzG0qZSgqdCaMfIsUtS/fOcNx7UppO3OO4a6RiVIT6UxN8UNlWnypsDisj04Db5Nyelkt&#10;Odm8Lr/f94tF/WO3Wt/e9PNnEIw9/5lhwI/okEemnT+SDaLRkMQmHM/q/gnEoE8eQOyGqaYg80z+&#10;L5D/AgAA//8DAFBLAQItABQABgAIAAAAIQC2gziS/gAAAOEBAAATAAAAAAAAAAAAAAAAAAAAAABb&#10;Q29udGVudF9UeXBlc10ueG1sUEsBAi0AFAAGAAgAAAAhADj9If/WAAAAlAEAAAsAAAAAAAAAAAAA&#10;AAAALwEAAF9yZWxzLy5yZWxzUEsBAi0AFAAGAAgAAAAhACsZXAr8AQAA2QMAAA4AAAAAAAAAAAAA&#10;AAAALgIAAGRycy9lMm9Eb2MueG1sUEsBAi0AFAAGAAgAAAAhAHiEoDDfAAAACAEAAA8AAAAAAAAA&#10;AAAAAAAAVgQAAGRycy9kb3ducmV2LnhtbFBLBQYAAAAABAAEAPMAAABi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18AFD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DC80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70F1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F8C5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D227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545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2272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6252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B6F8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E00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577E6"/>
    <w:multiLevelType w:val="hybridMultilevel"/>
    <w:tmpl w:val="F4645688"/>
    <w:lvl w:ilvl="0" w:tplc="F5602030">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2113084543">
    <w:abstractNumId w:val="10"/>
  </w:num>
  <w:num w:numId="2" w16cid:durableId="1427992674">
    <w:abstractNumId w:val="9"/>
  </w:num>
  <w:num w:numId="3" w16cid:durableId="421072100">
    <w:abstractNumId w:val="7"/>
  </w:num>
  <w:num w:numId="4" w16cid:durableId="560749519">
    <w:abstractNumId w:val="6"/>
  </w:num>
  <w:num w:numId="5" w16cid:durableId="801121167">
    <w:abstractNumId w:val="5"/>
  </w:num>
  <w:num w:numId="6" w16cid:durableId="325668334">
    <w:abstractNumId w:val="4"/>
  </w:num>
  <w:num w:numId="7" w16cid:durableId="255944121">
    <w:abstractNumId w:val="8"/>
  </w:num>
  <w:num w:numId="8" w16cid:durableId="1808162296">
    <w:abstractNumId w:val="3"/>
  </w:num>
  <w:num w:numId="9" w16cid:durableId="68582823">
    <w:abstractNumId w:val="2"/>
  </w:num>
  <w:num w:numId="10" w16cid:durableId="630480806">
    <w:abstractNumId w:val="1"/>
  </w:num>
  <w:num w:numId="11" w16cid:durableId="618072075">
    <w:abstractNumId w:val="0"/>
  </w:num>
  <w:num w:numId="12" w16cid:durableId="1643460178">
    <w:abstractNumId w:val="8"/>
  </w:num>
  <w:num w:numId="13" w16cid:durableId="931088285">
    <w:abstractNumId w:val="3"/>
  </w:num>
  <w:num w:numId="14" w16cid:durableId="1805153000">
    <w:abstractNumId w:val="2"/>
  </w:num>
  <w:num w:numId="15" w16cid:durableId="973095108">
    <w:abstractNumId w:val="1"/>
  </w:num>
  <w:num w:numId="16" w16cid:durableId="1241601318">
    <w:abstractNumId w:val="0"/>
  </w:num>
  <w:num w:numId="17" w16cid:durableId="1149060135">
    <w:abstractNumId w:val="8"/>
  </w:num>
  <w:num w:numId="18" w16cid:durableId="1563252066">
    <w:abstractNumId w:val="3"/>
  </w:num>
  <w:num w:numId="19" w16cid:durableId="173613347">
    <w:abstractNumId w:val="2"/>
  </w:num>
  <w:num w:numId="20" w16cid:durableId="1357460998">
    <w:abstractNumId w:val="1"/>
  </w:num>
  <w:num w:numId="21" w16cid:durableId="446655806">
    <w:abstractNumId w:val="0"/>
  </w:num>
  <w:num w:numId="22" w16cid:durableId="1944873055">
    <w:abstractNumId w:val="8"/>
  </w:num>
  <w:num w:numId="23" w16cid:durableId="164564003">
    <w:abstractNumId w:val="3"/>
  </w:num>
  <w:num w:numId="24" w16cid:durableId="941495595">
    <w:abstractNumId w:val="2"/>
  </w:num>
  <w:num w:numId="25" w16cid:durableId="2036079453">
    <w:abstractNumId w:val="1"/>
  </w:num>
  <w:num w:numId="26" w16cid:durableId="1764032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832"/>
    <w:rsid w:val="000007D1"/>
    <w:rsid w:val="00046832"/>
    <w:rsid w:val="0006007D"/>
    <w:rsid w:val="00093EEB"/>
    <w:rsid w:val="000B0D00"/>
    <w:rsid w:val="000B7C15"/>
    <w:rsid w:val="000D1D0F"/>
    <w:rsid w:val="000E3F07"/>
    <w:rsid w:val="000F5290"/>
    <w:rsid w:val="0010165C"/>
    <w:rsid w:val="00146BFB"/>
    <w:rsid w:val="001559F5"/>
    <w:rsid w:val="00157AC4"/>
    <w:rsid w:val="0016169C"/>
    <w:rsid w:val="001B6E2B"/>
    <w:rsid w:val="001F14A2"/>
    <w:rsid w:val="00277AED"/>
    <w:rsid w:val="002801AA"/>
    <w:rsid w:val="002946E2"/>
    <w:rsid w:val="002C3F32"/>
    <w:rsid w:val="002C4676"/>
    <w:rsid w:val="002C70B0"/>
    <w:rsid w:val="002F3CC4"/>
    <w:rsid w:val="003032E2"/>
    <w:rsid w:val="0031300A"/>
    <w:rsid w:val="003273A4"/>
    <w:rsid w:val="0034796E"/>
    <w:rsid w:val="00473962"/>
    <w:rsid w:val="004B5D49"/>
    <w:rsid w:val="004D3A3C"/>
    <w:rsid w:val="00513630"/>
    <w:rsid w:val="00530C64"/>
    <w:rsid w:val="00560125"/>
    <w:rsid w:val="00561043"/>
    <w:rsid w:val="00585553"/>
    <w:rsid w:val="00587F4E"/>
    <w:rsid w:val="005B34D9"/>
    <w:rsid w:val="005C00E1"/>
    <w:rsid w:val="005D0CCF"/>
    <w:rsid w:val="005F3BCB"/>
    <w:rsid w:val="005F410F"/>
    <w:rsid w:val="0060149A"/>
    <w:rsid w:val="00601924"/>
    <w:rsid w:val="006447EA"/>
    <w:rsid w:val="0064481D"/>
    <w:rsid w:val="0064731F"/>
    <w:rsid w:val="00664572"/>
    <w:rsid w:val="00666D09"/>
    <w:rsid w:val="006710F6"/>
    <w:rsid w:val="00677A97"/>
    <w:rsid w:val="006A0EC3"/>
    <w:rsid w:val="006C1B56"/>
    <w:rsid w:val="006C51D7"/>
    <w:rsid w:val="006D4761"/>
    <w:rsid w:val="00726872"/>
    <w:rsid w:val="00727D48"/>
    <w:rsid w:val="00752FA0"/>
    <w:rsid w:val="00760F1C"/>
    <w:rsid w:val="007657F0"/>
    <w:rsid w:val="0077110E"/>
    <w:rsid w:val="0077252D"/>
    <w:rsid w:val="007955DA"/>
    <w:rsid w:val="007A1DB7"/>
    <w:rsid w:val="007C0FCF"/>
    <w:rsid w:val="007E5DD3"/>
    <w:rsid w:val="007F350B"/>
    <w:rsid w:val="00806146"/>
    <w:rsid w:val="00820BE4"/>
    <w:rsid w:val="008451E8"/>
    <w:rsid w:val="008F6ABC"/>
    <w:rsid w:val="00913B9C"/>
    <w:rsid w:val="00927F93"/>
    <w:rsid w:val="00956E77"/>
    <w:rsid w:val="009A338E"/>
    <w:rsid w:val="009F4811"/>
    <w:rsid w:val="00A42D01"/>
    <w:rsid w:val="00A93CD8"/>
    <w:rsid w:val="00A94438"/>
    <w:rsid w:val="00AA390C"/>
    <w:rsid w:val="00B0200A"/>
    <w:rsid w:val="00B060DF"/>
    <w:rsid w:val="00B574DB"/>
    <w:rsid w:val="00B826C2"/>
    <w:rsid w:val="00B8298E"/>
    <w:rsid w:val="00BB6FD8"/>
    <w:rsid w:val="00BD0723"/>
    <w:rsid w:val="00BD2518"/>
    <w:rsid w:val="00BF1D1C"/>
    <w:rsid w:val="00C20C59"/>
    <w:rsid w:val="00C2727F"/>
    <w:rsid w:val="00C538FC"/>
    <w:rsid w:val="00C55B1F"/>
    <w:rsid w:val="00CE7D18"/>
    <w:rsid w:val="00CF1A67"/>
    <w:rsid w:val="00D2750E"/>
    <w:rsid w:val="00D375E0"/>
    <w:rsid w:val="00D50A36"/>
    <w:rsid w:val="00D62446"/>
    <w:rsid w:val="00DA4EA2"/>
    <w:rsid w:val="00DC3D3E"/>
    <w:rsid w:val="00DE2C90"/>
    <w:rsid w:val="00DE3B24"/>
    <w:rsid w:val="00E06947"/>
    <w:rsid w:val="00E11319"/>
    <w:rsid w:val="00E21444"/>
    <w:rsid w:val="00E34072"/>
    <w:rsid w:val="00E3592D"/>
    <w:rsid w:val="00E50D76"/>
    <w:rsid w:val="00E8018B"/>
    <w:rsid w:val="00E92DE8"/>
    <w:rsid w:val="00EB1212"/>
    <w:rsid w:val="00ED65AB"/>
    <w:rsid w:val="00F12850"/>
    <w:rsid w:val="00F16E75"/>
    <w:rsid w:val="00F24B71"/>
    <w:rsid w:val="00F33BF4"/>
    <w:rsid w:val="00F7105E"/>
    <w:rsid w:val="00F75F57"/>
    <w:rsid w:val="00F75F8F"/>
    <w:rsid w:val="00F82FEE"/>
    <w:rsid w:val="00F92BED"/>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500CC9"/>
  <w15:docId w15:val="{DD1A668F-FC64-4284-99E1-63C47CEA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7A1DB7"/>
    <w:pPr>
      <w:spacing w:before="80"/>
      <w:ind w:left="567" w:hanging="567"/>
      <w:jc w:val="both"/>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A42D01"/>
    <w:rPr>
      <w:color w:val="0070C0"/>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paragraph" w:customStyle="1" w:styleId="DesNo">
    <w:name w:val="Des_No"/>
    <w:basedOn w:val="ResNo"/>
    <w:rsid w:val="007A1DB7"/>
  </w:style>
  <w:style w:type="paragraph" w:customStyle="1" w:styleId="Destitle">
    <w:name w:val="Des_title"/>
    <w:basedOn w:val="Restitle"/>
    <w:rsid w:val="007A1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council/pd/rop-s.pdf" TargetMode="External"/><Relationship Id="rId13" Type="http://schemas.openxmlformats.org/officeDocument/2006/relationships/hyperlink" Target="https://www.itu.int/md/S24-CL-C-0132/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4-CL-C-0143/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C-0143/es" TargetMode="External"/><Relationship Id="rId5" Type="http://schemas.openxmlformats.org/officeDocument/2006/relationships/webSettings" Target="webSettings.xml"/><Relationship Id="rId15" Type="http://schemas.openxmlformats.org/officeDocument/2006/relationships/hyperlink" Target="https://www.itu.int/md/S24-CL-C-0007/es" TargetMode="External"/><Relationship Id="rId10" Type="http://schemas.openxmlformats.org/officeDocument/2006/relationships/hyperlink" Target="https://www.itu.int/en/council/Documents/basic-texts-2023/RES-111-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en/council/Documents/basic-texts-2023/RES-077-S.pdf" TargetMode="External"/><Relationship Id="rId14" Type="http://schemas.openxmlformats.org/officeDocument/2006/relationships/hyperlink" Target="https://www.itu.int/md/S25-CWGFHR20-C-0008/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9A016-30D8-49D8-9CA1-D560E044B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PS_Council25.dotx</Template>
  <TotalTime>14</TotalTime>
  <Pages>5</Pages>
  <Words>1474</Words>
  <Characters>7438</Characters>
  <Application>Microsoft Office Word</Application>
  <DocSecurity>0</DocSecurity>
  <Lines>151</Lines>
  <Paragraphs>86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8826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Fechas y duración propuestas para las reuniones de 2026, 2027 y 2028 del Consejo y fechas propuestas para las series de reuniones de los Grupos de Trabajo y los Grupos de Expertos del Consejo para el mismo periodo</dc:title>
  <dc:subject>Consejo 2025 de la UIT</dc:subject>
  <cp:keywords>C2025, C25, Council-25</cp:keywords>
  <dc:description/>
  <cp:lastPrinted>2006-03-24T09:51:00Z</cp:lastPrinted>
  <dcterms:created xsi:type="dcterms:W3CDTF">2025-05-27T14:51:00Z</dcterms:created>
  <dcterms:modified xsi:type="dcterms:W3CDTF">2025-05-27T15:05:00Z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