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1699548D"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474BC6">
              <w:rPr>
                <w:b/>
              </w:rPr>
              <w:t>PL 3</w:t>
            </w:r>
          </w:p>
        </w:tc>
        <w:tc>
          <w:tcPr>
            <w:tcW w:w="5245" w:type="dxa"/>
          </w:tcPr>
          <w:p w14:paraId="6779937E" w14:textId="7928A222"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474BC6">
              <w:rPr>
                <w:b/>
              </w:rPr>
              <w:t>2</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FF049A5" w:rsidR="00AD3606" w:rsidRPr="00C0458D" w:rsidRDefault="00A549B1" w:rsidP="00AD3606">
            <w:pPr>
              <w:tabs>
                <w:tab w:val="left" w:pos="851"/>
              </w:tabs>
              <w:spacing w:before="0"/>
              <w:jc w:val="right"/>
              <w:rPr>
                <w:b/>
              </w:rPr>
            </w:pPr>
            <w:r>
              <w:rPr>
                <w:b/>
              </w:rPr>
              <w:t>16 May</w:t>
            </w:r>
            <w:r w:rsidR="00474BC6">
              <w:rPr>
                <w:b/>
              </w:rPr>
              <w:t xml:space="preserv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E372B">
            <w:pPr>
              <w:tabs>
                <w:tab w:val="left" w:pos="851"/>
              </w:tabs>
              <w:spacing w:before="0" w:line="240" w:lineRule="atLeast"/>
              <w:rPr>
                <w:b/>
              </w:rPr>
            </w:pPr>
          </w:p>
        </w:tc>
        <w:tc>
          <w:tcPr>
            <w:tcW w:w="5245" w:type="dxa"/>
          </w:tcPr>
          <w:p w14:paraId="5DBF7439" w14:textId="77777777" w:rsidR="00472BAD" w:rsidRPr="00C0458D" w:rsidRDefault="00472BAD" w:rsidP="00AE372B">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AF23DD">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5E455152" w:rsidR="00AD3606" w:rsidRPr="000F7289" w:rsidRDefault="00474BC6" w:rsidP="00AF23DD">
            <w:pPr>
              <w:pStyle w:val="Subtitle"/>
              <w:framePr w:hSpace="0" w:wrap="auto" w:xAlign="left" w:yAlign="inline"/>
            </w:pPr>
            <w:bookmarkStart w:id="9" w:name="dtitle1" w:colFirst="0" w:colLast="0"/>
            <w:bookmarkEnd w:id="8"/>
            <w:r w:rsidRPr="00474BC6">
              <w:t>PROPOSED DATES AND DURATION OF THE 2026, 2027</w:t>
            </w:r>
            <w:r>
              <w:t xml:space="preserve"> AND 2028</w:t>
            </w:r>
            <w:r w:rsidRPr="00474BC6">
              <w:t xml:space="preserve"> SESSIONS OF THE COUNCIL ALONG WITH THE PROPOSED DATES OF CLUSTERS OF COUNCIL WORKING GROUPS AND EXPERT GROUPS FOR THE SAME PERIOD</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AF23DD" w:rsidRDefault="00F16BAB" w:rsidP="009703C8">
            <w:pPr>
              <w:jc w:val="both"/>
              <w:rPr>
                <w:b/>
                <w:bCs/>
                <w:szCs w:val="24"/>
              </w:rPr>
            </w:pPr>
            <w:r w:rsidRPr="00AF23DD">
              <w:rPr>
                <w:b/>
                <w:bCs/>
                <w:szCs w:val="24"/>
              </w:rPr>
              <w:t>Purpose</w:t>
            </w:r>
          </w:p>
          <w:p w14:paraId="67D070EA" w14:textId="0E4B2F66" w:rsidR="00AD3606" w:rsidRPr="00AF23DD" w:rsidRDefault="00474BC6" w:rsidP="009703C8">
            <w:pPr>
              <w:spacing w:before="100"/>
              <w:jc w:val="both"/>
              <w:rPr>
                <w:sz w:val="22"/>
                <w:szCs w:val="22"/>
              </w:rPr>
            </w:pPr>
            <w:r w:rsidRPr="00AF23DD">
              <w:rPr>
                <w:sz w:val="22"/>
                <w:szCs w:val="22"/>
              </w:rPr>
              <w:t>Resolution 77 (Rev. Bucharest, 2022) of the Plenipotentiary Conference instructs the ITU Council, at each ordinary session, to schedule its next three ordinary sessions in June-July and to review the Council</w:t>
            </w:r>
            <w:r w:rsidR="007B2E69">
              <w:rPr>
                <w:sz w:val="22"/>
                <w:szCs w:val="22"/>
              </w:rPr>
              <w:t>’</w:t>
            </w:r>
            <w:r w:rsidRPr="00AF23DD">
              <w:rPr>
                <w:sz w:val="22"/>
                <w:szCs w:val="22"/>
              </w:rPr>
              <w:t xml:space="preserve">s </w:t>
            </w:r>
            <w:r w:rsidRPr="00AF23DD">
              <w:rPr>
                <w:spacing w:val="-2"/>
                <w:sz w:val="22"/>
                <w:szCs w:val="22"/>
              </w:rPr>
              <w:t>schedule</w:t>
            </w:r>
            <w:r w:rsidRPr="00AF23DD">
              <w:rPr>
                <w:sz w:val="22"/>
                <w:szCs w:val="22"/>
              </w:rPr>
              <w:t xml:space="preserve"> on a rolling basis.</w:t>
            </w:r>
          </w:p>
          <w:p w14:paraId="4288AA6F" w14:textId="77777777" w:rsidR="00AD3606" w:rsidRPr="00AF23DD" w:rsidRDefault="00AD3606" w:rsidP="009703C8">
            <w:pPr>
              <w:jc w:val="both"/>
              <w:rPr>
                <w:b/>
                <w:bCs/>
                <w:szCs w:val="24"/>
              </w:rPr>
            </w:pPr>
            <w:r w:rsidRPr="00AF23DD">
              <w:rPr>
                <w:b/>
                <w:bCs/>
                <w:szCs w:val="24"/>
              </w:rPr>
              <w:t>Action required</w:t>
            </w:r>
            <w:r w:rsidR="00F16BAB" w:rsidRPr="00AF23DD">
              <w:rPr>
                <w:b/>
                <w:bCs/>
                <w:szCs w:val="24"/>
              </w:rPr>
              <w:t xml:space="preserve"> by the Council</w:t>
            </w:r>
          </w:p>
          <w:p w14:paraId="0FFF2D9B" w14:textId="1964BABF" w:rsidR="00722551" w:rsidRPr="00AF23DD" w:rsidRDefault="00474BC6" w:rsidP="009703C8">
            <w:pPr>
              <w:spacing w:before="100"/>
              <w:jc w:val="both"/>
              <w:rPr>
                <w:sz w:val="22"/>
                <w:szCs w:val="22"/>
              </w:rPr>
            </w:pPr>
            <w:r w:rsidRPr="00AF23DD">
              <w:rPr>
                <w:sz w:val="22"/>
                <w:szCs w:val="22"/>
              </w:rPr>
              <w:t xml:space="preserve">The Council is invited to </w:t>
            </w:r>
            <w:r w:rsidRPr="00AF23DD">
              <w:rPr>
                <w:b/>
                <w:bCs/>
                <w:sz w:val="22"/>
                <w:szCs w:val="22"/>
              </w:rPr>
              <w:t>confirm</w:t>
            </w:r>
            <w:r w:rsidRPr="00AF23DD">
              <w:rPr>
                <w:sz w:val="22"/>
                <w:szCs w:val="22"/>
              </w:rPr>
              <w:t xml:space="preserve"> the dates for its 2026, 2027, and 2028 sessions together with the dates of the clusters of Council </w:t>
            </w:r>
            <w:r w:rsidRPr="00AF23DD">
              <w:rPr>
                <w:spacing w:val="-2"/>
                <w:sz w:val="22"/>
                <w:szCs w:val="22"/>
              </w:rPr>
              <w:t>Working</w:t>
            </w:r>
            <w:r w:rsidRPr="00AF23DD">
              <w:rPr>
                <w:sz w:val="22"/>
                <w:szCs w:val="22"/>
              </w:rPr>
              <w:t xml:space="preserve"> Groups and Expert Groups (CWGs &amp; EGs) for the same period, and to </w:t>
            </w:r>
            <w:r w:rsidRPr="00AF23DD">
              <w:rPr>
                <w:b/>
                <w:bCs/>
                <w:sz w:val="22"/>
                <w:szCs w:val="22"/>
              </w:rPr>
              <w:t>adopt</w:t>
            </w:r>
            <w:r w:rsidRPr="00AF23DD">
              <w:rPr>
                <w:sz w:val="22"/>
                <w:szCs w:val="22"/>
              </w:rPr>
              <w:t xml:space="preserve"> the draft Decision contained in Annex to this document.</w:t>
            </w:r>
          </w:p>
          <w:p w14:paraId="4B855F83" w14:textId="7E0F2BB7" w:rsidR="00722551" w:rsidRPr="00AF23DD" w:rsidRDefault="00722551" w:rsidP="009703C8">
            <w:pPr>
              <w:jc w:val="both"/>
              <w:rPr>
                <w:b/>
                <w:bCs/>
                <w:szCs w:val="24"/>
              </w:rPr>
            </w:pPr>
            <w:r w:rsidRPr="00AF23DD">
              <w:rPr>
                <w:b/>
                <w:bCs/>
                <w:szCs w:val="24"/>
              </w:rPr>
              <w:t>Relevant link</w:t>
            </w:r>
            <w:r w:rsidR="004B25A1" w:rsidRPr="00AF23DD">
              <w:rPr>
                <w:b/>
                <w:bCs/>
                <w:szCs w:val="24"/>
              </w:rPr>
              <w:t>(s)</w:t>
            </w:r>
            <w:r w:rsidRPr="00AF23DD">
              <w:rPr>
                <w:b/>
                <w:bCs/>
                <w:szCs w:val="24"/>
              </w:rPr>
              <w:t xml:space="preserve"> with the Strategic Plan</w:t>
            </w:r>
          </w:p>
          <w:p w14:paraId="56ADF403" w14:textId="37F18C24" w:rsidR="00722551" w:rsidRPr="00AF23DD" w:rsidRDefault="00474BC6" w:rsidP="009703C8">
            <w:pPr>
              <w:spacing w:before="100"/>
              <w:jc w:val="both"/>
              <w:rPr>
                <w:sz w:val="22"/>
                <w:szCs w:val="22"/>
              </w:rPr>
            </w:pPr>
            <w:r w:rsidRPr="00AF23DD">
              <w:rPr>
                <w:sz w:val="22"/>
                <w:szCs w:val="22"/>
              </w:rPr>
              <w:t>Convening platform.</w:t>
            </w:r>
          </w:p>
          <w:p w14:paraId="6A77059B" w14:textId="270D1307" w:rsidR="00722551" w:rsidRPr="00AF23DD" w:rsidRDefault="00722551" w:rsidP="009703C8">
            <w:pPr>
              <w:jc w:val="both"/>
              <w:rPr>
                <w:b/>
                <w:bCs/>
                <w:szCs w:val="24"/>
              </w:rPr>
            </w:pPr>
            <w:r w:rsidRPr="00AF23DD">
              <w:rPr>
                <w:b/>
                <w:bCs/>
                <w:szCs w:val="24"/>
              </w:rPr>
              <w:t>Financial implications</w:t>
            </w:r>
          </w:p>
          <w:p w14:paraId="553C3457" w14:textId="395FB33F" w:rsidR="00852BE6" w:rsidRPr="00A549B1" w:rsidRDefault="00474BC6" w:rsidP="009703C8">
            <w:pPr>
              <w:spacing w:before="100"/>
              <w:jc w:val="both"/>
              <w:rPr>
                <w:spacing w:val="-2"/>
                <w:sz w:val="22"/>
                <w:szCs w:val="22"/>
              </w:rPr>
            </w:pPr>
            <w:r w:rsidRPr="00A549B1">
              <w:rPr>
                <w:spacing w:val="-2"/>
                <w:sz w:val="22"/>
                <w:szCs w:val="22"/>
              </w:rPr>
              <w:t>The costs for holding Council sessions and clusters of CWGs &amp; EGs in ITU in 2026</w:t>
            </w:r>
            <w:r w:rsidR="00720B68" w:rsidRPr="00A549B1">
              <w:rPr>
                <w:spacing w:val="-2"/>
                <w:sz w:val="22"/>
                <w:szCs w:val="22"/>
              </w:rPr>
              <w:t xml:space="preserve"> and</w:t>
            </w:r>
            <w:r w:rsidRPr="00A549B1">
              <w:rPr>
                <w:spacing w:val="-2"/>
                <w:sz w:val="22"/>
                <w:szCs w:val="22"/>
              </w:rPr>
              <w:t xml:space="preserve"> 2027 are covered by the biannual budgets.</w:t>
            </w:r>
            <w:r w:rsidR="006F0688" w:rsidRPr="00A549B1">
              <w:rPr>
                <w:spacing w:val="-2"/>
                <w:sz w:val="22"/>
                <w:szCs w:val="22"/>
              </w:rPr>
              <w:t xml:space="preserve"> </w:t>
            </w:r>
          </w:p>
          <w:p w14:paraId="78053962" w14:textId="432A1E02" w:rsidR="00852BE6" w:rsidRPr="00A549B1" w:rsidRDefault="00720B68" w:rsidP="009703C8">
            <w:pPr>
              <w:spacing w:before="100"/>
              <w:jc w:val="both"/>
              <w:rPr>
                <w:spacing w:val="-2"/>
                <w:sz w:val="22"/>
                <w:szCs w:val="22"/>
              </w:rPr>
            </w:pPr>
            <w:r w:rsidRPr="00A549B1">
              <w:rPr>
                <w:spacing w:val="-2"/>
                <w:sz w:val="22"/>
                <w:szCs w:val="22"/>
              </w:rPr>
              <w:t xml:space="preserve">In 2028, ITU headquarters meeting rooms </w:t>
            </w:r>
            <w:r w:rsidR="00383EDE" w:rsidRPr="00A549B1">
              <w:rPr>
                <w:spacing w:val="-2"/>
                <w:sz w:val="22"/>
                <w:szCs w:val="22"/>
              </w:rPr>
              <w:t>and</w:t>
            </w:r>
            <w:r w:rsidR="006F0688" w:rsidRPr="00A549B1">
              <w:rPr>
                <w:spacing w:val="-2"/>
                <w:sz w:val="22"/>
                <w:szCs w:val="22"/>
              </w:rPr>
              <w:t xml:space="preserve"> the CICG </w:t>
            </w:r>
            <w:r w:rsidR="00DF60D2" w:rsidRPr="00A549B1">
              <w:rPr>
                <w:spacing w:val="-2"/>
                <w:sz w:val="22"/>
                <w:szCs w:val="22"/>
              </w:rPr>
              <w:t>will</w:t>
            </w:r>
            <w:r w:rsidR="006F0688" w:rsidRPr="00A549B1">
              <w:rPr>
                <w:spacing w:val="-2"/>
                <w:sz w:val="22"/>
                <w:szCs w:val="22"/>
              </w:rPr>
              <w:t xml:space="preserve"> </w:t>
            </w:r>
            <w:r w:rsidR="001A1788" w:rsidRPr="00A549B1">
              <w:rPr>
                <w:spacing w:val="-2"/>
                <w:sz w:val="22"/>
                <w:szCs w:val="22"/>
              </w:rPr>
              <w:t xml:space="preserve">not </w:t>
            </w:r>
            <w:r w:rsidR="006F0688" w:rsidRPr="00A549B1">
              <w:rPr>
                <w:spacing w:val="-2"/>
                <w:sz w:val="22"/>
                <w:szCs w:val="22"/>
              </w:rPr>
              <w:t>be available</w:t>
            </w:r>
            <w:r w:rsidRPr="00A549B1">
              <w:rPr>
                <w:spacing w:val="-2"/>
                <w:sz w:val="22"/>
                <w:szCs w:val="22"/>
              </w:rPr>
              <w:t xml:space="preserve">. </w:t>
            </w:r>
          </w:p>
          <w:p w14:paraId="12FF984D" w14:textId="6C81F43A" w:rsidR="00720B68" w:rsidRPr="00A549B1" w:rsidRDefault="00852BE6" w:rsidP="009703C8">
            <w:pPr>
              <w:spacing w:before="100"/>
              <w:jc w:val="both"/>
              <w:rPr>
                <w:spacing w:val="-2"/>
                <w:sz w:val="22"/>
                <w:szCs w:val="22"/>
              </w:rPr>
            </w:pPr>
            <w:r w:rsidRPr="00A549B1">
              <w:rPr>
                <w:spacing w:val="-2"/>
                <w:sz w:val="22"/>
                <w:szCs w:val="22"/>
              </w:rPr>
              <w:t>An</w:t>
            </w:r>
            <w:r w:rsidR="00DF60D2" w:rsidRPr="00A549B1">
              <w:rPr>
                <w:spacing w:val="-2"/>
                <w:sz w:val="22"/>
                <w:szCs w:val="22"/>
              </w:rPr>
              <w:t xml:space="preserve"> alternative option </w:t>
            </w:r>
            <w:r w:rsidRPr="00A549B1">
              <w:rPr>
                <w:spacing w:val="-2"/>
                <w:sz w:val="22"/>
                <w:szCs w:val="22"/>
              </w:rPr>
              <w:t>is</w:t>
            </w:r>
            <w:r w:rsidR="00DF60D2" w:rsidRPr="00A549B1">
              <w:rPr>
                <w:spacing w:val="-2"/>
                <w:sz w:val="22"/>
                <w:szCs w:val="22"/>
              </w:rPr>
              <w:t xml:space="preserve"> to h</w:t>
            </w:r>
            <w:r w:rsidRPr="00A549B1">
              <w:rPr>
                <w:spacing w:val="-2"/>
                <w:sz w:val="22"/>
                <w:szCs w:val="22"/>
              </w:rPr>
              <w:t>o</w:t>
            </w:r>
            <w:r w:rsidR="00DF60D2" w:rsidRPr="00A549B1">
              <w:rPr>
                <w:spacing w:val="-2"/>
                <w:sz w:val="22"/>
                <w:szCs w:val="22"/>
              </w:rPr>
              <w:t xml:space="preserve">ld events at </w:t>
            </w:r>
            <w:proofErr w:type="spellStart"/>
            <w:r w:rsidR="00DF60D2" w:rsidRPr="00A549B1">
              <w:rPr>
                <w:spacing w:val="-2"/>
                <w:sz w:val="22"/>
                <w:szCs w:val="22"/>
              </w:rPr>
              <w:t>Palexpo</w:t>
            </w:r>
            <w:proofErr w:type="spellEnd"/>
            <w:r w:rsidRPr="00A549B1">
              <w:rPr>
                <w:spacing w:val="-2"/>
                <w:sz w:val="22"/>
                <w:szCs w:val="22"/>
              </w:rPr>
              <w:t>,</w:t>
            </w:r>
            <w:r w:rsidR="00DF60D2" w:rsidRPr="00A549B1">
              <w:rPr>
                <w:spacing w:val="-2"/>
                <w:sz w:val="22"/>
                <w:szCs w:val="22"/>
              </w:rPr>
              <w:t xml:space="preserve"> with the following e</w:t>
            </w:r>
            <w:r w:rsidR="00720B68" w:rsidRPr="00A549B1">
              <w:rPr>
                <w:spacing w:val="-2"/>
                <w:sz w:val="22"/>
                <w:szCs w:val="22"/>
              </w:rPr>
              <w:t>stimated costs</w:t>
            </w:r>
            <w:r w:rsidR="00DF60D2" w:rsidRPr="00A549B1">
              <w:rPr>
                <w:spacing w:val="-2"/>
                <w:sz w:val="22"/>
                <w:szCs w:val="22"/>
              </w:rPr>
              <w:t xml:space="preserve"> negotiated with 40</w:t>
            </w:r>
            <w:r w:rsidR="00526936" w:rsidRPr="00A549B1">
              <w:rPr>
                <w:spacing w:val="-2"/>
                <w:sz w:val="22"/>
                <w:szCs w:val="22"/>
              </w:rPr>
              <w:t xml:space="preserve"> per cent</w:t>
            </w:r>
            <w:r w:rsidR="00DF60D2" w:rsidRPr="00A549B1">
              <w:rPr>
                <w:spacing w:val="-2"/>
                <w:sz w:val="22"/>
                <w:szCs w:val="22"/>
              </w:rPr>
              <w:t xml:space="preserve"> discount</w:t>
            </w:r>
            <w:r w:rsidR="00720B68" w:rsidRPr="00A549B1">
              <w:rPr>
                <w:spacing w:val="-2"/>
                <w:sz w:val="22"/>
                <w:szCs w:val="22"/>
              </w:rPr>
              <w:t xml:space="preserve"> </w:t>
            </w:r>
            <w:r w:rsidR="00410799" w:rsidRPr="00A549B1">
              <w:rPr>
                <w:spacing w:val="-2"/>
                <w:sz w:val="22"/>
                <w:szCs w:val="22"/>
              </w:rPr>
              <w:t xml:space="preserve">(for rental </w:t>
            </w:r>
            <w:r w:rsidR="006F0688" w:rsidRPr="00A549B1">
              <w:rPr>
                <w:spacing w:val="-2"/>
                <w:sz w:val="22"/>
                <w:szCs w:val="22"/>
              </w:rPr>
              <w:t xml:space="preserve">fees </w:t>
            </w:r>
            <w:r w:rsidR="00410799" w:rsidRPr="00A549B1">
              <w:rPr>
                <w:spacing w:val="-2"/>
                <w:sz w:val="22"/>
                <w:szCs w:val="22"/>
              </w:rPr>
              <w:t>only</w:t>
            </w:r>
            <w:r w:rsidR="006F0688" w:rsidRPr="00A549B1">
              <w:rPr>
                <w:spacing w:val="-2"/>
                <w:sz w:val="22"/>
                <w:szCs w:val="22"/>
              </w:rPr>
              <w:t xml:space="preserve"> </w:t>
            </w:r>
            <w:r w:rsidR="00526936" w:rsidRPr="00A549B1">
              <w:rPr>
                <w:spacing w:val="-2"/>
                <w:sz w:val="22"/>
                <w:szCs w:val="22"/>
              </w:rPr>
              <w:t>–</w:t>
            </w:r>
            <w:r w:rsidR="006F0688" w:rsidRPr="00A549B1">
              <w:rPr>
                <w:i/>
                <w:iCs/>
                <w:spacing w:val="-2"/>
                <w:sz w:val="22"/>
                <w:szCs w:val="22"/>
              </w:rPr>
              <w:t xml:space="preserve"> technical needs</w:t>
            </w:r>
            <w:r w:rsidRPr="00A549B1">
              <w:rPr>
                <w:i/>
                <w:iCs/>
                <w:spacing w:val="-2"/>
                <w:sz w:val="22"/>
                <w:szCs w:val="22"/>
              </w:rPr>
              <w:t xml:space="preserve"> and security needs</w:t>
            </w:r>
            <w:r w:rsidR="006F0688" w:rsidRPr="00A549B1">
              <w:rPr>
                <w:i/>
                <w:iCs/>
                <w:spacing w:val="-2"/>
                <w:sz w:val="22"/>
                <w:szCs w:val="22"/>
              </w:rPr>
              <w:t xml:space="preserve"> will result in additional fees</w:t>
            </w:r>
            <w:r w:rsidR="00410799" w:rsidRPr="00A549B1">
              <w:rPr>
                <w:spacing w:val="-2"/>
                <w:sz w:val="22"/>
                <w:szCs w:val="22"/>
              </w:rPr>
              <w:t>)</w:t>
            </w:r>
            <w:r w:rsidRPr="00A549B1">
              <w:rPr>
                <w:spacing w:val="-2"/>
                <w:sz w:val="22"/>
                <w:szCs w:val="22"/>
              </w:rPr>
              <w:t xml:space="preserve">: </w:t>
            </w:r>
          </w:p>
          <w:p w14:paraId="36EB8BB4" w14:textId="276C4D62" w:rsidR="00720B68" w:rsidRPr="00A549B1" w:rsidRDefault="00526936" w:rsidP="009703C8">
            <w:pPr>
              <w:tabs>
                <w:tab w:val="clear" w:pos="567"/>
              </w:tabs>
              <w:spacing w:before="60"/>
              <w:ind w:left="360" w:hanging="360"/>
              <w:jc w:val="both"/>
              <w:rPr>
                <w:spacing w:val="-2"/>
                <w:sz w:val="22"/>
                <w:szCs w:val="22"/>
              </w:rPr>
            </w:pPr>
            <w:r w:rsidRPr="00A549B1">
              <w:rPr>
                <w:rFonts w:cs="Calibri"/>
                <w:spacing w:val="-2"/>
                <w:sz w:val="22"/>
                <w:szCs w:val="22"/>
              </w:rPr>
              <w:t>–</w:t>
            </w:r>
            <w:r w:rsidRPr="00A549B1">
              <w:rPr>
                <w:rFonts w:cs="Calibri"/>
                <w:spacing w:val="-2"/>
                <w:sz w:val="22"/>
                <w:szCs w:val="22"/>
              </w:rPr>
              <w:tab/>
            </w:r>
            <w:r w:rsidR="00720B68" w:rsidRPr="00A549B1">
              <w:rPr>
                <w:spacing w:val="-2"/>
                <w:sz w:val="22"/>
                <w:szCs w:val="22"/>
              </w:rPr>
              <w:t>10 days for the first cluster of CWGs and EGs</w:t>
            </w:r>
            <w:r w:rsidR="00852BE6" w:rsidRPr="00A549B1">
              <w:rPr>
                <w:spacing w:val="-2"/>
                <w:sz w:val="22"/>
                <w:szCs w:val="22"/>
              </w:rPr>
              <w:t xml:space="preserve"> (9 days + 1 day for room preparation)</w:t>
            </w:r>
            <w:r w:rsidR="00720B68" w:rsidRPr="00A549B1">
              <w:rPr>
                <w:spacing w:val="-2"/>
                <w:sz w:val="22"/>
                <w:szCs w:val="22"/>
              </w:rPr>
              <w:t xml:space="preserve">, estimated costs </w:t>
            </w:r>
            <w:r w:rsidR="00720B68" w:rsidRPr="00A549B1">
              <w:rPr>
                <w:b/>
                <w:bCs/>
                <w:spacing w:val="-2"/>
                <w:sz w:val="22"/>
                <w:szCs w:val="22"/>
              </w:rPr>
              <w:t>CHF </w:t>
            </w:r>
            <w:proofErr w:type="gramStart"/>
            <w:r w:rsidR="00720B68" w:rsidRPr="00A549B1">
              <w:rPr>
                <w:b/>
                <w:bCs/>
                <w:spacing w:val="-2"/>
                <w:sz w:val="22"/>
                <w:szCs w:val="22"/>
              </w:rPr>
              <w:t>48</w:t>
            </w:r>
            <w:r w:rsidR="00C65427" w:rsidRPr="00A549B1">
              <w:rPr>
                <w:b/>
                <w:bCs/>
                <w:spacing w:val="-2"/>
                <w:sz w:val="22"/>
                <w:szCs w:val="22"/>
              </w:rPr>
              <w:t> </w:t>
            </w:r>
            <w:r w:rsidR="00720B68" w:rsidRPr="00A549B1">
              <w:rPr>
                <w:b/>
                <w:bCs/>
                <w:spacing w:val="-2"/>
                <w:sz w:val="22"/>
                <w:szCs w:val="22"/>
              </w:rPr>
              <w:t>000</w:t>
            </w:r>
            <w:r w:rsidRPr="00A549B1">
              <w:rPr>
                <w:spacing w:val="-2"/>
                <w:sz w:val="22"/>
                <w:szCs w:val="22"/>
              </w:rPr>
              <w:t>;</w:t>
            </w:r>
            <w:proofErr w:type="gramEnd"/>
          </w:p>
          <w:p w14:paraId="3D10CFE3" w14:textId="00E165BF" w:rsidR="00720B68" w:rsidRPr="00A549B1" w:rsidRDefault="00526936" w:rsidP="009703C8">
            <w:pPr>
              <w:tabs>
                <w:tab w:val="clear" w:pos="567"/>
              </w:tabs>
              <w:spacing w:before="60"/>
              <w:ind w:left="360" w:hanging="360"/>
              <w:jc w:val="both"/>
              <w:rPr>
                <w:spacing w:val="-2"/>
                <w:sz w:val="22"/>
                <w:szCs w:val="22"/>
              </w:rPr>
            </w:pPr>
            <w:r w:rsidRPr="00A549B1">
              <w:rPr>
                <w:rFonts w:cs="Calibri"/>
                <w:spacing w:val="-2"/>
                <w:sz w:val="22"/>
                <w:szCs w:val="22"/>
              </w:rPr>
              <w:t>–</w:t>
            </w:r>
            <w:r w:rsidRPr="00A549B1">
              <w:rPr>
                <w:rFonts w:cs="Calibri"/>
                <w:spacing w:val="-2"/>
                <w:sz w:val="22"/>
                <w:szCs w:val="22"/>
              </w:rPr>
              <w:tab/>
            </w:r>
            <w:r w:rsidR="00DF60D2" w:rsidRPr="00A549B1">
              <w:rPr>
                <w:spacing w:val="-2"/>
                <w:sz w:val="22"/>
                <w:szCs w:val="22"/>
              </w:rPr>
              <w:t>10</w:t>
            </w:r>
            <w:r w:rsidR="00720B68" w:rsidRPr="00A549B1">
              <w:rPr>
                <w:spacing w:val="-2"/>
                <w:sz w:val="22"/>
                <w:szCs w:val="22"/>
              </w:rPr>
              <w:t xml:space="preserve"> days </w:t>
            </w:r>
            <w:r w:rsidR="00410799" w:rsidRPr="00A549B1">
              <w:rPr>
                <w:spacing w:val="-2"/>
                <w:sz w:val="22"/>
                <w:szCs w:val="22"/>
              </w:rPr>
              <w:t xml:space="preserve">for the </w:t>
            </w:r>
            <w:r w:rsidR="00720B68" w:rsidRPr="00A549B1">
              <w:rPr>
                <w:spacing w:val="-2"/>
                <w:sz w:val="22"/>
                <w:szCs w:val="22"/>
              </w:rPr>
              <w:t>Council</w:t>
            </w:r>
            <w:r w:rsidR="00410799" w:rsidRPr="00A549B1">
              <w:rPr>
                <w:spacing w:val="-2"/>
                <w:sz w:val="22"/>
                <w:szCs w:val="22"/>
              </w:rPr>
              <w:t xml:space="preserve"> 2028</w:t>
            </w:r>
            <w:r w:rsidR="00DF60D2" w:rsidRPr="00A549B1">
              <w:rPr>
                <w:spacing w:val="-2"/>
                <w:sz w:val="22"/>
                <w:szCs w:val="22"/>
              </w:rPr>
              <w:t xml:space="preserve"> (9 days + 1 day for room preparation)</w:t>
            </w:r>
            <w:r w:rsidR="00410799" w:rsidRPr="00A549B1">
              <w:rPr>
                <w:spacing w:val="-2"/>
                <w:sz w:val="22"/>
                <w:szCs w:val="22"/>
              </w:rPr>
              <w:t xml:space="preserve">, estimated costs </w:t>
            </w:r>
            <w:r w:rsidR="00410799" w:rsidRPr="00A549B1">
              <w:rPr>
                <w:b/>
                <w:bCs/>
                <w:spacing w:val="-2"/>
                <w:sz w:val="22"/>
                <w:szCs w:val="22"/>
              </w:rPr>
              <w:t>CHF </w:t>
            </w:r>
            <w:proofErr w:type="gramStart"/>
            <w:r w:rsidR="00DF60D2" w:rsidRPr="00A549B1">
              <w:rPr>
                <w:b/>
                <w:bCs/>
                <w:spacing w:val="-2"/>
                <w:sz w:val="22"/>
                <w:szCs w:val="22"/>
              </w:rPr>
              <w:t>95 400</w:t>
            </w:r>
            <w:r w:rsidRPr="00A549B1">
              <w:rPr>
                <w:spacing w:val="-2"/>
                <w:sz w:val="22"/>
                <w:szCs w:val="22"/>
              </w:rPr>
              <w:t>;</w:t>
            </w:r>
            <w:proofErr w:type="gramEnd"/>
          </w:p>
          <w:p w14:paraId="74B364E5" w14:textId="68741D9C" w:rsidR="00410799" w:rsidRPr="00A549B1" w:rsidRDefault="00526936" w:rsidP="009703C8">
            <w:pPr>
              <w:tabs>
                <w:tab w:val="clear" w:pos="567"/>
              </w:tabs>
              <w:spacing w:before="60"/>
              <w:ind w:left="360" w:hanging="360"/>
              <w:jc w:val="both"/>
              <w:rPr>
                <w:sz w:val="22"/>
                <w:szCs w:val="22"/>
              </w:rPr>
            </w:pPr>
            <w:r w:rsidRPr="00A549B1">
              <w:rPr>
                <w:rFonts w:cs="Calibri"/>
                <w:spacing w:val="-2"/>
                <w:sz w:val="22"/>
                <w:szCs w:val="22"/>
              </w:rPr>
              <w:t>–</w:t>
            </w:r>
            <w:r w:rsidRPr="00A549B1">
              <w:rPr>
                <w:rFonts w:cs="Calibri"/>
                <w:spacing w:val="-2"/>
                <w:sz w:val="22"/>
                <w:szCs w:val="22"/>
              </w:rPr>
              <w:tab/>
            </w:r>
            <w:r w:rsidR="00410799" w:rsidRPr="00A549B1">
              <w:rPr>
                <w:spacing w:val="-2"/>
                <w:sz w:val="22"/>
                <w:szCs w:val="22"/>
              </w:rPr>
              <w:t>10 days for the second cluster of CWGs and EGs</w:t>
            </w:r>
            <w:r w:rsidR="00852BE6" w:rsidRPr="00A549B1">
              <w:rPr>
                <w:spacing w:val="-2"/>
                <w:sz w:val="22"/>
                <w:szCs w:val="22"/>
              </w:rPr>
              <w:t xml:space="preserve"> (9 days + 1 day for room preparation),</w:t>
            </w:r>
            <w:r w:rsidR="00410799" w:rsidRPr="00A549B1">
              <w:rPr>
                <w:spacing w:val="-2"/>
                <w:sz w:val="22"/>
                <w:szCs w:val="22"/>
              </w:rPr>
              <w:t xml:space="preserve"> estimated costs </w:t>
            </w:r>
            <w:r w:rsidR="00410799" w:rsidRPr="00A549B1">
              <w:rPr>
                <w:b/>
                <w:bCs/>
                <w:spacing w:val="-2"/>
                <w:sz w:val="22"/>
                <w:szCs w:val="22"/>
              </w:rPr>
              <w:t>CHF 48 000</w:t>
            </w:r>
            <w:r w:rsidRPr="00A549B1">
              <w:rPr>
                <w:spacing w:val="-2"/>
                <w:sz w:val="22"/>
                <w:szCs w:val="22"/>
              </w:rPr>
              <w:t>.</w:t>
            </w:r>
          </w:p>
          <w:p w14:paraId="4E94B2C7" w14:textId="5E2A1BC5" w:rsidR="00410799" w:rsidRPr="00526936" w:rsidRDefault="00410799" w:rsidP="009703C8">
            <w:pPr>
              <w:spacing w:before="100"/>
              <w:jc w:val="both"/>
              <w:rPr>
                <w:spacing w:val="-2"/>
                <w:szCs w:val="24"/>
              </w:rPr>
            </w:pPr>
            <w:r w:rsidRPr="00A549B1">
              <w:rPr>
                <w:spacing w:val="-2"/>
                <w:sz w:val="22"/>
                <w:szCs w:val="22"/>
              </w:rPr>
              <w:t xml:space="preserve">Total estimated costs </w:t>
            </w:r>
            <w:r w:rsidR="00852BE6" w:rsidRPr="00A549B1">
              <w:rPr>
                <w:spacing w:val="-2"/>
                <w:sz w:val="22"/>
                <w:szCs w:val="22"/>
              </w:rPr>
              <w:t xml:space="preserve">at negotiated rates </w:t>
            </w:r>
            <w:r w:rsidRPr="00A549B1">
              <w:rPr>
                <w:spacing w:val="-2"/>
                <w:sz w:val="22"/>
                <w:szCs w:val="22"/>
              </w:rPr>
              <w:t xml:space="preserve">for the </w:t>
            </w:r>
            <w:r w:rsidR="00C3609C" w:rsidRPr="00A549B1">
              <w:rPr>
                <w:spacing w:val="-2"/>
                <w:sz w:val="22"/>
                <w:szCs w:val="22"/>
              </w:rPr>
              <w:t xml:space="preserve">renting of space for all </w:t>
            </w:r>
            <w:r w:rsidRPr="00A549B1">
              <w:rPr>
                <w:spacing w:val="-2"/>
                <w:sz w:val="22"/>
                <w:szCs w:val="22"/>
              </w:rPr>
              <w:t xml:space="preserve">3 events: </w:t>
            </w:r>
            <w:r w:rsidRPr="00A549B1">
              <w:rPr>
                <w:b/>
                <w:bCs/>
                <w:spacing w:val="-2"/>
                <w:sz w:val="22"/>
                <w:szCs w:val="22"/>
              </w:rPr>
              <w:t>CHF</w:t>
            </w:r>
            <w:r w:rsidR="00C3609C" w:rsidRPr="00A549B1">
              <w:rPr>
                <w:b/>
                <w:bCs/>
                <w:spacing w:val="-2"/>
                <w:sz w:val="22"/>
                <w:szCs w:val="22"/>
              </w:rPr>
              <w:t> </w:t>
            </w:r>
            <w:r w:rsidR="00852BE6" w:rsidRPr="00A549B1">
              <w:rPr>
                <w:b/>
                <w:bCs/>
                <w:spacing w:val="-2"/>
                <w:sz w:val="22"/>
                <w:szCs w:val="22"/>
              </w:rPr>
              <w:t>191 400</w:t>
            </w:r>
            <w:r w:rsidR="006F0688" w:rsidRPr="00A549B1">
              <w:rPr>
                <w:spacing w:val="-2"/>
                <w:sz w:val="22"/>
                <w:szCs w:val="22"/>
              </w:rPr>
              <w:t>.</w:t>
            </w:r>
          </w:p>
          <w:p w14:paraId="08939791" w14:textId="77777777" w:rsidR="00C0458D" w:rsidRDefault="00C0458D" w:rsidP="00AE372B">
            <w:pPr>
              <w:spacing w:before="80"/>
            </w:pPr>
            <w:r>
              <w:t>_______________</w:t>
            </w:r>
          </w:p>
          <w:p w14:paraId="212A584A" w14:textId="77777777" w:rsidR="00AD3606" w:rsidRPr="00C0458D" w:rsidRDefault="00AD3606" w:rsidP="00AF23DD">
            <w:pPr>
              <w:spacing w:before="0"/>
              <w:rPr>
                <w:b/>
                <w:bCs/>
                <w:sz w:val="26"/>
                <w:szCs w:val="26"/>
              </w:rPr>
            </w:pPr>
            <w:r w:rsidRPr="00AF23DD">
              <w:rPr>
                <w:b/>
                <w:bCs/>
                <w:szCs w:val="24"/>
              </w:rPr>
              <w:t>References</w:t>
            </w:r>
          </w:p>
          <w:p w14:paraId="7089D4B7" w14:textId="7E4AB27B" w:rsidR="00AD3606" w:rsidRPr="00AF23DD" w:rsidRDefault="00474BC6" w:rsidP="00AE372B">
            <w:pPr>
              <w:spacing w:before="80" w:after="160"/>
              <w:rPr>
                <w:i/>
                <w:iCs/>
                <w:spacing w:val="-2"/>
                <w:sz w:val="20"/>
              </w:rPr>
            </w:pPr>
            <w:hyperlink r:id="rId11" w:history="1">
              <w:r w:rsidRPr="00AF23DD">
                <w:rPr>
                  <w:rStyle w:val="Hyperlink"/>
                  <w:i/>
                  <w:iCs/>
                  <w:spacing w:val="-2"/>
                  <w:sz w:val="20"/>
                </w:rPr>
                <w:t>Rule 1, Council Rules of Procedure</w:t>
              </w:r>
            </w:hyperlink>
            <w:r w:rsidRPr="00AF23DD">
              <w:rPr>
                <w:i/>
                <w:iCs/>
                <w:spacing w:val="-2"/>
                <w:sz w:val="20"/>
              </w:rPr>
              <w:t xml:space="preserve">; Resolution 77 (Rev. Bucharest, 2022), </w:t>
            </w:r>
            <w:hyperlink r:id="rId12" w:history="1">
              <w:r w:rsidRPr="00AF23DD">
                <w:rPr>
                  <w:rStyle w:val="Hyperlink"/>
                  <w:i/>
                  <w:iCs/>
                  <w:spacing w:val="-2"/>
                  <w:sz w:val="20"/>
                </w:rPr>
                <w:t>Resolution 111 (Rev. Busan, 2014)</w:t>
              </w:r>
            </w:hyperlink>
            <w:r w:rsidRPr="00AF23DD">
              <w:rPr>
                <w:i/>
                <w:iCs/>
                <w:spacing w:val="-2"/>
                <w:sz w:val="20"/>
              </w:rPr>
              <w:t xml:space="preserve"> of the Plenipotentiary Conference; Council </w:t>
            </w:r>
            <w:hyperlink r:id="rId13" w:history="1">
              <w:r w:rsidRPr="00AF23DD">
                <w:rPr>
                  <w:rStyle w:val="Hyperlink"/>
                  <w:i/>
                  <w:iCs/>
                  <w:spacing w:val="-2"/>
                  <w:sz w:val="20"/>
                </w:rPr>
                <w:t>Decision 642</w:t>
              </w:r>
            </w:hyperlink>
            <w:r w:rsidRPr="00AF23DD">
              <w:rPr>
                <w:i/>
                <w:iCs/>
                <w:spacing w:val="-2"/>
                <w:sz w:val="20"/>
              </w:rPr>
              <w:t xml:space="preserve"> (C24)</w:t>
            </w:r>
          </w:p>
        </w:tc>
      </w:tr>
    </w:tbl>
    <w:p w14:paraId="52958905" w14:textId="77777777" w:rsidR="0090147A" w:rsidRPr="00410799" w:rsidRDefault="0090147A">
      <w:pPr>
        <w:tabs>
          <w:tab w:val="clear" w:pos="567"/>
          <w:tab w:val="clear" w:pos="1134"/>
          <w:tab w:val="clear" w:pos="1701"/>
          <w:tab w:val="clear" w:pos="2268"/>
          <w:tab w:val="clear" w:pos="2835"/>
        </w:tabs>
        <w:overflowPunct/>
        <w:autoSpaceDE/>
        <w:autoSpaceDN/>
        <w:adjustRightInd/>
        <w:spacing w:before="0"/>
        <w:textAlignment w:val="auto"/>
        <w:rPr>
          <w:b/>
          <w:sz w:val="16"/>
          <w:szCs w:val="16"/>
        </w:rPr>
      </w:pPr>
      <w:bookmarkStart w:id="10" w:name="_Hlk133421428"/>
      <w:bookmarkEnd w:id="2"/>
      <w:bookmarkEnd w:id="3"/>
      <w:bookmarkEnd w:id="4"/>
      <w:bookmarkEnd w:id="9"/>
      <w:r w:rsidRPr="00410799">
        <w:rPr>
          <w:sz w:val="16"/>
          <w:szCs w:val="16"/>
        </w:rPr>
        <w:br w:type="page"/>
      </w:r>
    </w:p>
    <w:bookmarkEnd w:id="5"/>
    <w:bookmarkEnd w:id="10"/>
    <w:p w14:paraId="13A5ABD3" w14:textId="77777777" w:rsidR="00474BC6" w:rsidRDefault="00474BC6" w:rsidP="00AF23DD">
      <w:pPr>
        <w:pStyle w:val="Headingb"/>
        <w:rPr>
          <w:szCs w:val="24"/>
        </w:rPr>
      </w:pPr>
      <w:r>
        <w:lastRenderedPageBreak/>
        <w:t>Introduction</w:t>
      </w:r>
    </w:p>
    <w:p w14:paraId="55BD6E0E" w14:textId="0B582D30" w:rsidR="00474BC6" w:rsidRDefault="00474BC6" w:rsidP="00AF23DD">
      <w:r>
        <w:t>1</w:t>
      </w:r>
      <w:r>
        <w:tab/>
        <w:t>The ITU Council at its 202</w:t>
      </w:r>
      <w:r w:rsidR="00410799">
        <w:t>4</w:t>
      </w:r>
      <w:r>
        <w:t xml:space="preserve"> session (</w:t>
      </w:r>
      <w:r w:rsidR="00410799">
        <w:t>11-21 June 2024</w:t>
      </w:r>
      <w:r>
        <w:t xml:space="preserve">) adopted </w:t>
      </w:r>
      <w:hyperlink r:id="rId14" w:history="1">
        <w:r w:rsidRPr="00410799">
          <w:rPr>
            <w:rStyle w:val="Hyperlink"/>
            <w:szCs w:val="24"/>
          </w:rPr>
          <w:t>Decision 6</w:t>
        </w:r>
        <w:r w:rsidR="00410799" w:rsidRPr="00410799">
          <w:rPr>
            <w:rStyle w:val="Hyperlink"/>
            <w:szCs w:val="24"/>
          </w:rPr>
          <w:t>42</w:t>
        </w:r>
      </w:hyperlink>
      <w:r>
        <w:rPr>
          <w:i/>
          <w:iCs/>
        </w:rPr>
        <w:t xml:space="preserve"> </w:t>
      </w:r>
      <w:r>
        <w:t>regarding the dates and duration of the 202</w:t>
      </w:r>
      <w:r w:rsidR="00410799">
        <w:t>5</w:t>
      </w:r>
      <w:r>
        <w:t>, 202</w:t>
      </w:r>
      <w:r w:rsidR="00410799">
        <w:t>6</w:t>
      </w:r>
      <w:r>
        <w:t>, and 202</w:t>
      </w:r>
      <w:r w:rsidR="00410799">
        <w:t>7</w:t>
      </w:r>
      <w:r>
        <w:t xml:space="preserve"> sessions of the Council, along with the clusters of Council Working Groups and Expert Groups </w:t>
      </w:r>
      <w:r w:rsidR="007E0546">
        <w:t xml:space="preserve">(CWGs and EGs) </w:t>
      </w:r>
      <w:r>
        <w:t>for the same period.</w:t>
      </w:r>
      <w:r w:rsidR="00FA14AA">
        <w:t xml:space="preserve"> </w:t>
      </w:r>
    </w:p>
    <w:p w14:paraId="3FD73405" w14:textId="3753F204" w:rsidR="00196857" w:rsidRDefault="00196857" w:rsidP="00AF23DD">
      <w:r>
        <w:t>2</w:t>
      </w:r>
      <w:r>
        <w:tab/>
        <w:t>Council-25 is</w:t>
      </w:r>
      <w:r w:rsidR="001A1788">
        <w:t xml:space="preserve"> </w:t>
      </w:r>
      <w:r>
        <w:t xml:space="preserve">requested to reconfirm the dates for 2026 and 2027, and to consider and approve the dates proposed for the Council </w:t>
      </w:r>
      <w:r w:rsidR="00383EDE">
        <w:t>and</w:t>
      </w:r>
      <w:r>
        <w:t xml:space="preserve"> its </w:t>
      </w:r>
      <w:r w:rsidR="001E43D3">
        <w:t>w</w:t>
      </w:r>
      <w:r>
        <w:t xml:space="preserve">orking </w:t>
      </w:r>
      <w:r w:rsidR="001E43D3">
        <w:t>g</w:t>
      </w:r>
      <w:r>
        <w:t>roups</w:t>
      </w:r>
      <w:r w:rsidR="001A1788">
        <w:t xml:space="preserve"> in 2028.</w:t>
      </w:r>
    </w:p>
    <w:p w14:paraId="76F0D410" w14:textId="1C57481B" w:rsidR="00196857" w:rsidRDefault="00196857" w:rsidP="00AF23DD">
      <w:r>
        <w:t>3</w:t>
      </w:r>
      <w:r w:rsidR="00474BC6">
        <w:tab/>
      </w:r>
      <w:r w:rsidR="00383EDE">
        <w:t xml:space="preserve">Scheduling for </w:t>
      </w:r>
      <w:r>
        <w:t xml:space="preserve">2028 </w:t>
      </w:r>
      <w:r w:rsidR="00383EDE">
        <w:t xml:space="preserve">presents </w:t>
      </w:r>
      <w:r w:rsidR="001A1788">
        <w:t xml:space="preserve">several </w:t>
      </w:r>
      <w:r>
        <w:t>challenge</w:t>
      </w:r>
      <w:r w:rsidR="00383EDE">
        <w:t>s</w:t>
      </w:r>
      <w:r>
        <w:t>:</w:t>
      </w:r>
    </w:p>
    <w:p w14:paraId="11FF528B" w14:textId="2FBF4BA1" w:rsidR="00E32E42" w:rsidRPr="00526936" w:rsidRDefault="00AF23DD" w:rsidP="00AF23DD">
      <w:pPr>
        <w:pStyle w:val="enumlev1"/>
        <w:jc w:val="both"/>
      </w:pPr>
      <w:r w:rsidRPr="0755571C">
        <w:rPr>
          <w:rFonts w:cs="Calibri"/>
        </w:rPr>
        <w:t>–</w:t>
      </w:r>
      <w:r>
        <w:tab/>
      </w:r>
      <w:r w:rsidR="00F57ADE">
        <w:t xml:space="preserve">ITU Headquarters meeting rooms </w:t>
      </w:r>
      <w:r w:rsidR="2E750897">
        <w:t xml:space="preserve">may </w:t>
      </w:r>
      <w:r w:rsidR="00F57ADE">
        <w:t xml:space="preserve">be unavailable in 2028, due to the dismantling of the </w:t>
      </w:r>
      <w:proofErr w:type="spellStart"/>
      <w:r w:rsidR="00F57ADE">
        <w:t>Varembé</w:t>
      </w:r>
      <w:proofErr w:type="spellEnd"/>
      <w:r w:rsidR="00F57ADE">
        <w:t xml:space="preserve"> building (</w:t>
      </w:r>
      <w:r>
        <w:t xml:space="preserve">see </w:t>
      </w:r>
      <w:r w:rsidR="00E32E42">
        <w:t xml:space="preserve">Council </w:t>
      </w:r>
      <w:hyperlink r:id="rId15">
        <w:r w:rsidR="00E32E42" w:rsidRPr="0755571C">
          <w:rPr>
            <w:rStyle w:val="Hyperlink"/>
          </w:rPr>
          <w:t>Decision 640</w:t>
        </w:r>
      </w:hyperlink>
      <w:r w:rsidR="00E32E42">
        <w:t xml:space="preserve"> (C24) on </w:t>
      </w:r>
      <w:r w:rsidR="00FE6E26">
        <w:t xml:space="preserve">alternative </w:t>
      </w:r>
      <w:r w:rsidR="00E32E42">
        <w:t>reassessed project for ITU</w:t>
      </w:r>
      <w:r w:rsidR="007B2E69">
        <w:t>’</w:t>
      </w:r>
      <w:r w:rsidR="00E32E42">
        <w:t>s headquarters premise</w:t>
      </w:r>
      <w:r w:rsidR="00F57ADE">
        <w:t xml:space="preserve">; </w:t>
      </w:r>
      <w:r>
        <w:t xml:space="preserve">Document </w:t>
      </w:r>
      <w:hyperlink r:id="rId16">
        <w:r w:rsidR="00E32E42" w:rsidRPr="0755571C">
          <w:rPr>
            <w:rStyle w:val="Hyperlink"/>
          </w:rPr>
          <w:t>CWG-FHR-20/8</w:t>
        </w:r>
      </w:hyperlink>
      <w:r w:rsidR="00E32E42">
        <w:t xml:space="preserve"> on </w:t>
      </w:r>
      <w:r w:rsidR="00FE6E26">
        <w:t xml:space="preserve">initial </w:t>
      </w:r>
      <w:r w:rsidR="00E32E42">
        <w:t>draft of the campus strategic plan</w:t>
      </w:r>
      <w:r w:rsidR="00F57ADE">
        <w:t xml:space="preserve">; and </w:t>
      </w:r>
      <w:r w:rsidR="00E32E42">
        <w:t>the timeline for the ITU Headquarters project presented under Annex</w:t>
      </w:r>
      <w:r w:rsidR="00FE6E26">
        <w:t> </w:t>
      </w:r>
      <w:r w:rsidR="00E32E42">
        <w:t xml:space="preserve">G of Council </w:t>
      </w:r>
      <w:r w:rsidR="00FE6E26">
        <w:t xml:space="preserve">Document </w:t>
      </w:r>
      <w:hyperlink r:id="rId17">
        <w:r w:rsidR="00E32E42" w:rsidRPr="0755571C">
          <w:rPr>
            <w:rStyle w:val="Hyperlink"/>
          </w:rPr>
          <w:t>C24/7</w:t>
        </w:r>
      </w:hyperlink>
      <w:r w:rsidR="00F57ADE">
        <w:t>)</w:t>
      </w:r>
      <w:r w:rsidR="00FE6E26">
        <w:t>.</w:t>
      </w:r>
    </w:p>
    <w:p w14:paraId="10B1D9DB" w14:textId="379BE1E3" w:rsidR="00E32E42" w:rsidRPr="00526936" w:rsidRDefault="00AF23DD" w:rsidP="00AF23DD">
      <w:pPr>
        <w:pStyle w:val="enumlev1"/>
        <w:jc w:val="both"/>
      </w:pPr>
      <w:r>
        <w:rPr>
          <w:rFonts w:cs="Calibri"/>
        </w:rPr>
        <w:t>–</w:t>
      </w:r>
      <w:r w:rsidR="00526936">
        <w:rPr>
          <w:rFonts w:cs="Calibri"/>
        </w:rPr>
        <w:tab/>
      </w:r>
      <w:r w:rsidR="00E32E42" w:rsidRPr="00526936">
        <w:t xml:space="preserve">The International Conference Center Geneva (CICG) will be unavailable </w:t>
      </w:r>
      <w:r w:rsidR="00C3609C" w:rsidRPr="00526936">
        <w:t xml:space="preserve">in </w:t>
      </w:r>
      <w:r w:rsidR="00E32E42" w:rsidRPr="00526936">
        <w:t>2028</w:t>
      </w:r>
      <w:r w:rsidR="00FE6E26">
        <w:t>.</w:t>
      </w:r>
    </w:p>
    <w:p w14:paraId="0DF383F3" w14:textId="4E0B1FF6" w:rsidR="00E30EC9" w:rsidRPr="00526936" w:rsidRDefault="00AF23DD" w:rsidP="00AF23DD">
      <w:pPr>
        <w:pStyle w:val="enumlev1"/>
        <w:jc w:val="both"/>
      </w:pPr>
      <w:r>
        <w:rPr>
          <w:rFonts w:cs="Calibri"/>
        </w:rPr>
        <w:t>–</w:t>
      </w:r>
      <w:r w:rsidR="00526936">
        <w:rPr>
          <w:rFonts w:cs="Calibri"/>
        </w:rPr>
        <w:tab/>
      </w:r>
      <w:r w:rsidR="00E30EC9" w:rsidRPr="00526936">
        <w:t xml:space="preserve">The conference </w:t>
      </w:r>
      <w:proofErr w:type="spellStart"/>
      <w:r w:rsidR="008949E9" w:rsidRPr="00526936">
        <w:t>center</w:t>
      </w:r>
      <w:proofErr w:type="spellEnd"/>
      <w:r w:rsidR="00E30EC9" w:rsidRPr="00526936">
        <w:t xml:space="preserve"> </w:t>
      </w:r>
      <w:proofErr w:type="spellStart"/>
      <w:r w:rsidR="00E30EC9" w:rsidRPr="00526936">
        <w:t>Palexpo</w:t>
      </w:r>
      <w:proofErr w:type="spellEnd"/>
      <w:r w:rsidR="00E30EC9" w:rsidRPr="00526936">
        <w:t xml:space="preserve"> (in Geneva) is currently the proposed </w:t>
      </w:r>
      <w:r w:rsidR="001A1788" w:rsidRPr="00526936">
        <w:t>location for</w:t>
      </w:r>
      <w:r w:rsidR="00E30EC9" w:rsidRPr="00526936">
        <w:t xml:space="preserve"> hold</w:t>
      </w:r>
      <w:r w:rsidR="001A1788" w:rsidRPr="00526936">
        <w:t>ing</w:t>
      </w:r>
      <w:r w:rsidR="00E30EC9" w:rsidRPr="00526936">
        <w:t xml:space="preserve"> Council-28 and both cluster</w:t>
      </w:r>
      <w:r w:rsidR="001A1788" w:rsidRPr="00526936">
        <w:t>s</w:t>
      </w:r>
      <w:r w:rsidR="00E30EC9" w:rsidRPr="00526936">
        <w:t xml:space="preserve"> of CWGs</w:t>
      </w:r>
      <w:r w:rsidR="007E0546">
        <w:t xml:space="preserve"> and </w:t>
      </w:r>
      <w:r w:rsidR="00E30EC9" w:rsidRPr="00526936">
        <w:t>EGs;</w:t>
      </w:r>
      <w:r w:rsidR="008949E9" w:rsidRPr="00526936">
        <w:t xml:space="preserve"> the conference </w:t>
      </w:r>
      <w:proofErr w:type="spellStart"/>
      <w:r w:rsidR="008949E9" w:rsidRPr="00526936">
        <w:t>center</w:t>
      </w:r>
      <w:proofErr w:type="spellEnd"/>
      <w:r w:rsidR="008949E9" w:rsidRPr="00526936">
        <w:t xml:space="preserve"> will not open on the weekend before the events, and consequently, the clusters of </w:t>
      </w:r>
      <w:r w:rsidR="009A5AD1">
        <w:t>CWGs</w:t>
      </w:r>
      <w:r w:rsidR="007E0546">
        <w:t xml:space="preserve"> and </w:t>
      </w:r>
      <w:r w:rsidR="009A5AD1">
        <w:t>EGs</w:t>
      </w:r>
      <w:r w:rsidR="008949E9" w:rsidRPr="00526936">
        <w:t xml:space="preserve"> would have to start on Tuesday, so to allow the preparation of the rooms on the Monday prior to the beginning of the meetings</w:t>
      </w:r>
      <w:r w:rsidR="00FE6E26">
        <w:t>.</w:t>
      </w:r>
    </w:p>
    <w:p w14:paraId="7B2F0EA8" w14:textId="2B3EAF7C" w:rsidR="00E30EC9" w:rsidRPr="00526936" w:rsidRDefault="00AF23DD" w:rsidP="00AF23DD">
      <w:pPr>
        <w:pStyle w:val="enumlev1"/>
        <w:jc w:val="both"/>
      </w:pPr>
      <w:r w:rsidRPr="0755571C">
        <w:rPr>
          <w:rFonts w:cs="Calibri"/>
        </w:rPr>
        <w:t>–</w:t>
      </w:r>
      <w:r>
        <w:tab/>
      </w:r>
      <w:r w:rsidR="001A1788">
        <w:t>To avoid conflict with</w:t>
      </w:r>
      <w:r w:rsidR="00E30EC9">
        <w:t xml:space="preserve"> two major religious events, the first cluster of </w:t>
      </w:r>
      <w:r w:rsidR="009A5AD1">
        <w:t>CWGs</w:t>
      </w:r>
      <w:r w:rsidR="007E0546">
        <w:t xml:space="preserve"> and </w:t>
      </w:r>
      <w:r w:rsidR="009A5AD1">
        <w:t>EG</w:t>
      </w:r>
      <w:r w:rsidR="00E30EC9">
        <w:t>s is to be held either very early</w:t>
      </w:r>
      <w:r w:rsidR="001A1788">
        <w:t xml:space="preserve"> in the year </w:t>
      </w:r>
      <w:r w:rsidR="00E30EC9">
        <w:t xml:space="preserve">or </w:t>
      </w:r>
      <w:r w:rsidR="001A1788">
        <w:t>later in March</w:t>
      </w:r>
      <w:r>
        <w:t>.</w:t>
      </w:r>
    </w:p>
    <w:p w14:paraId="463C60EE" w14:textId="2CE90D03" w:rsidR="00474BC6" w:rsidRDefault="00474BC6" w:rsidP="00FE6E26">
      <w:pPr>
        <w:jc w:val="both"/>
      </w:pPr>
      <w:r>
        <w:t>4</w:t>
      </w:r>
      <w:r>
        <w:tab/>
        <w:t>The</w:t>
      </w:r>
      <w:r w:rsidR="001A1788">
        <w:t>refore, the</w:t>
      </w:r>
      <w:r>
        <w:t xml:space="preserve"> </w:t>
      </w:r>
      <w:r w:rsidR="00CA09A2">
        <w:t>proposed</w:t>
      </w:r>
      <w:r>
        <w:t xml:space="preserve"> dates for the CWGs and EGs as well as the Council </w:t>
      </w:r>
      <w:r w:rsidR="001A1788">
        <w:t xml:space="preserve">session </w:t>
      </w:r>
      <w:r>
        <w:t>in 202</w:t>
      </w:r>
      <w:r w:rsidR="00CA09A2">
        <w:t>8</w:t>
      </w:r>
      <w:r>
        <w:t xml:space="preserve"> are </w:t>
      </w:r>
      <w:r w:rsidR="00CA09A2">
        <w:t>as follows:</w:t>
      </w:r>
    </w:p>
    <w:p w14:paraId="155F7383" w14:textId="59AB99D6" w:rsidR="00474BC6" w:rsidRDefault="00FE6E26" w:rsidP="00FE6E26">
      <w:pPr>
        <w:pStyle w:val="enumlev1"/>
        <w:jc w:val="both"/>
        <w:rPr>
          <w:szCs w:val="24"/>
        </w:rPr>
      </w:pPr>
      <w:r>
        <w:rPr>
          <w:szCs w:val="24"/>
        </w:rPr>
        <w:t>–</w:t>
      </w:r>
      <w:r w:rsidR="00474BC6">
        <w:rPr>
          <w:szCs w:val="24"/>
        </w:rPr>
        <w:tab/>
        <w:t xml:space="preserve">First cluster of </w:t>
      </w:r>
      <w:r w:rsidR="007E0546">
        <w:t>CWGs and EGs</w:t>
      </w:r>
      <w:r w:rsidR="008949E9">
        <w:rPr>
          <w:szCs w:val="24"/>
        </w:rPr>
        <w:t xml:space="preserve"> (9 days)</w:t>
      </w:r>
      <w:r w:rsidR="00474BC6">
        <w:rPr>
          <w:szCs w:val="24"/>
        </w:rPr>
        <w:t xml:space="preserve">: </w:t>
      </w:r>
      <w:r w:rsidR="00E30EC9" w:rsidRPr="00E30EC9">
        <w:rPr>
          <w:b/>
          <w:bCs/>
          <w:szCs w:val="24"/>
        </w:rPr>
        <w:t>from</w:t>
      </w:r>
      <w:r w:rsidR="00E30EC9">
        <w:rPr>
          <w:szCs w:val="24"/>
        </w:rPr>
        <w:t xml:space="preserve"> </w:t>
      </w:r>
      <w:r w:rsidR="008949E9">
        <w:rPr>
          <w:b/>
          <w:bCs/>
          <w:szCs w:val="24"/>
        </w:rPr>
        <w:t>Tuesday</w:t>
      </w:r>
      <w:r w:rsidR="00474BC6">
        <w:rPr>
          <w:b/>
          <w:bCs/>
          <w:szCs w:val="24"/>
        </w:rPr>
        <w:t>,</w:t>
      </w:r>
      <w:r w:rsidR="00474BC6">
        <w:rPr>
          <w:szCs w:val="24"/>
        </w:rPr>
        <w:t xml:space="preserve"> </w:t>
      </w:r>
      <w:r w:rsidR="00CA09A2">
        <w:rPr>
          <w:b/>
          <w:bCs/>
          <w:szCs w:val="24"/>
        </w:rPr>
        <w:t>1</w:t>
      </w:r>
      <w:r w:rsidR="008949E9">
        <w:rPr>
          <w:b/>
          <w:bCs/>
          <w:szCs w:val="24"/>
        </w:rPr>
        <w:t>1</w:t>
      </w:r>
      <w:r w:rsidR="00E30EC9">
        <w:rPr>
          <w:b/>
          <w:bCs/>
          <w:szCs w:val="24"/>
        </w:rPr>
        <w:t> </w:t>
      </w:r>
      <w:r w:rsidR="00474BC6">
        <w:rPr>
          <w:b/>
          <w:bCs/>
          <w:szCs w:val="24"/>
        </w:rPr>
        <w:t xml:space="preserve">January to Friday, </w:t>
      </w:r>
      <w:r w:rsidR="00CA09A2">
        <w:rPr>
          <w:b/>
          <w:bCs/>
          <w:szCs w:val="24"/>
        </w:rPr>
        <w:t>21 January</w:t>
      </w:r>
      <w:r w:rsidR="00474BC6">
        <w:rPr>
          <w:b/>
          <w:bCs/>
          <w:szCs w:val="24"/>
        </w:rPr>
        <w:t xml:space="preserve"> 202</w:t>
      </w:r>
      <w:r w:rsidR="00E30EC9">
        <w:rPr>
          <w:b/>
          <w:bCs/>
          <w:szCs w:val="24"/>
        </w:rPr>
        <w:t>8</w:t>
      </w:r>
    </w:p>
    <w:p w14:paraId="09DF3565" w14:textId="030C3E61" w:rsidR="00474BC6" w:rsidRDefault="00FE6E26" w:rsidP="00FE6E26">
      <w:pPr>
        <w:pStyle w:val="enumlev1"/>
        <w:jc w:val="both"/>
        <w:rPr>
          <w:szCs w:val="24"/>
        </w:rPr>
      </w:pPr>
      <w:r>
        <w:rPr>
          <w:szCs w:val="24"/>
        </w:rPr>
        <w:t>–</w:t>
      </w:r>
      <w:r w:rsidR="00474BC6">
        <w:rPr>
          <w:szCs w:val="24"/>
        </w:rPr>
        <w:tab/>
        <w:t>202</w:t>
      </w:r>
      <w:r w:rsidR="00CA09A2">
        <w:rPr>
          <w:szCs w:val="24"/>
        </w:rPr>
        <w:t>8</w:t>
      </w:r>
      <w:r w:rsidR="00474BC6">
        <w:rPr>
          <w:szCs w:val="24"/>
        </w:rPr>
        <w:t xml:space="preserve"> session of the </w:t>
      </w:r>
      <w:r w:rsidR="00474BC6" w:rsidRPr="00FE6E26">
        <w:t>ITU</w:t>
      </w:r>
      <w:r w:rsidR="00474BC6">
        <w:rPr>
          <w:szCs w:val="24"/>
        </w:rPr>
        <w:t xml:space="preserve"> Council</w:t>
      </w:r>
      <w:r w:rsidR="008949E9">
        <w:rPr>
          <w:szCs w:val="24"/>
        </w:rPr>
        <w:t xml:space="preserve"> (9 days)</w:t>
      </w:r>
      <w:r w:rsidR="00474BC6">
        <w:rPr>
          <w:szCs w:val="24"/>
        </w:rPr>
        <w:t xml:space="preserve">: </w:t>
      </w:r>
      <w:r w:rsidR="00474BC6" w:rsidRPr="00E30EC9">
        <w:rPr>
          <w:b/>
          <w:bCs/>
          <w:szCs w:val="24"/>
        </w:rPr>
        <w:t>from</w:t>
      </w:r>
      <w:r w:rsidR="00474BC6">
        <w:rPr>
          <w:szCs w:val="24"/>
        </w:rPr>
        <w:t xml:space="preserve"> </w:t>
      </w:r>
      <w:r w:rsidR="00474BC6">
        <w:rPr>
          <w:b/>
          <w:bCs/>
          <w:szCs w:val="24"/>
        </w:rPr>
        <w:t xml:space="preserve">Tuesday, </w:t>
      </w:r>
      <w:r w:rsidR="00C3609C">
        <w:rPr>
          <w:b/>
          <w:bCs/>
          <w:szCs w:val="24"/>
        </w:rPr>
        <w:t>13</w:t>
      </w:r>
      <w:r w:rsidR="00474BC6">
        <w:rPr>
          <w:b/>
          <w:bCs/>
          <w:szCs w:val="24"/>
        </w:rPr>
        <w:t xml:space="preserve"> June to Friday, </w:t>
      </w:r>
      <w:r w:rsidR="00C3609C">
        <w:rPr>
          <w:b/>
          <w:bCs/>
          <w:szCs w:val="24"/>
        </w:rPr>
        <w:t>23</w:t>
      </w:r>
      <w:r w:rsidR="00474BC6">
        <w:rPr>
          <w:b/>
          <w:bCs/>
          <w:szCs w:val="24"/>
        </w:rPr>
        <w:t xml:space="preserve"> June 202</w:t>
      </w:r>
      <w:r w:rsidR="00CA09A2">
        <w:rPr>
          <w:b/>
          <w:bCs/>
          <w:szCs w:val="24"/>
        </w:rPr>
        <w:t>8</w:t>
      </w:r>
    </w:p>
    <w:p w14:paraId="53101E22" w14:textId="56FF6477" w:rsidR="00474BC6" w:rsidRDefault="00FE6E26" w:rsidP="00FE6E26">
      <w:pPr>
        <w:pStyle w:val="enumlev1"/>
        <w:jc w:val="both"/>
        <w:rPr>
          <w:szCs w:val="24"/>
        </w:rPr>
      </w:pPr>
      <w:r>
        <w:rPr>
          <w:szCs w:val="24"/>
        </w:rPr>
        <w:t>–</w:t>
      </w:r>
      <w:r w:rsidR="00474BC6">
        <w:rPr>
          <w:szCs w:val="24"/>
        </w:rPr>
        <w:tab/>
        <w:t xml:space="preserve">Second cluster </w:t>
      </w:r>
      <w:r w:rsidR="00474BC6" w:rsidRPr="00FE6E26">
        <w:t>of</w:t>
      </w:r>
      <w:r w:rsidR="00474BC6">
        <w:rPr>
          <w:szCs w:val="24"/>
        </w:rPr>
        <w:t xml:space="preserve"> </w:t>
      </w:r>
      <w:r w:rsidR="007E0546">
        <w:t>CWGs and EGs</w:t>
      </w:r>
      <w:r w:rsidR="007E0546">
        <w:rPr>
          <w:szCs w:val="24"/>
        </w:rPr>
        <w:t xml:space="preserve"> </w:t>
      </w:r>
      <w:r w:rsidR="008949E9">
        <w:rPr>
          <w:szCs w:val="24"/>
        </w:rPr>
        <w:t xml:space="preserve">(9 days): </w:t>
      </w:r>
      <w:r w:rsidR="00474BC6" w:rsidRPr="008949E9">
        <w:rPr>
          <w:b/>
          <w:bCs/>
          <w:szCs w:val="24"/>
        </w:rPr>
        <w:t xml:space="preserve">from </w:t>
      </w:r>
      <w:r w:rsidR="008949E9" w:rsidRPr="008949E9">
        <w:rPr>
          <w:b/>
          <w:bCs/>
          <w:szCs w:val="24"/>
        </w:rPr>
        <w:t xml:space="preserve">Tuesday, </w:t>
      </w:r>
      <w:r w:rsidR="00CF50DF">
        <w:rPr>
          <w:b/>
          <w:bCs/>
          <w:szCs w:val="24"/>
        </w:rPr>
        <w:t>12</w:t>
      </w:r>
      <w:r>
        <w:rPr>
          <w:b/>
          <w:bCs/>
          <w:szCs w:val="24"/>
        </w:rPr>
        <w:t> </w:t>
      </w:r>
      <w:r w:rsidR="008949E9" w:rsidRPr="008949E9">
        <w:rPr>
          <w:b/>
          <w:bCs/>
          <w:szCs w:val="24"/>
        </w:rPr>
        <w:t>September to Friday, 2</w:t>
      </w:r>
      <w:r w:rsidR="00CF50DF">
        <w:rPr>
          <w:b/>
          <w:bCs/>
          <w:szCs w:val="24"/>
        </w:rPr>
        <w:t>2</w:t>
      </w:r>
      <w:r w:rsidR="007E0546">
        <w:rPr>
          <w:b/>
          <w:bCs/>
          <w:szCs w:val="24"/>
        </w:rPr>
        <w:t> </w:t>
      </w:r>
      <w:r w:rsidR="008949E9" w:rsidRPr="008949E9">
        <w:rPr>
          <w:b/>
          <w:bCs/>
          <w:szCs w:val="24"/>
        </w:rPr>
        <w:t>September 2028</w:t>
      </w:r>
    </w:p>
    <w:p w14:paraId="2C60F244" w14:textId="4BE936E9" w:rsidR="00474BC6" w:rsidRDefault="00474BC6" w:rsidP="00FE6E26">
      <w:pPr>
        <w:jc w:val="both"/>
      </w:pPr>
      <w:r>
        <w:t>5</w:t>
      </w:r>
      <w:r>
        <w:tab/>
        <w:t xml:space="preserve">The Council is invited to </w:t>
      </w:r>
      <w:r>
        <w:rPr>
          <w:b/>
          <w:bCs/>
        </w:rPr>
        <w:t>adopt</w:t>
      </w:r>
      <w:r>
        <w:t xml:space="preserve"> the draft new Decision in the Annex, agreeing on the dates of the Council sessions and the clusters of </w:t>
      </w:r>
      <w:r w:rsidR="007E0546">
        <w:t>CWGs and EGs</w:t>
      </w:r>
      <w:r>
        <w:t>.</w:t>
      </w:r>
    </w:p>
    <w:p w14:paraId="1E3AF478" w14:textId="77777777" w:rsidR="00474BC6" w:rsidRDefault="00474BC6" w:rsidP="00474BC6">
      <w:pPr>
        <w:spacing w:before="1320" w:after="120"/>
      </w:pPr>
      <w:r w:rsidRPr="00FE6E26">
        <w:rPr>
          <w:b/>
          <w:bCs/>
          <w:i/>
          <w:iCs/>
        </w:rPr>
        <w:t>Annex:</w:t>
      </w:r>
      <w:r w:rsidRPr="00FE6E26">
        <w:rPr>
          <w:i/>
          <w:iCs/>
        </w:rPr>
        <w:t xml:space="preserve"> 1</w:t>
      </w:r>
      <w:r>
        <w:br w:type="page"/>
      </w:r>
    </w:p>
    <w:p w14:paraId="56C16A4C" w14:textId="77777777" w:rsidR="00474BC6" w:rsidRDefault="00474BC6" w:rsidP="00474BC6">
      <w:pPr>
        <w:pStyle w:val="AnnexNo"/>
      </w:pPr>
      <w:bookmarkStart w:id="11" w:name="Annex"/>
      <w:bookmarkStart w:id="12" w:name="_Hlk37226918"/>
      <w:r>
        <w:lastRenderedPageBreak/>
        <w:t>Annex</w:t>
      </w:r>
      <w:bookmarkEnd w:id="11"/>
    </w:p>
    <w:p w14:paraId="5517C31E" w14:textId="77777777" w:rsidR="00474BC6" w:rsidRDefault="00474BC6" w:rsidP="00FE6E26">
      <w:pPr>
        <w:pStyle w:val="DecNo"/>
      </w:pPr>
      <w:r>
        <w:t>DRAFT NEW DECISION [...]</w:t>
      </w:r>
    </w:p>
    <w:p w14:paraId="53949DBA" w14:textId="341EE69D" w:rsidR="00C65427" w:rsidRPr="00C65427" w:rsidRDefault="00C65427" w:rsidP="00FE6E26">
      <w:pPr>
        <w:pStyle w:val="Dectitle"/>
      </w:pPr>
      <w:r w:rsidRPr="00C65427">
        <w:t>Dates and duration of the 202</w:t>
      </w:r>
      <w:r>
        <w:t>6</w:t>
      </w:r>
      <w:r w:rsidRPr="00C65427">
        <w:t>, 202</w:t>
      </w:r>
      <w:r>
        <w:t>7</w:t>
      </w:r>
      <w:r w:rsidRPr="00C65427">
        <w:t>, and 202</w:t>
      </w:r>
      <w:r>
        <w:t>8</w:t>
      </w:r>
      <w:r w:rsidRPr="00C65427">
        <w:t xml:space="preserve"> sessions of the Council, </w:t>
      </w:r>
      <w:r w:rsidRPr="00C65427">
        <w:br/>
        <w:t xml:space="preserve">along with the clusters of Council Working Groups and Expert Groups </w:t>
      </w:r>
      <w:r w:rsidRPr="00C65427">
        <w:br/>
        <w:t xml:space="preserve">for </w:t>
      </w:r>
      <w:r>
        <w:t>the same period</w:t>
      </w:r>
    </w:p>
    <w:p w14:paraId="0773D4B2" w14:textId="77777777" w:rsidR="00C65427" w:rsidRPr="00C65427" w:rsidRDefault="00C65427" w:rsidP="00FE6E26">
      <w:pPr>
        <w:pStyle w:val="Normalaftertitle"/>
      </w:pPr>
      <w:r w:rsidRPr="00C65427">
        <w:t>The ITU Council,</w:t>
      </w:r>
    </w:p>
    <w:p w14:paraId="01B36844" w14:textId="77777777" w:rsidR="00C65427" w:rsidRPr="00C65427" w:rsidRDefault="00C65427" w:rsidP="00FE6E26">
      <w:pPr>
        <w:pStyle w:val="Call"/>
      </w:pPr>
      <w:r w:rsidRPr="00C65427">
        <w:t>bearing in mind</w:t>
      </w:r>
    </w:p>
    <w:p w14:paraId="5AB3A3A3" w14:textId="0B940FFB" w:rsidR="00C65427" w:rsidRPr="00CA09A2" w:rsidRDefault="00DD4C35" w:rsidP="0049553F">
      <w:pPr>
        <w:jc w:val="both"/>
      </w:pPr>
      <w:r w:rsidRPr="00CA09A2">
        <w:rPr>
          <w:i/>
          <w:iCs/>
        </w:rPr>
        <w:t>a)</w:t>
      </w:r>
      <w:r w:rsidRPr="00CA09A2">
        <w:tab/>
      </w:r>
      <w:r w:rsidR="00C65427" w:rsidRPr="00CA09A2">
        <w:t>Resolution 77 (Rev. Bucharest, 2022) of the Plenipotentiary Conference, which instructs the Council</w:t>
      </w:r>
      <w:r w:rsidR="00C65427" w:rsidRPr="00CA09A2">
        <w:rPr>
          <w:i/>
          <w:iCs/>
        </w:rPr>
        <w:t xml:space="preserve"> </w:t>
      </w:r>
      <w:r w:rsidR="007B2E69">
        <w:t>“</w:t>
      </w:r>
      <w:r w:rsidR="00C65427" w:rsidRPr="00CA09A2">
        <w:t>at each ordinary session, to schedule its next three ordinary sessions in June-July and to review the Council</w:t>
      </w:r>
      <w:r w:rsidR="007B2E69">
        <w:t>’</w:t>
      </w:r>
      <w:r w:rsidR="00C65427" w:rsidRPr="00CA09A2">
        <w:t>s schedule on a rolling basis</w:t>
      </w:r>
      <w:proofErr w:type="gramStart"/>
      <w:r w:rsidR="007B2E69">
        <w:t>”</w:t>
      </w:r>
      <w:r w:rsidR="00C65427" w:rsidRPr="00CA09A2">
        <w:t>;</w:t>
      </w:r>
      <w:proofErr w:type="gramEnd"/>
    </w:p>
    <w:p w14:paraId="73FBA275" w14:textId="3D6C911C" w:rsidR="00C65427" w:rsidRDefault="00CA09A2" w:rsidP="0049553F">
      <w:pPr>
        <w:jc w:val="both"/>
        <w:textAlignment w:val="auto"/>
      </w:pPr>
      <w:r w:rsidRPr="00CA09A2">
        <w:rPr>
          <w:i/>
          <w:iCs/>
        </w:rPr>
        <w:t>b</w:t>
      </w:r>
      <w:r w:rsidR="00C65427" w:rsidRPr="00C65427">
        <w:rPr>
          <w:i/>
          <w:iCs/>
        </w:rPr>
        <w:t>)</w:t>
      </w:r>
      <w:r w:rsidR="00C65427" w:rsidRPr="00C65427">
        <w:rPr>
          <w:i/>
          <w:iCs/>
        </w:rPr>
        <w:tab/>
      </w:r>
      <w:r w:rsidR="00C65427" w:rsidRPr="00C65427">
        <w:t xml:space="preserve">Resolution 111 (Rev. Busan, 2014) of the Plenipotentiary Conference, which resolves </w:t>
      </w:r>
      <w:r w:rsidR="007B2E69">
        <w:t>“</w:t>
      </w:r>
      <w:r w:rsidR="00C65427" w:rsidRPr="00C65427">
        <w:t>that the Union and the Member States of the Council should make every effort, as far as practicable, in order that the planned period of any Council session not be scheduled during a period which is considered a major religious period by a Member State of the Council</w:t>
      </w:r>
      <w:r w:rsidR="007B2E69">
        <w:t>”</w:t>
      </w:r>
      <w:r w:rsidR="00DD4C35" w:rsidRPr="00CA09A2">
        <w:t>,</w:t>
      </w:r>
    </w:p>
    <w:p w14:paraId="13B8B3ED" w14:textId="77777777" w:rsidR="00DD4C35" w:rsidRPr="00C65427" w:rsidRDefault="00DD4C35" w:rsidP="0049553F">
      <w:pPr>
        <w:pStyle w:val="Call"/>
      </w:pPr>
      <w:r w:rsidRPr="00C65427">
        <w:t>emphasizing</w:t>
      </w:r>
    </w:p>
    <w:p w14:paraId="22F393F5" w14:textId="747FDC68" w:rsidR="00DD4C35" w:rsidRPr="00CA09A2" w:rsidRDefault="00DD4C35" w:rsidP="0049553F">
      <w:pPr>
        <w:jc w:val="both"/>
        <w:textAlignment w:val="auto"/>
      </w:pPr>
      <w:r w:rsidRPr="00CA09A2">
        <w:rPr>
          <w:i/>
          <w:iCs/>
        </w:rPr>
        <w:t>a)</w:t>
      </w:r>
      <w:r w:rsidRPr="00CA09A2">
        <w:tab/>
        <w:t xml:space="preserve">the need to schedule ordinary sessions of the Council as much as possible around the same time-frame each year </w:t>
      </w:r>
      <w:proofErr w:type="gramStart"/>
      <w:r w:rsidRPr="00CA09A2">
        <w:t>in order to</w:t>
      </w:r>
      <w:proofErr w:type="gramEnd"/>
      <w:r w:rsidRPr="00CA09A2">
        <w:t xml:space="preserve"> facilitate the arrangement of other ITU </w:t>
      </w:r>
      <w:proofErr w:type="gramStart"/>
      <w:r w:rsidRPr="00CA09A2">
        <w:t>events;</w:t>
      </w:r>
      <w:proofErr w:type="gramEnd"/>
    </w:p>
    <w:p w14:paraId="3F4D4E11" w14:textId="22B54A67" w:rsidR="00DD4C35" w:rsidRDefault="00DD4C35" w:rsidP="0049553F">
      <w:pPr>
        <w:jc w:val="both"/>
        <w:textAlignment w:val="auto"/>
      </w:pPr>
      <w:r w:rsidRPr="00CA09A2">
        <w:rPr>
          <w:i/>
          <w:iCs/>
        </w:rPr>
        <w:t>b)</w:t>
      </w:r>
      <w:r w:rsidRPr="00CA09A2">
        <w:tab/>
      </w:r>
      <w:r w:rsidRPr="00C65427">
        <w:t>that scheduling the clusters of Council Working Groups and Expert Groups (CWGs &amp; EGs), over the next three years, would not only improve the overall planning of ITU events, but also reduce the risk of overlapping,</w:t>
      </w:r>
    </w:p>
    <w:p w14:paraId="179449AF" w14:textId="7436F484" w:rsidR="00C65427" w:rsidRPr="00C65427" w:rsidRDefault="00C65427" w:rsidP="0049553F">
      <w:pPr>
        <w:pStyle w:val="Call"/>
      </w:pPr>
      <w:r w:rsidRPr="00C65427">
        <w:t>recallin</w:t>
      </w:r>
      <w:r w:rsidR="00C0180B">
        <w:t>g</w:t>
      </w:r>
    </w:p>
    <w:p w14:paraId="5F2D9921" w14:textId="799DE9AE" w:rsidR="00C0180B" w:rsidRPr="00C65427" w:rsidRDefault="00C65427" w:rsidP="0049553F">
      <w:pPr>
        <w:jc w:val="both"/>
        <w:textAlignment w:val="auto"/>
      </w:pPr>
      <w:r w:rsidRPr="00C65427">
        <w:t xml:space="preserve">Council Decision </w:t>
      </w:r>
      <w:r w:rsidR="00C0180B">
        <w:t>642</w:t>
      </w:r>
      <w:r w:rsidRPr="00C65427">
        <w:t xml:space="preserve"> (C2</w:t>
      </w:r>
      <w:r w:rsidR="00C0180B">
        <w:t>4</w:t>
      </w:r>
      <w:r w:rsidRPr="00C65427">
        <w:t>) confirming the dates and duration for the 202</w:t>
      </w:r>
      <w:r w:rsidR="00C0180B">
        <w:t>5</w:t>
      </w:r>
      <w:r w:rsidRPr="00C65427">
        <w:t>, 202</w:t>
      </w:r>
      <w:r w:rsidR="00C0180B">
        <w:t>6</w:t>
      </w:r>
      <w:r w:rsidRPr="00C65427">
        <w:t>, and 202</w:t>
      </w:r>
      <w:r w:rsidR="00C0180B">
        <w:t>7</w:t>
      </w:r>
      <w:r w:rsidRPr="00C65427">
        <w:t xml:space="preserve"> sessions of the Council, along with the cluster of Council Working Groups and Expert Groups for the same period,</w:t>
      </w:r>
    </w:p>
    <w:p w14:paraId="34656661" w14:textId="77777777" w:rsidR="00C65427" w:rsidRPr="00C65427" w:rsidRDefault="00C65427" w:rsidP="00C65427">
      <w:pPr>
        <w:keepNext/>
        <w:keepLines/>
        <w:tabs>
          <w:tab w:val="clear" w:pos="1134"/>
          <w:tab w:val="clear" w:pos="1701"/>
          <w:tab w:val="clear" w:pos="2268"/>
          <w:tab w:val="clear" w:pos="2835"/>
        </w:tabs>
        <w:spacing w:before="160"/>
        <w:ind w:left="567"/>
        <w:textAlignment w:val="auto"/>
        <w:rPr>
          <w:i/>
        </w:rPr>
      </w:pPr>
      <w:r w:rsidRPr="00C65427">
        <w:rPr>
          <w:i/>
        </w:rPr>
        <w:t>considering</w:t>
      </w:r>
    </w:p>
    <w:p w14:paraId="389D548B" w14:textId="6F6F172B" w:rsidR="00515620" w:rsidRPr="00CA09A2" w:rsidRDefault="00515620" w:rsidP="0049553F">
      <w:pPr>
        <w:jc w:val="both"/>
      </w:pPr>
      <w:r w:rsidRPr="00CA09A2">
        <w:rPr>
          <w:i/>
          <w:iCs/>
        </w:rPr>
        <w:t>a)</w:t>
      </w:r>
      <w:r w:rsidRPr="00CA09A2">
        <w:tab/>
        <w:t xml:space="preserve">Decision 640 </w:t>
      </w:r>
      <w:r w:rsidR="00DD4C35" w:rsidRPr="00CA09A2">
        <w:t xml:space="preserve">(C24) </w:t>
      </w:r>
      <w:r w:rsidRPr="00CA09A2">
        <w:t xml:space="preserve">on </w:t>
      </w:r>
      <w:r w:rsidR="0049553F" w:rsidRPr="00CA09A2">
        <w:t xml:space="preserve">alternative </w:t>
      </w:r>
      <w:r w:rsidRPr="00CA09A2">
        <w:t>reassessed project for ITU</w:t>
      </w:r>
      <w:r w:rsidR="007B2E69">
        <w:t>’</w:t>
      </w:r>
      <w:r w:rsidRPr="00CA09A2">
        <w:t xml:space="preserve">s headquarters premise, and </w:t>
      </w:r>
      <w:r w:rsidR="00CA09A2">
        <w:t>the</w:t>
      </w:r>
      <w:r w:rsidRPr="00CA09A2">
        <w:t xml:space="preserve"> </w:t>
      </w:r>
      <w:r w:rsidR="00AE4363">
        <w:t>need for finding meeting rooms outside</w:t>
      </w:r>
      <w:r w:rsidRPr="00CA09A2">
        <w:t xml:space="preserve"> ITU </w:t>
      </w:r>
      <w:r w:rsidR="00DD4C35" w:rsidRPr="00CA09A2">
        <w:t xml:space="preserve">headquarters </w:t>
      </w:r>
      <w:r w:rsidRPr="00CA09A2">
        <w:t xml:space="preserve">during the year </w:t>
      </w:r>
      <w:proofErr w:type="gramStart"/>
      <w:r w:rsidRPr="00CA09A2">
        <w:t>2028;</w:t>
      </w:r>
      <w:proofErr w:type="gramEnd"/>
    </w:p>
    <w:p w14:paraId="2BC1BC10" w14:textId="279D2160" w:rsidR="00515620" w:rsidRPr="00C65427" w:rsidRDefault="00515620" w:rsidP="0049553F">
      <w:pPr>
        <w:jc w:val="both"/>
      </w:pPr>
      <w:r w:rsidRPr="00CA09A2">
        <w:rPr>
          <w:i/>
          <w:iCs/>
        </w:rPr>
        <w:t>b)</w:t>
      </w:r>
      <w:r w:rsidRPr="00CA09A2">
        <w:tab/>
        <w:t>that the International Conference Center Geneva (CICG) will not be available most of the year 2028,</w:t>
      </w:r>
    </w:p>
    <w:p w14:paraId="336E6CB5" w14:textId="77777777" w:rsidR="00C65427" w:rsidRPr="00C65427" w:rsidRDefault="00C65427" w:rsidP="00C65427">
      <w:pPr>
        <w:keepNext/>
        <w:keepLines/>
        <w:tabs>
          <w:tab w:val="clear" w:pos="1134"/>
          <w:tab w:val="clear" w:pos="1701"/>
          <w:tab w:val="clear" w:pos="2268"/>
          <w:tab w:val="clear" w:pos="2835"/>
        </w:tabs>
        <w:spacing w:before="160"/>
        <w:ind w:left="567"/>
        <w:textAlignment w:val="auto"/>
        <w:rPr>
          <w:i/>
        </w:rPr>
      </w:pPr>
      <w:r w:rsidRPr="00C65427">
        <w:rPr>
          <w:i/>
        </w:rPr>
        <w:t>mindful</w:t>
      </w:r>
    </w:p>
    <w:p w14:paraId="2E4D1E37" w14:textId="77777777" w:rsidR="00C65427" w:rsidRPr="00C65427" w:rsidRDefault="00C65427" w:rsidP="0049553F">
      <w:pPr>
        <w:jc w:val="both"/>
        <w:textAlignment w:val="auto"/>
      </w:pPr>
      <w:r w:rsidRPr="00C65427">
        <w:rPr>
          <w:szCs w:val="24"/>
        </w:rPr>
        <w:t xml:space="preserve">of Decision 11 (Rev. Bucharest, 2022) of the Plenipotentiary Conference on the </w:t>
      </w:r>
      <w:r w:rsidRPr="00C65427">
        <w:t>creation and management of Council Working Groups, referring to Annex 2 to Decision 5 (Rev. Bucharest, 2022) of the Conference on options for reducing expenses,</w:t>
      </w:r>
    </w:p>
    <w:p w14:paraId="5F8D023D" w14:textId="77777777" w:rsidR="00C65427" w:rsidRPr="00C65427" w:rsidRDefault="00C65427" w:rsidP="00C65427">
      <w:pPr>
        <w:keepNext/>
        <w:keepLines/>
        <w:tabs>
          <w:tab w:val="clear" w:pos="1134"/>
          <w:tab w:val="clear" w:pos="1701"/>
          <w:tab w:val="clear" w:pos="2268"/>
          <w:tab w:val="clear" w:pos="2835"/>
        </w:tabs>
        <w:spacing w:before="160"/>
        <w:ind w:left="567"/>
        <w:textAlignment w:val="auto"/>
        <w:rPr>
          <w:i/>
        </w:rPr>
      </w:pPr>
      <w:r w:rsidRPr="00C65427">
        <w:rPr>
          <w:i/>
        </w:rPr>
        <w:lastRenderedPageBreak/>
        <w:t>decides</w:t>
      </w:r>
    </w:p>
    <w:p w14:paraId="639693E6" w14:textId="54ED7788" w:rsidR="00C65427" w:rsidRPr="00C65427" w:rsidRDefault="00DD4C35" w:rsidP="0049553F">
      <w:pPr>
        <w:keepNext/>
        <w:jc w:val="both"/>
        <w:textAlignment w:val="auto"/>
        <w:rPr>
          <w:snapToGrid w:val="0"/>
          <w:szCs w:val="24"/>
        </w:rPr>
      </w:pPr>
      <w:r>
        <w:rPr>
          <w:snapToGrid w:val="0"/>
          <w:szCs w:val="24"/>
        </w:rPr>
        <w:t>1</w:t>
      </w:r>
      <w:r w:rsidR="00C65427" w:rsidRPr="00C65427">
        <w:rPr>
          <w:snapToGrid w:val="0"/>
          <w:szCs w:val="24"/>
        </w:rPr>
        <w:tab/>
        <w:t>that the 2026 ordinary session of the Council will open in Geneva for a period of nine working days, and will hold its cluster of CWGs &amp; EGs as follows:</w:t>
      </w:r>
    </w:p>
    <w:p w14:paraId="22B4BADE" w14:textId="77777777" w:rsidR="00C65427" w:rsidRPr="00C65427" w:rsidRDefault="00C65427" w:rsidP="0049553F">
      <w:pPr>
        <w:spacing w:before="86"/>
        <w:ind w:left="567" w:hanging="567"/>
        <w:jc w:val="both"/>
        <w:textAlignment w:val="auto"/>
        <w:rPr>
          <w:snapToGrid w:val="0"/>
          <w:szCs w:val="24"/>
        </w:rPr>
      </w:pPr>
      <w:r w:rsidRPr="00C65427">
        <w:rPr>
          <w:rFonts w:eastAsia="ヒラギノ角ゴ Pro W3" w:cs="Calibri"/>
        </w:rPr>
        <w:t>–</w:t>
      </w:r>
      <w:r w:rsidRPr="00C65427">
        <w:rPr>
          <w:snapToGrid w:val="0"/>
          <w:szCs w:val="24"/>
        </w:rPr>
        <w:tab/>
        <w:t xml:space="preserve">Sole </w:t>
      </w:r>
      <w:r w:rsidRPr="00C65427">
        <w:t>cluster</w:t>
      </w:r>
      <w:r w:rsidRPr="00C65427">
        <w:rPr>
          <w:snapToGrid w:val="0"/>
          <w:szCs w:val="24"/>
        </w:rPr>
        <w:t xml:space="preserve">: from Monday, 12 January to Friday, 23 January </w:t>
      </w:r>
      <w:proofErr w:type="gramStart"/>
      <w:r w:rsidRPr="00C65427">
        <w:rPr>
          <w:snapToGrid w:val="0"/>
          <w:szCs w:val="24"/>
        </w:rPr>
        <w:t>2026</w:t>
      </w:r>
      <w:r w:rsidRPr="00C65427">
        <w:t>;</w:t>
      </w:r>
      <w:proofErr w:type="gramEnd"/>
    </w:p>
    <w:p w14:paraId="0A71A819" w14:textId="77777777" w:rsidR="00C65427" w:rsidRPr="00C65427" w:rsidRDefault="00C65427" w:rsidP="0049553F">
      <w:pPr>
        <w:spacing w:before="86"/>
        <w:ind w:left="567" w:hanging="567"/>
        <w:jc w:val="both"/>
        <w:textAlignment w:val="auto"/>
      </w:pPr>
      <w:r w:rsidRPr="00C65427">
        <w:rPr>
          <w:rFonts w:eastAsia="ヒラギノ角ゴ Pro W3" w:cs="Calibri"/>
        </w:rPr>
        <w:t>–</w:t>
      </w:r>
      <w:r w:rsidRPr="00C65427">
        <w:rPr>
          <w:b/>
          <w:bCs/>
          <w:snapToGrid w:val="0"/>
          <w:szCs w:val="24"/>
        </w:rPr>
        <w:tab/>
        <w:t>Council-26: from Tuesday, 28 April to Friday, 8 May 2026</w:t>
      </w:r>
      <w:r w:rsidRPr="00C65427">
        <w:rPr>
          <w:snapToGrid w:val="0"/>
          <w:szCs w:val="24"/>
        </w:rPr>
        <w:t xml:space="preserve">, and shall have </w:t>
      </w:r>
      <w:r w:rsidRPr="00C65427">
        <w:t>its</w:t>
      </w:r>
      <w:r w:rsidRPr="00C65427">
        <w:rPr>
          <w:snapToGrid w:val="0"/>
          <w:szCs w:val="24"/>
        </w:rPr>
        <w:t xml:space="preserve"> final meeting on Saturday, </w:t>
      </w:r>
      <w:r w:rsidRPr="00C65427">
        <w:rPr>
          <w:b/>
          <w:bCs/>
          <w:snapToGrid w:val="0"/>
          <w:szCs w:val="24"/>
        </w:rPr>
        <w:t>7 November 2026</w:t>
      </w:r>
      <w:r w:rsidRPr="00C65427">
        <w:rPr>
          <w:snapToGrid w:val="0"/>
          <w:szCs w:val="24"/>
        </w:rPr>
        <w:t xml:space="preserve">, prior to the start of the 2026 Plenipotentiary </w:t>
      </w:r>
      <w:proofErr w:type="gramStart"/>
      <w:r w:rsidRPr="00C65427">
        <w:rPr>
          <w:snapToGrid w:val="0"/>
          <w:szCs w:val="24"/>
        </w:rPr>
        <w:t>Conference</w:t>
      </w:r>
      <w:r w:rsidRPr="00C65427">
        <w:t>;</w:t>
      </w:r>
      <w:proofErr w:type="gramEnd"/>
    </w:p>
    <w:p w14:paraId="454A8B91" w14:textId="500F15A2" w:rsidR="00C65427" w:rsidRPr="00C65427" w:rsidRDefault="00DD4C35" w:rsidP="0049553F">
      <w:pPr>
        <w:jc w:val="both"/>
        <w:textAlignment w:val="auto"/>
        <w:rPr>
          <w:snapToGrid w:val="0"/>
          <w:szCs w:val="24"/>
        </w:rPr>
      </w:pPr>
      <w:r>
        <w:t>2</w:t>
      </w:r>
      <w:r w:rsidR="00C65427" w:rsidRPr="00C65427">
        <w:tab/>
      </w:r>
      <w:r w:rsidR="00C65427" w:rsidRPr="00C65427">
        <w:rPr>
          <w:snapToGrid w:val="0"/>
          <w:szCs w:val="24"/>
        </w:rPr>
        <w:t xml:space="preserve">that </w:t>
      </w:r>
      <w:r w:rsidR="00C65427" w:rsidRPr="00C65427">
        <w:t>the</w:t>
      </w:r>
      <w:r w:rsidR="00C65427" w:rsidRPr="00C65427">
        <w:rPr>
          <w:snapToGrid w:val="0"/>
          <w:szCs w:val="24"/>
        </w:rPr>
        <w:t xml:space="preserve"> 2027 session of the Council will open in Geneva for a period of </w:t>
      </w:r>
      <w:r w:rsidR="004E66E5">
        <w:rPr>
          <w:snapToGrid w:val="0"/>
          <w:szCs w:val="24"/>
        </w:rPr>
        <w:t>nine</w:t>
      </w:r>
      <w:r w:rsidR="00C65427" w:rsidRPr="00C65427">
        <w:rPr>
          <w:snapToGrid w:val="0"/>
          <w:szCs w:val="24"/>
        </w:rPr>
        <w:t xml:space="preserve"> working days, and will hold its clusters of CWGs &amp; EGs as follows:</w:t>
      </w:r>
    </w:p>
    <w:p w14:paraId="57D91443" w14:textId="77777777" w:rsidR="00C65427" w:rsidRPr="00C65427" w:rsidRDefault="00C65427" w:rsidP="0049553F">
      <w:pPr>
        <w:spacing w:before="86"/>
        <w:ind w:left="567" w:hanging="567"/>
        <w:jc w:val="both"/>
        <w:textAlignment w:val="auto"/>
      </w:pPr>
      <w:r w:rsidRPr="00C65427">
        <w:rPr>
          <w:rFonts w:eastAsia="ヒラギノ角ゴ Pro W3" w:cs="Calibri"/>
        </w:rPr>
        <w:t>–</w:t>
      </w:r>
      <w:r w:rsidRPr="00C65427">
        <w:rPr>
          <w:rFonts w:eastAsia="ヒラギノ角ゴ Pro W3" w:cs="Calibri"/>
        </w:rPr>
        <w:tab/>
      </w:r>
      <w:r w:rsidRPr="00C65427">
        <w:t>First cluster:</w:t>
      </w:r>
      <w:r w:rsidRPr="00C65427">
        <w:rPr>
          <w:rFonts w:cs="Calibri"/>
          <w:szCs w:val="24"/>
        </w:rPr>
        <w:t xml:space="preserve"> from Monday, 18 January to Friday, 29 January </w:t>
      </w:r>
      <w:proofErr w:type="gramStart"/>
      <w:r w:rsidRPr="00C65427">
        <w:rPr>
          <w:rFonts w:cs="Calibri"/>
          <w:szCs w:val="24"/>
        </w:rPr>
        <w:t>2027</w:t>
      </w:r>
      <w:r w:rsidRPr="00C65427">
        <w:t>;</w:t>
      </w:r>
      <w:proofErr w:type="gramEnd"/>
    </w:p>
    <w:p w14:paraId="3DEB3F55" w14:textId="77777777" w:rsidR="00C65427" w:rsidRPr="00C65427" w:rsidRDefault="00C65427" w:rsidP="0049553F">
      <w:pPr>
        <w:spacing w:before="86"/>
        <w:ind w:left="567" w:hanging="567"/>
        <w:jc w:val="both"/>
        <w:textAlignment w:val="auto"/>
        <w:rPr>
          <w:b/>
          <w:bCs/>
        </w:rPr>
      </w:pPr>
      <w:r w:rsidRPr="00C65427">
        <w:rPr>
          <w:rFonts w:eastAsia="ヒラギノ角ゴ Pro W3" w:cs="Calibri"/>
        </w:rPr>
        <w:t>–</w:t>
      </w:r>
      <w:r w:rsidRPr="00C65427">
        <w:rPr>
          <w:rFonts w:eastAsia="ヒラギノ角ゴ Pro W3" w:cs="Calibri"/>
          <w:bCs/>
        </w:rPr>
        <w:tab/>
      </w:r>
      <w:r w:rsidRPr="00C65427">
        <w:rPr>
          <w:b/>
          <w:bCs/>
          <w:snapToGrid w:val="0"/>
          <w:szCs w:val="24"/>
        </w:rPr>
        <w:t>Council</w:t>
      </w:r>
      <w:r w:rsidRPr="00C65427">
        <w:rPr>
          <w:b/>
          <w:bCs/>
        </w:rPr>
        <w:t xml:space="preserve">-27: from Tuesday, 8 June to Friday, 18 June </w:t>
      </w:r>
      <w:proofErr w:type="gramStart"/>
      <w:r w:rsidRPr="00C65427">
        <w:rPr>
          <w:b/>
          <w:bCs/>
        </w:rPr>
        <w:t>2027</w:t>
      </w:r>
      <w:r w:rsidRPr="00C65427">
        <w:t>;</w:t>
      </w:r>
      <w:proofErr w:type="gramEnd"/>
    </w:p>
    <w:p w14:paraId="04E9766D" w14:textId="7E76D6F8" w:rsidR="00C65427" w:rsidRDefault="00C65427" w:rsidP="0049553F">
      <w:pPr>
        <w:spacing w:before="86"/>
        <w:ind w:left="567" w:hanging="567"/>
        <w:jc w:val="both"/>
        <w:textAlignment w:val="auto"/>
        <w:rPr>
          <w:szCs w:val="24"/>
        </w:rPr>
      </w:pPr>
      <w:r w:rsidRPr="00C65427">
        <w:rPr>
          <w:rFonts w:eastAsia="ヒラギノ角ゴ Pro W3" w:cs="Calibri"/>
        </w:rPr>
        <w:t>–</w:t>
      </w:r>
      <w:r w:rsidRPr="00C65427">
        <w:rPr>
          <w:rFonts w:eastAsia="ヒラギノ角ゴ Pro W3" w:cs="Calibri"/>
        </w:rPr>
        <w:tab/>
      </w:r>
      <w:r w:rsidRPr="00C65427">
        <w:t xml:space="preserve">Second cluster: </w:t>
      </w:r>
      <w:r w:rsidRPr="00C65427">
        <w:rPr>
          <w:szCs w:val="24"/>
        </w:rPr>
        <w:t xml:space="preserve">from Monday, 30 August to Friday, 10 </w:t>
      </w:r>
      <w:r w:rsidRPr="00C65427">
        <w:t>September</w:t>
      </w:r>
      <w:r w:rsidRPr="00C65427">
        <w:rPr>
          <w:szCs w:val="24"/>
        </w:rPr>
        <w:t xml:space="preserve"> </w:t>
      </w:r>
      <w:proofErr w:type="gramStart"/>
      <w:r w:rsidRPr="00C65427">
        <w:rPr>
          <w:szCs w:val="24"/>
        </w:rPr>
        <w:t>2027</w:t>
      </w:r>
      <w:r w:rsidR="00DD4C35">
        <w:rPr>
          <w:szCs w:val="24"/>
        </w:rPr>
        <w:t>;</w:t>
      </w:r>
      <w:proofErr w:type="gramEnd"/>
    </w:p>
    <w:p w14:paraId="50B11353" w14:textId="114614B8" w:rsidR="00DD4C35" w:rsidRPr="00B06A31" w:rsidRDefault="00DD4C35" w:rsidP="0049553F">
      <w:pPr>
        <w:jc w:val="both"/>
        <w:textAlignment w:val="auto"/>
        <w:rPr>
          <w:snapToGrid w:val="0"/>
        </w:rPr>
      </w:pPr>
      <w:r w:rsidRPr="00B06A31">
        <w:t>3</w:t>
      </w:r>
      <w:r w:rsidRPr="00B06A31">
        <w:tab/>
      </w:r>
      <w:r w:rsidRPr="00B06A31">
        <w:rPr>
          <w:snapToGrid w:val="0"/>
        </w:rPr>
        <w:t>that the 2028 session of the Council will open in Geneva for a period of nine working days, and will hold its clusters of CWGs &amp; EGs as follows:</w:t>
      </w:r>
    </w:p>
    <w:p w14:paraId="343F3A6F" w14:textId="4AECC0CB" w:rsidR="00DD4C35" w:rsidRPr="00B06A31" w:rsidRDefault="00DD4C35" w:rsidP="0049553F">
      <w:pPr>
        <w:spacing w:before="86"/>
        <w:ind w:left="567" w:hanging="567"/>
        <w:jc w:val="both"/>
        <w:textAlignment w:val="auto"/>
      </w:pPr>
      <w:r w:rsidRPr="00B06A31">
        <w:rPr>
          <w:rFonts w:eastAsia="ヒラギノ角ゴ Pro W3" w:cs="Calibri"/>
        </w:rPr>
        <w:t>–</w:t>
      </w:r>
      <w:r w:rsidRPr="00B06A31">
        <w:rPr>
          <w:rFonts w:eastAsia="ヒラギノ角ゴ Pro W3" w:cs="Calibri"/>
        </w:rPr>
        <w:tab/>
      </w:r>
      <w:r w:rsidRPr="00B06A31">
        <w:t>First cluster</w:t>
      </w:r>
      <w:r w:rsidR="008949E9" w:rsidRPr="00B06A31">
        <w:t xml:space="preserve"> (9 days)</w:t>
      </w:r>
      <w:r w:rsidRPr="00B06A31">
        <w:t xml:space="preserve">: </w:t>
      </w:r>
      <w:r w:rsidRPr="004F0DC5">
        <w:t xml:space="preserve">from </w:t>
      </w:r>
      <w:bookmarkStart w:id="13" w:name="_Ref194324436"/>
      <w:r w:rsidR="003A3ABD" w:rsidRPr="004F0DC5">
        <w:t>Tuesday</w:t>
      </w:r>
      <w:bookmarkEnd w:id="13"/>
      <w:r w:rsidRPr="004F0DC5">
        <w:t>,</w:t>
      </w:r>
      <w:r w:rsidR="00786651" w:rsidRPr="004F0DC5">
        <w:rPr>
          <w:rStyle w:val="FootnoteReference"/>
        </w:rPr>
        <w:footnoteReference w:id="2"/>
      </w:r>
      <w:r w:rsidRPr="004F0DC5">
        <w:t xml:space="preserve"> </w:t>
      </w:r>
      <w:r w:rsidR="00786651" w:rsidRPr="004F0DC5">
        <w:t>1</w:t>
      </w:r>
      <w:r w:rsidR="0048765A" w:rsidRPr="004F0DC5">
        <w:t>1</w:t>
      </w:r>
      <w:r w:rsidR="00786651" w:rsidRPr="004F0DC5">
        <w:t xml:space="preserve"> </w:t>
      </w:r>
      <w:r w:rsidRPr="004F0DC5">
        <w:t xml:space="preserve">January to Friday, 21 January </w:t>
      </w:r>
      <w:proofErr w:type="gramStart"/>
      <w:r w:rsidRPr="004F0DC5">
        <w:t>2028;</w:t>
      </w:r>
      <w:proofErr w:type="gramEnd"/>
    </w:p>
    <w:p w14:paraId="78B181A6" w14:textId="36097D2D" w:rsidR="00DD4C35" w:rsidRPr="00B06A31" w:rsidRDefault="00DD4C35" w:rsidP="0049553F">
      <w:pPr>
        <w:spacing w:before="86"/>
        <w:ind w:left="567" w:hanging="567"/>
        <w:jc w:val="both"/>
        <w:textAlignment w:val="auto"/>
        <w:rPr>
          <w:b/>
          <w:bCs/>
        </w:rPr>
      </w:pPr>
      <w:r w:rsidRPr="00B06A31">
        <w:rPr>
          <w:rFonts w:eastAsia="ヒラギノ角ゴ Pro W3" w:cs="Calibri"/>
        </w:rPr>
        <w:t>–</w:t>
      </w:r>
      <w:r w:rsidRPr="00B06A31">
        <w:rPr>
          <w:rFonts w:eastAsia="ヒラギノ角ゴ Pro W3" w:cs="Calibri"/>
          <w:bCs/>
        </w:rPr>
        <w:tab/>
      </w:r>
      <w:r w:rsidRPr="00B06A31">
        <w:rPr>
          <w:b/>
          <w:bCs/>
          <w:snapToGrid w:val="0"/>
          <w:szCs w:val="24"/>
        </w:rPr>
        <w:t>Council</w:t>
      </w:r>
      <w:r w:rsidRPr="00B06A31">
        <w:rPr>
          <w:b/>
          <w:bCs/>
        </w:rPr>
        <w:t>-28: from Tuesday, 13</w:t>
      </w:r>
      <w:r w:rsidR="00C3609C" w:rsidRPr="00B06A31">
        <w:rPr>
          <w:b/>
          <w:bCs/>
        </w:rPr>
        <w:t xml:space="preserve"> </w:t>
      </w:r>
      <w:r w:rsidRPr="00B06A31">
        <w:rPr>
          <w:b/>
          <w:bCs/>
        </w:rPr>
        <w:t>June to Friday, 23</w:t>
      </w:r>
      <w:r w:rsidR="00C3609C" w:rsidRPr="00B06A31">
        <w:rPr>
          <w:b/>
          <w:bCs/>
        </w:rPr>
        <w:t xml:space="preserve"> </w:t>
      </w:r>
      <w:r w:rsidRPr="00B06A31">
        <w:rPr>
          <w:b/>
          <w:bCs/>
        </w:rPr>
        <w:t xml:space="preserve">June </w:t>
      </w:r>
      <w:proofErr w:type="gramStart"/>
      <w:r w:rsidRPr="00B06A31">
        <w:rPr>
          <w:b/>
          <w:bCs/>
        </w:rPr>
        <w:t>2028</w:t>
      </w:r>
      <w:r w:rsidRPr="00B06A31">
        <w:t>;</w:t>
      </w:r>
      <w:proofErr w:type="gramEnd"/>
    </w:p>
    <w:p w14:paraId="0B70DF36" w14:textId="19B783D3" w:rsidR="00C65427" w:rsidRPr="00C65427" w:rsidRDefault="00DD4C35" w:rsidP="0049553F">
      <w:pPr>
        <w:spacing w:before="86"/>
        <w:ind w:left="567" w:hanging="567"/>
        <w:jc w:val="both"/>
        <w:textAlignment w:val="auto"/>
        <w:rPr>
          <w:rFonts w:cs="Calibri"/>
        </w:rPr>
      </w:pPr>
      <w:r w:rsidRPr="00B06A31">
        <w:rPr>
          <w:rFonts w:eastAsia="ヒラギノ角ゴ Pro W3" w:cs="Calibri"/>
        </w:rPr>
        <w:t>–</w:t>
      </w:r>
      <w:r w:rsidRPr="00B06A31">
        <w:rPr>
          <w:rFonts w:eastAsia="ヒラギノ角ゴ Pro W3" w:cs="Calibri"/>
          <w:snapToGrid w:val="0"/>
          <w:szCs w:val="24"/>
        </w:rPr>
        <w:tab/>
      </w:r>
      <w:r w:rsidRPr="00B06A31">
        <w:t>Second cluster</w:t>
      </w:r>
      <w:r w:rsidR="008949E9" w:rsidRPr="00B06A31">
        <w:t xml:space="preserve"> (9 days)</w:t>
      </w:r>
      <w:r w:rsidRPr="00B06A31">
        <w:t xml:space="preserve">: </w:t>
      </w:r>
      <w:r w:rsidR="0077617A" w:rsidRPr="004F0DC5">
        <w:t xml:space="preserve">from </w:t>
      </w:r>
      <w:r w:rsidR="00797EA7" w:rsidRPr="004F0DC5">
        <w:t>Tues</w:t>
      </w:r>
      <w:r w:rsidR="00786651" w:rsidRPr="004F0DC5">
        <w:t>day</w:t>
      </w:r>
      <w:r w:rsidR="00797EA7" w:rsidRPr="004F0DC5">
        <w:t>,</w:t>
      </w:r>
      <w:r w:rsidR="00786651" w:rsidRPr="004F0DC5">
        <w:rPr>
          <w:vertAlign w:val="superscript"/>
        </w:rPr>
        <w:fldChar w:fldCharType="begin"/>
      </w:r>
      <w:r w:rsidR="00786651" w:rsidRPr="004F0DC5">
        <w:rPr>
          <w:vertAlign w:val="superscript"/>
        </w:rPr>
        <w:instrText xml:space="preserve"> NOTEREF _Ref194324436 \h  \* MERGEFORMAT </w:instrText>
      </w:r>
      <w:r w:rsidR="00786651" w:rsidRPr="004F0DC5">
        <w:rPr>
          <w:vertAlign w:val="superscript"/>
        </w:rPr>
      </w:r>
      <w:r w:rsidR="00786651" w:rsidRPr="004F0DC5">
        <w:rPr>
          <w:vertAlign w:val="superscript"/>
        </w:rPr>
        <w:fldChar w:fldCharType="separate"/>
      </w:r>
      <w:r w:rsidR="00786651" w:rsidRPr="004F0DC5">
        <w:rPr>
          <w:vertAlign w:val="superscript"/>
        </w:rPr>
        <w:t>1</w:t>
      </w:r>
      <w:r w:rsidR="00786651" w:rsidRPr="004F0DC5">
        <w:rPr>
          <w:vertAlign w:val="superscript"/>
        </w:rPr>
        <w:fldChar w:fldCharType="end"/>
      </w:r>
      <w:r w:rsidR="0077617A" w:rsidRPr="004F0DC5">
        <w:t xml:space="preserve"> </w:t>
      </w:r>
      <w:r w:rsidR="00786651" w:rsidRPr="004F0DC5">
        <w:t>1</w:t>
      </w:r>
      <w:r w:rsidR="00E4594A" w:rsidRPr="004F0DC5">
        <w:t>2</w:t>
      </w:r>
      <w:r w:rsidR="0077617A" w:rsidRPr="004F0DC5">
        <w:t xml:space="preserve"> September to Friday, 2</w:t>
      </w:r>
      <w:r w:rsidR="00786651" w:rsidRPr="004F0DC5">
        <w:t>2</w:t>
      </w:r>
      <w:r w:rsidR="0077617A" w:rsidRPr="004F0DC5">
        <w:t xml:space="preserve"> September 2028.</w:t>
      </w:r>
    </w:p>
    <w:p w14:paraId="04A91E84" w14:textId="1F3E98CC" w:rsidR="00C65427" w:rsidRPr="00C65427" w:rsidRDefault="00C65427" w:rsidP="00A14092">
      <w:pPr>
        <w:spacing w:before="720"/>
        <w:jc w:val="center"/>
        <w:textAlignment w:val="auto"/>
      </w:pPr>
      <w:r w:rsidRPr="00C65427">
        <w:t>______________</w:t>
      </w:r>
      <w:bookmarkEnd w:id="12"/>
    </w:p>
    <w:sectPr w:rsidR="00C65427" w:rsidRPr="00C65427" w:rsidSect="00AF23DD">
      <w:footerReference w:type="default" r:id="rId18"/>
      <w:headerReference w:type="first" r:id="rId19"/>
      <w:footerReference w:type="first" r:id="rId20"/>
      <w:pgSz w:w="11907" w:h="16834"/>
      <w:pgMar w:top="1304" w:right="1304" w:bottom="1304" w:left="1304" w:header="624" w:footer="62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2637" w14:textId="77777777" w:rsidR="0056293E" w:rsidRDefault="0056293E">
      <w:r>
        <w:separator/>
      </w:r>
    </w:p>
  </w:endnote>
  <w:endnote w:type="continuationSeparator" w:id="0">
    <w:p w14:paraId="5A2F73E8" w14:textId="77777777" w:rsidR="0056293E" w:rsidRDefault="0056293E">
      <w:r>
        <w:continuationSeparator/>
      </w:r>
    </w:p>
  </w:endnote>
  <w:endnote w:type="continuationNotice" w:id="1">
    <w:p w14:paraId="317B821D" w14:textId="77777777" w:rsidR="0056293E" w:rsidRDefault="005629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6B6ECF">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4C6479ED" w:rsidR="00EE49E8" w:rsidRPr="00E06FD5" w:rsidRDefault="00EE49E8" w:rsidP="0049553F">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474BC6">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3BFD8E36"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474BC6">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DD66" w14:textId="77777777" w:rsidR="0056293E" w:rsidRDefault="0056293E">
      <w:r>
        <w:t>____________________</w:t>
      </w:r>
    </w:p>
  </w:footnote>
  <w:footnote w:type="continuationSeparator" w:id="0">
    <w:p w14:paraId="13FD2C66" w14:textId="77777777" w:rsidR="0056293E" w:rsidRDefault="0056293E">
      <w:r>
        <w:continuationSeparator/>
      </w:r>
    </w:p>
  </w:footnote>
  <w:footnote w:type="continuationNotice" w:id="1">
    <w:p w14:paraId="0BDD40BC" w14:textId="77777777" w:rsidR="0056293E" w:rsidRDefault="0056293E">
      <w:pPr>
        <w:spacing w:before="0"/>
      </w:pPr>
    </w:p>
  </w:footnote>
  <w:footnote w:id="2">
    <w:p w14:paraId="7B950BD0" w14:textId="67A38A59" w:rsidR="00786651" w:rsidRPr="00786651" w:rsidRDefault="00786651" w:rsidP="0049553F">
      <w:pPr>
        <w:pStyle w:val="FootnoteText"/>
        <w:jc w:val="both"/>
      </w:pPr>
      <w:r>
        <w:rPr>
          <w:rStyle w:val="FootnoteReference"/>
        </w:rPr>
        <w:footnoteRef/>
      </w:r>
      <w:r>
        <w:t xml:space="preserve"> </w:t>
      </w:r>
      <w:r>
        <w:tab/>
      </w:r>
      <w:r w:rsidRPr="00971267">
        <w:t xml:space="preserve">The event will start on a Tuesday if held at </w:t>
      </w:r>
      <w:proofErr w:type="spellStart"/>
      <w:r w:rsidRPr="00971267">
        <w:t>Palexpo</w:t>
      </w:r>
      <w:proofErr w:type="spellEnd"/>
      <w:r w:rsidRPr="00971267">
        <w:t>, so to allow the setting of the room on the Monday prior to the first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6B6ECF">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D866A"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4487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5CEA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C9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00F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F64C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6CB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28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28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E89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07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317AE"/>
    <w:multiLevelType w:val="hybridMultilevel"/>
    <w:tmpl w:val="A86E2922"/>
    <w:lvl w:ilvl="0" w:tplc="DC2ACEA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715A73"/>
    <w:multiLevelType w:val="hybridMultilevel"/>
    <w:tmpl w:val="23A48C9C"/>
    <w:lvl w:ilvl="0" w:tplc="7618E1EE">
      <w:start w:val="1"/>
      <w:numFmt w:val="lowerLetter"/>
      <w:lvlText w:val="%1)"/>
      <w:lvlJc w:val="left"/>
      <w:pPr>
        <w:ind w:left="930" w:hanging="57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8E4998"/>
    <w:multiLevelType w:val="hybridMultilevel"/>
    <w:tmpl w:val="2FE6E4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20A18"/>
    <w:multiLevelType w:val="hybridMultilevel"/>
    <w:tmpl w:val="D59A2766"/>
    <w:lvl w:ilvl="0" w:tplc="DC2ACEA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41730"/>
    <w:multiLevelType w:val="hybridMultilevel"/>
    <w:tmpl w:val="C2E0AC4C"/>
    <w:lvl w:ilvl="0" w:tplc="63E22D5E">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CE695B"/>
    <w:multiLevelType w:val="hybridMultilevel"/>
    <w:tmpl w:val="113EE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9"/>
  </w:num>
  <w:num w:numId="2" w16cid:durableId="1721705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605462">
    <w:abstractNumId w:val="11"/>
  </w:num>
  <w:num w:numId="4" w16cid:durableId="128787353">
    <w:abstractNumId w:val="10"/>
  </w:num>
  <w:num w:numId="5" w16cid:durableId="519780642">
    <w:abstractNumId w:val="16"/>
  </w:num>
  <w:num w:numId="6" w16cid:durableId="794177068">
    <w:abstractNumId w:val="13"/>
  </w:num>
  <w:num w:numId="7" w16cid:durableId="1303652796">
    <w:abstractNumId w:val="12"/>
  </w:num>
  <w:num w:numId="8" w16cid:durableId="916288794">
    <w:abstractNumId w:val="14"/>
  </w:num>
  <w:num w:numId="9" w16cid:durableId="1341665831">
    <w:abstractNumId w:val="7"/>
  </w:num>
  <w:num w:numId="10" w16cid:durableId="732120859">
    <w:abstractNumId w:val="6"/>
  </w:num>
  <w:num w:numId="11" w16cid:durableId="459610805">
    <w:abstractNumId w:val="5"/>
  </w:num>
  <w:num w:numId="12" w16cid:durableId="2112240349">
    <w:abstractNumId w:val="4"/>
  </w:num>
  <w:num w:numId="13" w16cid:durableId="332076184">
    <w:abstractNumId w:val="8"/>
  </w:num>
  <w:num w:numId="14" w16cid:durableId="1971158731">
    <w:abstractNumId w:val="3"/>
  </w:num>
  <w:num w:numId="15" w16cid:durableId="1262490956">
    <w:abstractNumId w:val="2"/>
  </w:num>
  <w:num w:numId="16" w16cid:durableId="677082010">
    <w:abstractNumId w:val="1"/>
  </w:num>
  <w:num w:numId="17" w16cid:durableId="843014521">
    <w:abstractNumId w:val="0"/>
  </w:num>
  <w:num w:numId="18" w16cid:durableId="850803686">
    <w:abstractNumId w:val="8"/>
  </w:num>
  <w:num w:numId="19" w16cid:durableId="188220785">
    <w:abstractNumId w:val="3"/>
  </w:num>
  <w:num w:numId="20" w16cid:durableId="1386220263">
    <w:abstractNumId w:val="2"/>
  </w:num>
  <w:num w:numId="21" w16cid:durableId="1826966211">
    <w:abstractNumId w:val="1"/>
  </w:num>
  <w:num w:numId="22" w16cid:durableId="287668564">
    <w:abstractNumId w:val="0"/>
  </w:num>
  <w:num w:numId="23" w16cid:durableId="953251237">
    <w:abstractNumId w:val="8"/>
  </w:num>
  <w:num w:numId="24" w16cid:durableId="1859153775">
    <w:abstractNumId w:val="3"/>
  </w:num>
  <w:num w:numId="25" w16cid:durableId="831333687">
    <w:abstractNumId w:val="2"/>
  </w:num>
  <w:num w:numId="26" w16cid:durableId="654800831">
    <w:abstractNumId w:val="1"/>
  </w:num>
  <w:num w:numId="27" w16cid:durableId="1948344031">
    <w:abstractNumId w:val="0"/>
  </w:num>
  <w:num w:numId="28" w16cid:durableId="682705287">
    <w:abstractNumId w:val="8"/>
  </w:num>
  <w:num w:numId="29" w16cid:durableId="1972440420">
    <w:abstractNumId w:val="3"/>
  </w:num>
  <w:num w:numId="30" w16cid:durableId="1966691537">
    <w:abstractNumId w:val="2"/>
  </w:num>
  <w:num w:numId="31" w16cid:durableId="800610230">
    <w:abstractNumId w:val="1"/>
  </w:num>
  <w:num w:numId="32" w16cid:durableId="114624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5060"/>
    <w:rsid w:val="0006007D"/>
    <w:rsid w:val="00063016"/>
    <w:rsid w:val="00066795"/>
    <w:rsid w:val="000745AB"/>
    <w:rsid w:val="00076AF6"/>
    <w:rsid w:val="00085CF2"/>
    <w:rsid w:val="000B1705"/>
    <w:rsid w:val="000D75B2"/>
    <w:rsid w:val="000D7A3A"/>
    <w:rsid w:val="000F5DDB"/>
    <w:rsid w:val="000F7289"/>
    <w:rsid w:val="001121F5"/>
    <w:rsid w:val="001341E4"/>
    <w:rsid w:val="001400DC"/>
    <w:rsid w:val="00140CE1"/>
    <w:rsid w:val="0017539C"/>
    <w:rsid w:val="00175AC2"/>
    <w:rsid w:val="0017609F"/>
    <w:rsid w:val="00196857"/>
    <w:rsid w:val="001A1788"/>
    <w:rsid w:val="001A3154"/>
    <w:rsid w:val="001A7D1D"/>
    <w:rsid w:val="001B2238"/>
    <w:rsid w:val="001B51DD"/>
    <w:rsid w:val="001C628E"/>
    <w:rsid w:val="001E0F7B"/>
    <w:rsid w:val="001E43D3"/>
    <w:rsid w:val="001F4EEF"/>
    <w:rsid w:val="001F5569"/>
    <w:rsid w:val="002119FD"/>
    <w:rsid w:val="002130E0"/>
    <w:rsid w:val="00221F46"/>
    <w:rsid w:val="0024696E"/>
    <w:rsid w:val="00264425"/>
    <w:rsid w:val="00265875"/>
    <w:rsid w:val="0027303B"/>
    <w:rsid w:val="00274864"/>
    <w:rsid w:val="0028109B"/>
    <w:rsid w:val="002A2188"/>
    <w:rsid w:val="002B1F58"/>
    <w:rsid w:val="002B4964"/>
    <w:rsid w:val="002B7823"/>
    <w:rsid w:val="002C1C7A"/>
    <w:rsid w:val="002C3F32"/>
    <w:rsid w:val="002C54E2"/>
    <w:rsid w:val="0030160F"/>
    <w:rsid w:val="00307D89"/>
    <w:rsid w:val="00310131"/>
    <w:rsid w:val="00320223"/>
    <w:rsid w:val="00322D0D"/>
    <w:rsid w:val="00361465"/>
    <w:rsid w:val="00375D00"/>
    <w:rsid w:val="00383EDE"/>
    <w:rsid w:val="003877F5"/>
    <w:rsid w:val="003936D3"/>
    <w:rsid w:val="003942D4"/>
    <w:rsid w:val="003958A8"/>
    <w:rsid w:val="003A3ABD"/>
    <w:rsid w:val="003B29C2"/>
    <w:rsid w:val="003C2533"/>
    <w:rsid w:val="003D5A7F"/>
    <w:rsid w:val="0040435A"/>
    <w:rsid w:val="00410799"/>
    <w:rsid w:val="00416A24"/>
    <w:rsid w:val="00427BFF"/>
    <w:rsid w:val="00431D9E"/>
    <w:rsid w:val="00433CE8"/>
    <w:rsid w:val="00434A5C"/>
    <w:rsid w:val="00440D3E"/>
    <w:rsid w:val="00453079"/>
    <w:rsid w:val="004544D9"/>
    <w:rsid w:val="00472BAD"/>
    <w:rsid w:val="004746DC"/>
    <w:rsid w:val="00474BC6"/>
    <w:rsid w:val="004811F8"/>
    <w:rsid w:val="00484009"/>
    <w:rsid w:val="0048765A"/>
    <w:rsid w:val="00490E72"/>
    <w:rsid w:val="00491157"/>
    <w:rsid w:val="00491BA9"/>
    <w:rsid w:val="004921C8"/>
    <w:rsid w:val="0049553F"/>
    <w:rsid w:val="00495B0B"/>
    <w:rsid w:val="004A1B8B"/>
    <w:rsid w:val="004B25A1"/>
    <w:rsid w:val="004B3E2F"/>
    <w:rsid w:val="004D1851"/>
    <w:rsid w:val="004D599D"/>
    <w:rsid w:val="004E2EA5"/>
    <w:rsid w:val="004E3AEB"/>
    <w:rsid w:val="004E66E5"/>
    <w:rsid w:val="004F0DC5"/>
    <w:rsid w:val="0050223C"/>
    <w:rsid w:val="00515620"/>
    <w:rsid w:val="005243FF"/>
    <w:rsid w:val="00526936"/>
    <w:rsid w:val="00526FDB"/>
    <w:rsid w:val="0056293E"/>
    <w:rsid w:val="00564FBC"/>
    <w:rsid w:val="005800BC"/>
    <w:rsid w:val="00582442"/>
    <w:rsid w:val="005A31BD"/>
    <w:rsid w:val="005D5E96"/>
    <w:rsid w:val="005D6020"/>
    <w:rsid w:val="005F3269"/>
    <w:rsid w:val="00615F8D"/>
    <w:rsid w:val="00623AE3"/>
    <w:rsid w:val="00630C4D"/>
    <w:rsid w:val="00643CCE"/>
    <w:rsid w:val="00644EC6"/>
    <w:rsid w:val="0064737F"/>
    <w:rsid w:val="006535F1"/>
    <w:rsid w:val="0065557D"/>
    <w:rsid w:val="00660D50"/>
    <w:rsid w:val="00662984"/>
    <w:rsid w:val="006716BB"/>
    <w:rsid w:val="006B1859"/>
    <w:rsid w:val="006B3C4F"/>
    <w:rsid w:val="006B5D8E"/>
    <w:rsid w:val="006B6680"/>
    <w:rsid w:val="006B6DCC"/>
    <w:rsid w:val="006B6ECF"/>
    <w:rsid w:val="006B77F1"/>
    <w:rsid w:val="006C517D"/>
    <w:rsid w:val="006C5ECF"/>
    <w:rsid w:val="006D02AB"/>
    <w:rsid w:val="006F0688"/>
    <w:rsid w:val="00702DEF"/>
    <w:rsid w:val="00706861"/>
    <w:rsid w:val="00720866"/>
    <w:rsid w:val="00720B68"/>
    <w:rsid w:val="00722551"/>
    <w:rsid w:val="00726FDA"/>
    <w:rsid w:val="007453D0"/>
    <w:rsid w:val="0075051B"/>
    <w:rsid w:val="0077110E"/>
    <w:rsid w:val="0077617A"/>
    <w:rsid w:val="00786651"/>
    <w:rsid w:val="00793188"/>
    <w:rsid w:val="00794D34"/>
    <w:rsid w:val="00797EA7"/>
    <w:rsid w:val="007A3FCD"/>
    <w:rsid w:val="007B19CF"/>
    <w:rsid w:val="007B2E69"/>
    <w:rsid w:val="007C64CC"/>
    <w:rsid w:val="007D01AF"/>
    <w:rsid w:val="007D68D6"/>
    <w:rsid w:val="007E0546"/>
    <w:rsid w:val="00813E5E"/>
    <w:rsid w:val="0083581B"/>
    <w:rsid w:val="00852BE6"/>
    <w:rsid w:val="00856773"/>
    <w:rsid w:val="00863874"/>
    <w:rsid w:val="00864AFF"/>
    <w:rsid w:val="00865925"/>
    <w:rsid w:val="0089087C"/>
    <w:rsid w:val="008949E9"/>
    <w:rsid w:val="008B4A6A"/>
    <w:rsid w:val="008C3C2C"/>
    <w:rsid w:val="008C7E27"/>
    <w:rsid w:val="008F7448"/>
    <w:rsid w:val="0090147A"/>
    <w:rsid w:val="009173EF"/>
    <w:rsid w:val="00932906"/>
    <w:rsid w:val="00961B0B"/>
    <w:rsid w:val="00962D33"/>
    <w:rsid w:val="009703C8"/>
    <w:rsid w:val="00971267"/>
    <w:rsid w:val="009A5AD1"/>
    <w:rsid w:val="009A75A1"/>
    <w:rsid w:val="009B38C3"/>
    <w:rsid w:val="009E17BD"/>
    <w:rsid w:val="009E3EF7"/>
    <w:rsid w:val="009E485A"/>
    <w:rsid w:val="00A04CEC"/>
    <w:rsid w:val="00A073EE"/>
    <w:rsid w:val="00A13E47"/>
    <w:rsid w:val="00A14092"/>
    <w:rsid w:val="00A2781B"/>
    <w:rsid w:val="00A27F92"/>
    <w:rsid w:val="00A32257"/>
    <w:rsid w:val="00A33051"/>
    <w:rsid w:val="00A36D20"/>
    <w:rsid w:val="00A47A2B"/>
    <w:rsid w:val="00A514A4"/>
    <w:rsid w:val="00A549B1"/>
    <w:rsid w:val="00A55622"/>
    <w:rsid w:val="00A83502"/>
    <w:rsid w:val="00A94BAB"/>
    <w:rsid w:val="00AA0C07"/>
    <w:rsid w:val="00AD15B3"/>
    <w:rsid w:val="00AD3606"/>
    <w:rsid w:val="00AD4A3D"/>
    <w:rsid w:val="00AD677D"/>
    <w:rsid w:val="00AE372B"/>
    <w:rsid w:val="00AE4363"/>
    <w:rsid w:val="00AF23DD"/>
    <w:rsid w:val="00AF6E49"/>
    <w:rsid w:val="00B04A67"/>
    <w:rsid w:val="00B0583C"/>
    <w:rsid w:val="00B06A31"/>
    <w:rsid w:val="00B169F3"/>
    <w:rsid w:val="00B40A81"/>
    <w:rsid w:val="00B44910"/>
    <w:rsid w:val="00B51618"/>
    <w:rsid w:val="00B7040D"/>
    <w:rsid w:val="00B72267"/>
    <w:rsid w:val="00B76EB6"/>
    <w:rsid w:val="00B7737B"/>
    <w:rsid w:val="00B824C8"/>
    <w:rsid w:val="00B84B9D"/>
    <w:rsid w:val="00B9131F"/>
    <w:rsid w:val="00BB0646"/>
    <w:rsid w:val="00BB193D"/>
    <w:rsid w:val="00BB42B0"/>
    <w:rsid w:val="00BC251A"/>
    <w:rsid w:val="00BD032B"/>
    <w:rsid w:val="00BE01C6"/>
    <w:rsid w:val="00BE2640"/>
    <w:rsid w:val="00BF1FDE"/>
    <w:rsid w:val="00C01189"/>
    <w:rsid w:val="00C0180B"/>
    <w:rsid w:val="00C0458D"/>
    <w:rsid w:val="00C14A3F"/>
    <w:rsid w:val="00C32E33"/>
    <w:rsid w:val="00C3609C"/>
    <w:rsid w:val="00C374DE"/>
    <w:rsid w:val="00C47AD4"/>
    <w:rsid w:val="00C52D81"/>
    <w:rsid w:val="00C55198"/>
    <w:rsid w:val="00C6520B"/>
    <w:rsid w:val="00C65427"/>
    <w:rsid w:val="00C94C24"/>
    <w:rsid w:val="00CA09A2"/>
    <w:rsid w:val="00CA6393"/>
    <w:rsid w:val="00CA7995"/>
    <w:rsid w:val="00CB18FF"/>
    <w:rsid w:val="00CD0C08"/>
    <w:rsid w:val="00CE03FB"/>
    <w:rsid w:val="00CE433C"/>
    <w:rsid w:val="00CF0161"/>
    <w:rsid w:val="00CF33F3"/>
    <w:rsid w:val="00CF4A2B"/>
    <w:rsid w:val="00CF50DF"/>
    <w:rsid w:val="00D024CA"/>
    <w:rsid w:val="00D06183"/>
    <w:rsid w:val="00D14640"/>
    <w:rsid w:val="00D22C42"/>
    <w:rsid w:val="00D24811"/>
    <w:rsid w:val="00D25E54"/>
    <w:rsid w:val="00D44E43"/>
    <w:rsid w:val="00D65041"/>
    <w:rsid w:val="00D76C91"/>
    <w:rsid w:val="00DB1936"/>
    <w:rsid w:val="00DB384B"/>
    <w:rsid w:val="00DD11ED"/>
    <w:rsid w:val="00DD4C35"/>
    <w:rsid w:val="00DF0189"/>
    <w:rsid w:val="00DF26C9"/>
    <w:rsid w:val="00DF60D2"/>
    <w:rsid w:val="00E06FD5"/>
    <w:rsid w:val="00E10E80"/>
    <w:rsid w:val="00E124F0"/>
    <w:rsid w:val="00E227F3"/>
    <w:rsid w:val="00E30EC9"/>
    <w:rsid w:val="00E32E42"/>
    <w:rsid w:val="00E4594A"/>
    <w:rsid w:val="00E545C6"/>
    <w:rsid w:val="00E60F04"/>
    <w:rsid w:val="00E65B24"/>
    <w:rsid w:val="00E854E4"/>
    <w:rsid w:val="00E86DBF"/>
    <w:rsid w:val="00E969AF"/>
    <w:rsid w:val="00EB0D6F"/>
    <w:rsid w:val="00EB2232"/>
    <w:rsid w:val="00EC5337"/>
    <w:rsid w:val="00EE49E8"/>
    <w:rsid w:val="00EF1601"/>
    <w:rsid w:val="00F16BAB"/>
    <w:rsid w:val="00F2150A"/>
    <w:rsid w:val="00F231D8"/>
    <w:rsid w:val="00F41209"/>
    <w:rsid w:val="00F44C00"/>
    <w:rsid w:val="00F45D2C"/>
    <w:rsid w:val="00F46C5F"/>
    <w:rsid w:val="00F52B40"/>
    <w:rsid w:val="00F57ADE"/>
    <w:rsid w:val="00F632C0"/>
    <w:rsid w:val="00F641E1"/>
    <w:rsid w:val="00F6794E"/>
    <w:rsid w:val="00F94A63"/>
    <w:rsid w:val="00FA14AA"/>
    <w:rsid w:val="00FA1C28"/>
    <w:rsid w:val="00FA345F"/>
    <w:rsid w:val="00FB1279"/>
    <w:rsid w:val="00FB4114"/>
    <w:rsid w:val="00FB6B76"/>
    <w:rsid w:val="00FB7596"/>
    <w:rsid w:val="00FE4077"/>
    <w:rsid w:val="00FE500D"/>
    <w:rsid w:val="00FE6E26"/>
    <w:rsid w:val="00FE77D2"/>
    <w:rsid w:val="00FE7843"/>
    <w:rsid w:val="00FF39B1"/>
    <w:rsid w:val="0755571C"/>
    <w:rsid w:val="2E750897"/>
    <w:rsid w:val="31C2F2AC"/>
    <w:rsid w:val="3844AB04"/>
    <w:rsid w:val="6E2EC21C"/>
    <w:rsid w:val="6E45D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1376611-48A0-4464-A965-84D44D03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F23DD"/>
    <w:pPr>
      <w:framePr w:hSpace="180" w:wrap="around" w:vAnchor="page" w:hAnchor="page" w:x="1821" w:y="2317"/>
      <w:spacing w:before="60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474BC6"/>
    <w:pPr>
      <w:ind w:left="720"/>
      <w:contextualSpacing/>
      <w:textAlignment w:val="auto"/>
    </w:pPr>
  </w:style>
  <w:style w:type="character" w:styleId="CommentReference">
    <w:name w:val="annotation reference"/>
    <w:basedOn w:val="DefaultParagraphFont"/>
    <w:semiHidden/>
    <w:unhideWhenUsed/>
    <w:rsid w:val="00C65427"/>
    <w:rPr>
      <w:sz w:val="16"/>
      <w:szCs w:val="16"/>
    </w:rPr>
  </w:style>
  <w:style w:type="paragraph" w:styleId="CommentText">
    <w:name w:val="annotation text"/>
    <w:basedOn w:val="Normal"/>
    <w:link w:val="CommentTextChar"/>
    <w:unhideWhenUsed/>
    <w:rsid w:val="00C65427"/>
    <w:rPr>
      <w:sz w:val="20"/>
    </w:rPr>
  </w:style>
  <w:style w:type="character" w:customStyle="1" w:styleId="CommentTextChar">
    <w:name w:val="Comment Text Char"/>
    <w:basedOn w:val="DefaultParagraphFont"/>
    <w:link w:val="CommentText"/>
    <w:rsid w:val="00C65427"/>
    <w:rPr>
      <w:rFonts w:ascii="Calibri" w:hAnsi="Calibri"/>
      <w:lang w:val="en-GB" w:eastAsia="en-US"/>
    </w:rPr>
  </w:style>
  <w:style w:type="paragraph" w:styleId="CommentSubject">
    <w:name w:val="annotation subject"/>
    <w:basedOn w:val="CommentText"/>
    <w:next w:val="CommentText"/>
    <w:link w:val="CommentSubjectChar"/>
    <w:semiHidden/>
    <w:unhideWhenUsed/>
    <w:rsid w:val="00C65427"/>
    <w:rPr>
      <w:b/>
      <w:bCs/>
    </w:rPr>
  </w:style>
  <w:style w:type="character" w:customStyle="1" w:styleId="CommentSubjectChar">
    <w:name w:val="Comment Subject Char"/>
    <w:basedOn w:val="CommentTextChar"/>
    <w:link w:val="CommentSubject"/>
    <w:semiHidden/>
    <w:rsid w:val="00C65427"/>
    <w:rPr>
      <w:rFonts w:ascii="Calibri" w:hAnsi="Calibri"/>
      <w:b/>
      <w:bCs/>
      <w:lang w:val="en-GB" w:eastAsia="en-US"/>
    </w:rPr>
  </w:style>
  <w:style w:type="paragraph" w:styleId="Revision">
    <w:name w:val="Revision"/>
    <w:hidden/>
    <w:uiPriority w:val="99"/>
    <w:semiHidden/>
    <w:rsid w:val="0077617A"/>
    <w:rPr>
      <w:rFonts w:ascii="Calibri" w:hAnsi="Calibri"/>
      <w:sz w:val="24"/>
      <w:lang w:val="en-GB" w:eastAsia="en-US"/>
    </w:rPr>
  </w:style>
  <w:style w:type="paragraph" w:customStyle="1" w:styleId="DecNo">
    <w:name w:val="Dec_No"/>
    <w:basedOn w:val="ResNo"/>
    <w:rsid w:val="00FE6E26"/>
  </w:style>
  <w:style w:type="paragraph" w:customStyle="1" w:styleId="Dectitle">
    <w:name w:val="Dec_title"/>
    <w:basedOn w:val="Restitle"/>
    <w:rsid w:val="00FE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1784">
      <w:bodyDiv w:val="1"/>
      <w:marLeft w:val="0"/>
      <w:marRight w:val="0"/>
      <w:marTop w:val="0"/>
      <w:marBottom w:val="0"/>
      <w:divBdr>
        <w:top w:val="none" w:sz="0" w:space="0" w:color="auto"/>
        <w:left w:val="none" w:sz="0" w:space="0" w:color="auto"/>
        <w:bottom w:val="none" w:sz="0" w:space="0" w:color="auto"/>
        <w:right w:val="none" w:sz="0" w:space="0" w:color="auto"/>
      </w:divBdr>
    </w:div>
    <w:div w:id="522281346">
      <w:bodyDiv w:val="1"/>
      <w:marLeft w:val="0"/>
      <w:marRight w:val="0"/>
      <w:marTop w:val="0"/>
      <w:marBottom w:val="0"/>
      <w:divBdr>
        <w:top w:val="none" w:sz="0" w:space="0" w:color="auto"/>
        <w:left w:val="none" w:sz="0" w:space="0" w:color="auto"/>
        <w:bottom w:val="none" w:sz="0" w:space="0" w:color="auto"/>
        <w:right w:val="none" w:sz="0" w:space="0" w:color="auto"/>
      </w:divBdr>
    </w:div>
    <w:div w:id="1284921281">
      <w:bodyDiv w:val="1"/>
      <w:marLeft w:val="0"/>
      <w:marRight w:val="0"/>
      <w:marTop w:val="0"/>
      <w:marBottom w:val="0"/>
      <w:divBdr>
        <w:top w:val="none" w:sz="0" w:space="0" w:color="auto"/>
        <w:left w:val="none" w:sz="0" w:space="0" w:color="auto"/>
        <w:bottom w:val="none" w:sz="0" w:space="0" w:color="auto"/>
        <w:right w:val="none" w:sz="0" w:space="0" w:color="auto"/>
      </w:divBdr>
    </w:div>
    <w:div w:id="19061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43/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basic-texts/RES-111-E.pdf" TargetMode="External"/><Relationship Id="rId17" Type="http://schemas.openxmlformats.org/officeDocument/2006/relationships/hyperlink" Target="https://www.itu.int/md/S24-CL-C-0007/en" TargetMode="External"/><Relationship Id="rId2" Type="http://schemas.openxmlformats.org/officeDocument/2006/relationships/customXml" Target="../customXml/item2.xml"/><Relationship Id="rId16" Type="http://schemas.openxmlformats.org/officeDocument/2006/relationships/hyperlink" Target="https://www.itu.int/md/S25-CWGFHR20-C-0008/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council/pd/rop-e.pdf" TargetMode="External"/><Relationship Id="rId5" Type="http://schemas.openxmlformats.org/officeDocument/2006/relationships/numbering" Target="numbering.xml"/><Relationship Id="rId15" Type="http://schemas.openxmlformats.org/officeDocument/2006/relationships/hyperlink" Target="https://www.itu.int/md/S24-CL-C-0132/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43/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D9F0661-34CA-48C1-B392-AC08380EF68C}">
  <ds:schemaRefs>
    <ds:schemaRef ds:uri="http://purl.org/dc/terms/"/>
    <ds:schemaRef ds:uri="http://schemas.microsoft.com/office/2006/documentManagement/types"/>
    <ds:schemaRef ds:uri="http://purl.org/dc/elements/1.1/"/>
    <ds:schemaRef ds:uri="a1cf676c-2816-4389-ad5d-0f2e7c7e67c4"/>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95BC536-6CF0-4A20-8390-D8526D316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76674-5314-4C75-9A6D-1C01E21BD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4</Pages>
  <Words>1198</Words>
  <Characters>6414</Characters>
  <Application>Microsoft Office Word</Application>
  <DocSecurity>0</DocSecurity>
  <Lines>53</Lines>
  <Paragraphs>15</Paragraphs>
  <ScaleCrop>false</ScaleCrop>
  <Manager>General Secretariat</Manager>
  <Company>International Telecommunication Union (ITU)</Company>
  <LinksUpToDate>false</LinksUpToDate>
  <CharactersWithSpaces>7597</CharactersWithSpaces>
  <SharedDoc>false</SharedDoc>
  <HLinks>
    <vt:vector size="48" baseType="variant">
      <vt:variant>
        <vt:i4>7405628</vt:i4>
      </vt:variant>
      <vt:variant>
        <vt:i4>18</vt:i4>
      </vt:variant>
      <vt:variant>
        <vt:i4>0</vt:i4>
      </vt:variant>
      <vt:variant>
        <vt:i4>5</vt:i4>
      </vt:variant>
      <vt:variant>
        <vt:lpwstr>https://www.itu.int/md/S24-CL-C-0007/en</vt:lpwstr>
      </vt:variant>
      <vt:variant>
        <vt:lpwstr/>
      </vt:variant>
      <vt:variant>
        <vt:i4>4325379</vt:i4>
      </vt:variant>
      <vt:variant>
        <vt:i4>15</vt:i4>
      </vt:variant>
      <vt:variant>
        <vt:i4>0</vt:i4>
      </vt:variant>
      <vt:variant>
        <vt:i4>5</vt:i4>
      </vt:variant>
      <vt:variant>
        <vt:lpwstr>https://www.itu.int/md/S25-CWGFHR20-C-0008/en</vt:lpwstr>
      </vt:variant>
      <vt:variant>
        <vt:lpwstr/>
      </vt:variant>
      <vt:variant>
        <vt:i4>7667775</vt:i4>
      </vt:variant>
      <vt:variant>
        <vt:i4>12</vt:i4>
      </vt:variant>
      <vt:variant>
        <vt:i4>0</vt:i4>
      </vt:variant>
      <vt:variant>
        <vt:i4>5</vt:i4>
      </vt:variant>
      <vt:variant>
        <vt:lpwstr>https://www.itu.int/md/S24-CL-C-0132/en</vt:lpwstr>
      </vt:variant>
      <vt:variant>
        <vt:lpwstr/>
      </vt:variant>
      <vt:variant>
        <vt:i4>7602232</vt:i4>
      </vt:variant>
      <vt:variant>
        <vt:i4>9</vt:i4>
      </vt:variant>
      <vt:variant>
        <vt:i4>0</vt:i4>
      </vt:variant>
      <vt:variant>
        <vt:i4>5</vt:i4>
      </vt:variant>
      <vt:variant>
        <vt:lpwstr>https://www.itu.int/md/S24-CL-C-0143/en</vt:lpwstr>
      </vt:variant>
      <vt:variant>
        <vt:lpwstr/>
      </vt:variant>
      <vt:variant>
        <vt:i4>7602232</vt:i4>
      </vt:variant>
      <vt:variant>
        <vt:i4>6</vt:i4>
      </vt:variant>
      <vt:variant>
        <vt:i4>0</vt:i4>
      </vt:variant>
      <vt:variant>
        <vt:i4>5</vt:i4>
      </vt:variant>
      <vt:variant>
        <vt:lpwstr>https://www.itu.int/md/S24-CL-C-0143/en</vt:lpwstr>
      </vt:variant>
      <vt:variant>
        <vt:lpwstr/>
      </vt:variant>
      <vt:variant>
        <vt:i4>2883693</vt:i4>
      </vt:variant>
      <vt:variant>
        <vt:i4>3</vt:i4>
      </vt:variant>
      <vt:variant>
        <vt:i4>0</vt:i4>
      </vt:variant>
      <vt:variant>
        <vt:i4>5</vt:i4>
      </vt:variant>
      <vt:variant>
        <vt:lpwstr>https://www.itu.int/en/council/Documents/basic-texts/RES-111-E.pdf</vt:lpwstr>
      </vt:variant>
      <vt:variant>
        <vt:lpwstr/>
      </vt:variant>
      <vt:variant>
        <vt:i4>6553727</vt:i4>
      </vt:variant>
      <vt:variant>
        <vt:i4>0</vt:i4>
      </vt:variant>
      <vt:variant>
        <vt:i4>0</vt:i4>
      </vt:variant>
      <vt:variant>
        <vt:i4>5</vt:i4>
      </vt:variant>
      <vt:variant>
        <vt:lpwstr>http://www.itu.int/council/pd/rop-e.pdf</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2026, 2027, 2028 sessions of the Council and the CWG clusters for 2026-2028</dc:title>
  <dc:subject>Council 2025</dc:subject>
  <dc:creator>LRT</dc:creator>
  <cp:keywords>C25; C2025; Council 2025; ITU160</cp:keywords>
  <dc:description/>
  <cp:lastModifiedBy>GBS</cp:lastModifiedBy>
  <cp:revision>2</cp:revision>
  <cp:lastPrinted>2000-07-18T04:30:00Z</cp:lastPrinted>
  <dcterms:created xsi:type="dcterms:W3CDTF">2025-05-21T12:22:00Z</dcterms:created>
  <dcterms:modified xsi:type="dcterms:W3CDTF">2025-05-21T12:22:00Z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