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1A0F4D" w14:paraId="0C2A823F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56DB510" w14:textId="35A6B2DB" w:rsidR="00796BD3" w:rsidRPr="001A0F4D" w:rsidRDefault="00796BD3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2CC7E860" w14:textId="33D491F8" w:rsidR="00796BD3" w:rsidRPr="001A0F4D" w:rsidRDefault="00881C8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A0F4D">
              <w:rPr>
                <w:b/>
                <w:lang w:val="ru-RU"/>
              </w:rPr>
              <w:t xml:space="preserve">Пересмотр </w:t>
            </w:r>
            <w:r w:rsidR="00E352BA" w:rsidRPr="001A0F4D">
              <w:rPr>
                <w:b/>
                <w:lang w:val="ru-RU"/>
              </w:rPr>
              <w:t>3</w:t>
            </w:r>
            <w:r w:rsidRPr="001A0F4D">
              <w:rPr>
                <w:b/>
                <w:lang w:val="ru-RU"/>
              </w:rPr>
              <w:br/>
            </w:r>
            <w:r w:rsidR="0033025A" w:rsidRPr="001A0F4D">
              <w:rPr>
                <w:b/>
                <w:lang w:val="ru-RU"/>
              </w:rPr>
              <w:t>Документ</w:t>
            </w:r>
            <w:r w:rsidR="00136444" w:rsidRPr="001A0F4D">
              <w:rPr>
                <w:b/>
                <w:lang w:val="ru-RU"/>
              </w:rPr>
              <w:t>а</w:t>
            </w:r>
            <w:r w:rsidR="0033025A" w:rsidRPr="001A0F4D">
              <w:rPr>
                <w:b/>
                <w:lang w:val="ru-RU"/>
              </w:rPr>
              <w:t xml:space="preserve"> </w:t>
            </w:r>
            <w:r w:rsidR="00796BD3" w:rsidRPr="001A0F4D">
              <w:rPr>
                <w:b/>
                <w:lang w:val="ru-RU"/>
              </w:rPr>
              <w:t>C2</w:t>
            </w:r>
            <w:r w:rsidR="00D631AA" w:rsidRPr="001A0F4D">
              <w:rPr>
                <w:b/>
                <w:lang w:val="ru-RU"/>
              </w:rPr>
              <w:t>5</w:t>
            </w:r>
            <w:r w:rsidR="00796BD3" w:rsidRPr="001A0F4D">
              <w:rPr>
                <w:b/>
                <w:lang w:val="ru-RU"/>
              </w:rPr>
              <w:t>/</w:t>
            </w:r>
            <w:r w:rsidR="00411DB6" w:rsidRPr="001A0F4D">
              <w:rPr>
                <w:b/>
                <w:lang w:val="ru-RU"/>
              </w:rPr>
              <w:t>1</w:t>
            </w:r>
            <w:r w:rsidR="00796BD3" w:rsidRPr="001A0F4D">
              <w:rPr>
                <w:b/>
                <w:lang w:val="ru-RU"/>
              </w:rPr>
              <w:t>-R</w:t>
            </w:r>
          </w:p>
        </w:tc>
      </w:tr>
      <w:tr w:rsidR="00796BD3" w:rsidRPr="001A0F4D" w14:paraId="54AF747B" w14:textId="77777777" w:rsidTr="00DA770A">
        <w:trPr>
          <w:cantSplit/>
        </w:trPr>
        <w:tc>
          <w:tcPr>
            <w:tcW w:w="3969" w:type="dxa"/>
            <w:vMerge/>
          </w:tcPr>
          <w:p w14:paraId="55D3566B" w14:textId="77777777" w:rsidR="00796BD3" w:rsidRPr="001A0F4D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A7352B" w14:textId="3850778A" w:rsidR="00796BD3" w:rsidRPr="001A0F4D" w:rsidRDefault="0023463C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1A0F4D">
              <w:rPr>
                <w:b/>
                <w:lang w:val="ru-RU"/>
              </w:rPr>
              <w:t>1</w:t>
            </w:r>
            <w:r w:rsidR="00E352BA" w:rsidRPr="001A0F4D">
              <w:rPr>
                <w:b/>
                <w:lang w:val="ru-RU"/>
              </w:rPr>
              <w:t>6</w:t>
            </w:r>
            <w:r w:rsidR="00136444" w:rsidRPr="001A0F4D">
              <w:rPr>
                <w:b/>
                <w:lang w:val="ru-RU"/>
              </w:rPr>
              <w:t xml:space="preserve"> июня</w:t>
            </w:r>
            <w:r w:rsidR="00411DB6" w:rsidRPr="001A0F4D">
              <w:rPr>
                <w:b/>
                <w:lang w:val="ru-RU"/>
              </w:rPr>
              <w:t xml:space="preserve"> 2025 года</w:t>
            </w:r>
          </w:p>
        </w:tc>
      </w:tr>
      <w:tr w:rsidR="00796BD3" w:rsidRPr="001A0F4D" w14:paraId="5134E905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6A1485EC" w14:textId="77777777" w:rsidR="00796BD3" w:rsidRPr="001A0F4D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0629683" w14:textId="77777777" w:rsidR="00796BD3" w:rsidRPr="001A0F4D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A0F4D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1A0F4D" w14:paraId="56693F1C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61CB56F" w14:textId="18C8E202" w:rsidR="00796BD3" w:rsidRPr="001A0F4D" w:rsidRDefault="00411DB6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1A0F4D">
              <w:rPr>
                <w:rFonts w:cstheme="minorHAnsi"/>
                <w:sz w:val="32"/>
                <w:szCs w:val="32"/>
                <w:lang w:val="ru-RU"/>
              </w:rPr>
              <w:t>Записка</w:t>
            </w:r>
            <w:r w:rsidR="0033025A" w:rsidRPr="001A0F4D">
              <w:rPr>
                <w:rFonts w:cstheme="minorHAnsi"/>
                <w:sz w:val="32"/>
                <w:szCs w:val="32"/>
                <w:lang w:val="ru-RU"/>
              </w:rPr>
              <w:t xml:space="preserve"> Генерального секретаря</w:t>
            </w:r>
          </w:p>
        </w:tc>
      </w:tr>
      <w:tr w:rsidR="00796BD3" w:rsidRPr="00742309" w14:paraId="081A5603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EA70292" w14:textId="64A02E22" w:rsidR="00796BD3" w:rsidRPr="001A0F4D" w:rsidRDefault="003D4FF5" w:rsidP="003D4FF5">
            <w:pPr>
              <w:pStyle w:val="Subtitle"/>
              <w:framePr w:hSpace="0" w:wrap="auto" w:hAnchor="text" w:xAlign="left" w:yAlign="inline"/>
              <w:rPr>
                <w:szCs w:val="32"/>
                <w:lang w:val="ru-RU"/>
              </w:rPr>
            </w:pPr>
            <w:bookmarkStart w:id="6" w:name="dtitle1" w:colFirst="0" w:colLast="0"/>
            <w:bookmarkEnd w:id="5"/>
            <w:r w:rsidRPr="001A0F4D">
              <w:rPr>
                <w:lang w:val="ru-RU"/>
              </w:rPr>
              <w:t>Проект повестки дня сессии Совета 2025 года</w:t>
            </w:r>
          </w:p>
        </w:tc>
      </w:tr>
      <w:bookmarkEnd w:id="2"/>
      <w:bookmarkEnd w:id="6"/>
    </w:tbl>
    <w:p w14:paraId="0606458A" w14:textId="0B10986C" w:rsidR="00796BD3" w:rsidRPr="001A0F4D" w:rsidRDefault="00796BD3" w:rsidP="00796BD3">
      <w:pPr>
        <w:rPr>
          <w:lang w:val="ru-RU"/>
        </w:rPr>
      </w:pPr>
    </w:p>
    <w:tbl>
      <w:tblPr>
        <w:tblW w:w="94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6712"/>
        <w:gridCol w:w="1620"/>
      </w:tblGrid>
      <w:tr w:rsidR="00411DB6" w:rsidRPr="001A0F4D" w14:paraId="0C2332F8" w14:textId="77777777" w:rsidTr="007E5450">
        <w:trPr>
          <w:tblHeader/>
          <w:jc w:val="center"/>
        </w:trPr>
        <w:tc>
          <w:tcPr>
            <w:tcW w:w="1080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16F2E3F9" w14:textId="1CAC1217" w:rsidR="00411DB6" w:rsidRPr="001A0F4D" w:rsidRDefault="00411DB6" w:rsidP="003D4FF5">
            <w:pPr>
              <w:spacing w:before="60" w:after="60"/>
              <w:jc w:val="center"/>
              <w:rPr>
                <w:rFonts w:cs="Calibri"/>
                <w:b/>
                <w:color w:val="FFFFFF"/>
                <w:sz w:val="20"/>
                <w:lang w:val="ru-RU"/>
              </w:rPr>
            </w:pPr>
            <w:r w:rsidRPr="001A0F4D">
              <w:rPr>
                <w:rFonts w:cs="Calibri"/>
                <w:b/>
                <w:color w:val="FFFFFF"/>
                <w:sz w:val="20"/>
                <w:lang w:val="ru-RU"/>
              </w:rPr>
              <w:t>Пункт повестки дня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auto"/>
            </w:tcBorders>
            <w:shd w:val="clear" w:color="auto" w:fill="808080"/>
          </w:tcPr>
          <w:p w14:paraId="7F2080D9" w14:textId="11F5342B" w:rsidR="00411DB6" w:rsidRPr="001A0F4D" w:rsidRDefault="00411DB6" w:rsidP="003D4FF5">
            <w:pPr>
              <w:spacing w:before="60" w:after="60"/>
              <w:jc w:val="center"/>
              <w:rPr>
                <w:rFonts w:cs="Calibri"/>
                <w:b/>
                <w:color w:val="FFFFFF"/>
                <w:sz w:val="20"/>
                <w:lang w:val="ru-RU"/>
              </w:rPr>
            </w:pPr>
            <w:r w:rsidRPr="001A0F4D">
              <w:rPr>
                <w:rFonts w:cs="Calibri"/>
                <w:b/>
                <w:color w:val="FFFFFF"/>
                <w:sz w:val="20"/>
                <w:lang w:val="ru-RU"/>
              </w:rPr>
              <w:t>Название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auto"/>
            </w:tcBorders>
            <w:shd w:val="clear" w:color="auto" w:fill="808080"/>
          </w:tcPr>
          <w:p w14:paraId="1CFC0A48" w14:textId="60A185B8" w:rsidR="00411DB6" w:rsidRPr="001A0F4D" w:rsidRDefault="00411DB6" w:rsidP="003D4FF5">
            <w:pPr>
              <w:spacing w:before="60" w:after="60"/>
              <w:jc w:val="center"/>
              <w:rPr>
                <w:rFonts w:cs="Calibri"/>
                <w:b/>
                <w:color w:val="FFFFFF"/>
                <w:sz w:val="20"/>
                <w:lang w:val="ru-RU"/>
              </w:rPr>
            </w:pPr>
            <w:r w:rsidRPr="001A0F4D">
              <w:rPr>
                <w:rFonts w:cs="Calibri"/>
                <w:b/>
                <w:color w:val="FFFFFF"/>
                <w:sz w:val="20"/>
                <w:lang w:val="ru-RU"/>
              </w:rPr>
              <w:t>Документ</w:t>
            </w:r>
          </w:p>
        </w:tc>
      </w:tr>
      <w:tr w:rsidR="00184255" w:rsidRPr="00742309" w14:paraId="4E145D28" w14:textId="77777777" w:rsidTr="00F93CA2">
        <w:trPr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3D66FA28" w14:textId="77777777" w:rsidR="00184255" w:rsidRPr="001A0F4D" w:rsidRDefault="00184255" w:rsidP="005F4870">
            <w:pPr>
              <w:keepNext/>
              <w:keepLines/>
              <w:spacing w:before="60" w:after="60"/>
              <w:jc w:val="center"/>
              <w:rPr>
                <w:rFonts w:cs="Calibri"/>
                <w:b/>
                <w:sz w:val="20"/>
                <w:lang w:val="ru-RU"/>
              </w:rPr>
            </w:pPr>
            <w:r w:rsidRPr="001A0F4D">
              <w:rPr>
                <w:rFonts w:cs="Calibri"/>
                <w:b/>
                <w:sz w:val="20"/>
                <w:lang w:val="ru-RU"/>
              </w:rPr>
              <w:t>PL 1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01023E15" w14:textId="52AEC6D1" w:rsidR="00184255" w:rsidRPr="001A0F4D" w:rsidRDefault="00184255" w:rsidP="005F4870">
            <w:pPr>
              <w:keepNext/>
              <w:keepLines/>
              <w:spacing w:before="60" w:after="60"/>
              <w:rPr>
                <w:rFonts w:cs="Calibri"/>
                <w:b/>
                <w:sz w:val="20"/>
                <w:lang w:val="ru-RU"/>
              </w:rPr>
            </w:pPr>
            <w:r w:rsidRPr="001A0F4D">
              <w:rPr>
                <w:rFonts w:cs="Calibri"/>
                <w:b/>
                <w:bCs/>
                <w:color w:val="000000"/>
                <w:sz w:val="20"/>
                <w:lang w:val="ru-RU"/>
              </w:rPr>
              <w:t>Создание МСЭ, отвечающего своему назначению</w:t>
            </w:r>
          </w:p>
        </w:tc>
      </w:tr>
      <w:tr w:rsidR="00411DB6" w:rsidRPr="001A0F4D" w14:paraId="45D93A7E" w14:textId="77777777" w:rsidTr="007E5450">
        <w:trPr>
          <w:tblHeader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E46A3D7" w14:textId="76E48767" w:rsidR="00411DB6" w:rsidRPr="001A0F4D" w:rsidRDefault="00136444" w:rsidP="003D4FF5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  <w:r w:rsidRPr="001A0F4D">
              <w:rPr>
                <w:rFonts w:cs="Calibri"/>
                <w:bCs/>
                <w:sz w:val="20"/>
                <w:lang w:val="ru-RU"/>
              </w:rPr>
              <w:t>1.1</w:t>
            </w:r>
          </w:p>
        </w:tc>
        <w:tc>
          <w:tcPr>
            <w:tcW w:w="67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77087260" w14:textId="7F17D95C" w:rsidR="00411DB6" w:rsidRPr="001A0F4D" w:rsidRDefault="00411DB6" w:rsidP="003D4FF5">
            <w:pPr>
              <w:spacing w:before="60" w:after="60"/>
              <w:rPr>
                <w:rFonts w:cs="Calibri"/>
                <w:b/>
                <w:color w:val="FFFFFF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Положение дел в Союзе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</w:tcPr>
          <w:p w14:paraId="1A18D612" w14:textId="77777777" w:rsidR="00411DB6" w:rsidRPr="001A0F4D" w:rsidRDefault="00411DB6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–</w:t>
            </w:r>
          </w:p>
        </w:tc>
      </w:tr>
      <w:tr w:rsidR="00411DB6" w:rsidRPr="001A0F4D" w14:paraId="2B14B4AA" w14:textId="77777777" w:rsidTr="007E5450">
        <w:trPr>
          <w:tblHeader/>
          <w:jc w:val="center"/>
        </w:trPr>
        <w:tc>
          <w:tcPr>
            <w:tcW w:w="1080" w:type="dxa"/>
          </w:tcPr>
          <w:p w14:paraId="39A5D854" w14:textId="4F119FFA" w:rsidR="00411DB6" w:rsidRPr="001A0F4D" w:rsidRDefault="00136444" w:rsidP="003D4FF5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  <w:r w:rsidRPr="001A0F4D">
              <w:rPr>
                <w:rFonts w:cs="Calibri"/>
                <w:bCs/>
                <w:sz w:val="20"/>
                <w:lang w:val="ru-RU"/>
              </w:rPr>
              <w:t>1.2</w:t>
            </w:r>
          </w:p>
        </w:tc>
        <w:tc>
          <w:tcPr>
            <w:tcW w:w="67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2A68DF37" w14:textId="53B12AD4" w:rsidR="00411DB6" w:rsidRPr="001A0F4D" w:rsidRDefault="00E352BA" w:rsidP="003D4FF5">
            <w:pPr>
              <w:spacing w:before="60" w:after="60"/>
              <w:rPr>
                <w:rFonts w:cs="Calibri"/>
                <w:b/>
                <w:color w:val="FFFFFF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</w:t>
            </w:r>
            <w:r w:rsidR="003D4FF5" w:rsidRPr="001A0F4D">
              <w:rPr>
                <w:rFonts w:cs="Calibri"/>
                <w:color w:val="000000"/>
                <w:sz w:val="20"/>
                <w:lang w:val="ru-RU"/>
              </w:rPr>
              <w:t xml:space="preserve">тчет </w:t>
            </w:r>
            <w:r w:rsidR="00411DB6" w:rsidRPr="001A0F4D">
              <w:rPr>
                <w:rFonts w:cs="Calibri"/>
                <w:color w:val="000000"/>
                <w:sz w:val="20"/>
                <w:lang w:val="ru-RU"/>
              </w:rPr>
              <w:t xml:space="preserve">о выполнении Стратегического плана и о деятельности Союза, </w:t>
            </w:r>
            <w:proofErr w:type="gramStart"/>
            <w:r w:rsidR="00411DB6" w:rsidRPr="001A0F4D">
              <w:rPr>
                <w:rFonts w:cs="Calibri"/>
                <w:color w:val="000000"/>
                <w:sz w:val="20"/>
                <w:lang w:val="ru-RU"/>
              </w:rPr>
              <w:t>2024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>−2025</w:t>
            </w:r>
            <w:proofErr w:type="gramEnd"/>
            <w:r w:rsidR="00D1465E">
              <w:rPr>
                <w:rFonts w:cs="Calibri"/>
                <w:color w:val="000000"/>
                <w:sz w:val="20"/>
                <w:lang w:val="en-US"/>
              </w:rPr>
              <w:t> </w:t>
            </w:r>
            <w:r w:rsidR="00411DB6" w:rsidRPr="001A0F4D">
              <w:rPr>
                <w:rFonts w:cs="Calibri"/>
                <w:color w:val="000000"/>
                <w:sz w:val="20"/>
                <w:lang w:val="ru-RU"/>
              </w:rPr>
              <w:t>год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>ы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</w:tcPr>
          <w:p w14:paraId="14480C83" w14:textId="77777777" w:rsidR="00411DB6" w:rsidRPr="001A0F4D" w:rsidRDefault="00411DB6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7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C25/35</w:t>
              </w:r>
            </w:hyperlink>
          </w:p>
        </w:tc>
      </w:tr>
      <w:tr w:rsidR="00411DB6" w:rsidRPr="001A0F4D" w14:paraId="203F164A" w14:textId="77777777" w:rsidTr="007E5450">
        <w:trPr>
          <w:jc w:val="center"/>
        </w:trPr>
        <w:tc>
          <w:tcPr>
            <w:tcW w:w="1080" w:type="dxa"/>
          </w:tcPr>
          <w:p w14:paraId="5463A4A4" w14:textId="50BEB3B8" w:rsidR="00411DB6" w:rsidRPr="001A0F4D" w:rsidRDefault="00136444" w:rsidP="003D4FF5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  <w:r w:rsidRPr="001A0F4D">
              <w:rPr>
                <w:rFonts w:cs="Calibri"/>
                <w:bCs/>
                <w:sz w:val="20"/>
                <w:lang w:val="ru-RU"/>
              </w:rPr>
              <w:t>1.3</w:t>
            </w: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0DAFFAFA" w14:textId="40EA2CC6" w:rsidR="00411DB6" w:rsidRPr="001A0F4D" w:rsidRDefault="00411DB6" w:rsidP="003D4FF5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Обновленная информация о процессе трансформации и дорожной карте МСЭ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333C02AB" w14:textId="77777777" w:rsidR="00411DB6" w:rsidRPr="001A0F4D" w:rsidRDefault="00411DB6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8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C25/55</w:t>
              </w:r>
            </w:hyperlink>
          </w:p>
        </w:tc>
      </w:tr>
      <w:tr w:rsidR="00411DB6" w:rsidRPr="00742309" w14:paraId="19B75F1D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2F46E941" w14:textId="77777777" w:rsidR="00411DB6" w:rsidRPr="001A0F4D" w:rsidRDefault="00411DB6" w:rsidP="005F4870">
            <w:pPr>
              <w:keepNext/>
              <w:keepLines/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b/>
                <w:sz w:val="20"/>
                <w:lang w:val="ru-RU"/>
              </w:rPr>
              <w:t>PL 2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4E6F2A52" w14:textId="72052FB6" w:rsidR="00411DB6" w:rsidRPr="001A0F4D" w:rsidRDefault="00411DB6" w:rsidP="005F4870">
            <w:pPr>
              <w:keepNext/>
              <w:keepLines/>
              <w:spacing w:before="60" w:after="60"/>
              <w:rPr>
                <w:rFonts w:cs="Calibri"/>
                <w:b/>
                <w:sz w:val="20"/>
                <w:lang w:val="ru-RU"/>
              </w:rPr>
            </w:pPr>
            <w:r w:rsidRPr="001A0F4D">
              <w:rPr>
                <w:rFonts w:cs="Calibri"/>
                <w:b/>
                <w:bCs/>
                <w:color w:val="000000"/>
                <w:sz w:val="20"/>
                <w:lang w:val="ru-RU"/>
              </w:rPr>
              <w:t>Единство действий МСЭ (общая политика, стратегия и виды деятельности)</w:t>
            </w:r>
          </w:p>
        </w:tc>
      </w:tr>
      <w:tr w:rsidR="00411DB6" w:rsidRPr="001A0F4D" w14:paraId="44E8DD1D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2AC88E6A" w14:textId="18AD58E5" w:rsidR="00411DB6" w:rsidRPr="001A0F4D" w:rsidRDefault="00136444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2.1</w:t>
            </w: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6B0C38CB" w14:textId="13DD8F06" w:rsidR="00411DB6" w:rsidRPr="001A0F4D" w:rsidRDefault="00411DB6" w:rsidP="003D4FF5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Стратегия координации усилий трех Секторов Союза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4EEBBE1A" w14:textId="77777777" w:rsidR="00411DB6" w:rsidRPr="001A0F4D" w:rsidRDefault="00411DB6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9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C25/27</w:t>
              </w:r>
            </w:hyperlink>
          </w:p>
        </w:tc>
      </w:tr>
      <w:tr w:rsidR="00411DB6" w:rsidRPr="001A0F4D" w14:paraId="6B2945A2" w14:textId="77777777" w:rsidTr="007E5450">
        <w:trPr>
          <w:jc w:val="center"/>
        </w:trPr>
        <w:tc>
          <w:tcPr>
            <w:tcW w:w="1080" w:type="dxa"/>
          </w:tcPr>
          <w:p w14:paraId="34776A11" w14:textId="4A1E2024" w:rsidR="00411DB6" w:rsidRPr="001A0F4D" w:rsidRDefault="00136444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2.2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42CE16B" w14:textId="5E22A036" w:rsidR="00411DB6" w:rsidRPr="001A0F4D" w:rsidRDefault="00411DB6" w:rsidP="003D4FF5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Проект четырехгодичн</w:t>
            </w:r>
            <w:r w:rsidR="003D4FF5" w:rsidRPr="001A0F4D">
              <w:rPr>
                <w:rFonts w:cs="Calibri"/>
                <w:color w:val="000000"/>
                <w:sz w:val="20"/>
                <w:lang w:val="ru-RU"/>
              </w:rPr>
              <w:t>ого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 скользящ</w:t>
            </w:r>
            <w:r w:rsidR="003D4FF5" w:rsidRPr="001A0F4D">
              <w:rPr>
                <w:rFonts w:cs="Calibri"/>
                <w:color w:val="000000"/>
                <w:sz w:val="20"/>
                <w:lang w:val="ru-RU"/>
              </w:rPr>
              <w:t>его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 </w:t>
            </w:r>
            <w:r w:rsidR="003D4FF5" w:rsidRPr="001A0F4D">
              <w:rPr>
                <w:rFonts w:cs="Calibri"/>
                <w:color w:val="000000"/>
                <w:sz w:val="20"/>
                <w:lang w:val="ru-RU"/>
              </w:rPr>
              <w:t xml:space="preserve">Оперативного 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>план</w:t>
            </w:r>
            <w:r w:rsidR="003D4FF5" w:rsidRPr="001A0F4D">
              <w:rPr>
                <w:rFonts w:cs="Calibri"/>
                <w:color w:val="000000"/>
                <w:sz w:val="20"/>
                <w:lang w:val="ru-RU"/>
              </w:rPr>
              <w:t>а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 Союза на</w:t>
            </w:r>
            <w:r w:rsidR="003D4FF5" w:rsidRPr="001A0F4D">
              <w:rPr>
                <w:rFonts w:cs="Calibri"/>
                <w:color w:val="000000"/>
                <w:sz w:val="20"/>
                <w:lang w:val="ru-RU"/>
              </w:rPr>
              <w:t> </w:t>
            </w:r>
            <w:proofErr w:type="gramStart"/>
            <w:r w:rsidRPr="001A0F4D">
              <w:rPr>
                <w:rFonts w:cs="Calibri"/>
                <w:color w:val="000000"/>
                <w:sz w:val="20"/>
                <w:lang w:val="ru-RU"/>
              </w:rPr>
              <w:t>2026−2029</w:t>
            </w:r>
            <w:proofErr w:type="gramEnd"/>
            <w:r w:rsidRPr="001A0F4D">
              <w:rPr>
                <w:rFonts w:cs="Calibri"/>
                <w:color w:val="000000"/>
                <w:sz w:val="20"/>
                <w:lang w:val="ru-RU"/>
              </w:rPr>
              <w:t> годы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8D0BE82" w14:textId="77777777" w:rsidR="00411DB6" w:rsidRPr="001A0F4D" w:rsidRDefault="00411DB6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0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C25/28</w:t>
              </w:r>
            </w:hyperlink>
          </w:p>
        </w:tc>
      </w:tr>
      <w:tr w:rsidR="00411DB6" w:rsidRPr="001A0F4D" w14:paraId="5BAAE30B" w14:textId="77777777" w:rsidTr="007E5450">
        <w:trPr>
          <w:jc w:val="center"/>
        </w:trPr>
        <w:tc>
          <w:tcPr>
            <w:tcW w:w="1080" w:type="dxa"/>
          </w:tcPr>
          <w:p w14:paraId="296151D6" w14:textId="4060513B" w:rsidR="00411DB6" w:rsidRPr="001A0F4D" w:rsidRDefault="00136444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2.3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58D4D7F" w14:textId="7385E3CB" w:rsidR="00411DB6" w:rsidRPr="001A0F4D" w:rsidRDefault="00411DB6" w:rsidP="003D4FF5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Укрепление регионального присутствия</w:t>
            </w:r>
            <w:r w:rsidR="00E352BA" w:rsidRPr="001A0F4D">
              <w:rPr>
                <w:rFonts w:cs="Calibri"/>
                <w:color w:val="000000"/>
                <w:sz w:val="20"/>
                <w:lang w:val="ru-RU"/>
              </w:rPr>
              <w:t xml:space="preserve"> МСЭ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8E2B0F0" w14:textId="160FE271" w:rsidR="00411DB6" w:rsidRPr="001A0F4D" w:rsidDel="003607CD" w:rsidRDefault="00411DB6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1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C25/25</w:t>
              </w:r>
              <w:r w:rsidR="00136444" w:rsidRPr="001A0F4D">
                <w:rPr>
                  <w:rStyle w:val="Hyperlink"/>
                  <w:rFonts w:cs="Calibri"/>
                  <w:sz w:val="20"/>
                  <w:lang w:val="ru-RU"/>
                </w:rPr>
                <w:t>(Rev.1)</w:t>
              </w:r>
            </w:hyperlink>
          </w:p>
        </w:tc>
      </w:tr>
      <w:tr w:rsidR="00411DB6" w:rsidRPr="001A0F4D" w14:paraId="3803A7F0" w14:textId="77777777" w:rsidTr="007E5450">
        <w:trPr>
          <w:jc w:val="center"/>
        </w:trPr>
        <w:tc>
          <w:tcPr>
            <w:tcW w:w="1080" w:type="dxa"/>
          </w:tcPr>
          <w:p w14:paraId="45D50080" w14:textId="035F3A0D" w:rsidR="00411DB6" w:rsidRPr="001A0F4D" w:rsidRDefault="00136444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2.4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78110BC" w14:textId="0AB80555" w:rsidR="00411DB6" w:rsidRPr="001A0F4D" w:rsidRDefault="00411DB6" w:rsidP="003D4FF5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 председателя Рабочей группы Совета по защите ребенка в</w:t>
            </w:r>
            <w:r w:rsidR="0090553F" w:rsidRPr="001A0F4D">
              <w:rPr>
                <w:rFonts w:cs="Calibri"/>
                <w:color w:val="000000"/>
                <w:sz w:val="20"/>
                <w:lang w:val="ru-RU"/>
              </w:rPr>
              <w:t> 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>онлайновой среде (РГС-COP)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D6BB4CB" w14:textId="77777777" w:rsidR="00411DB6" w:rsidRPr="001A0F4D" w:rsidRDefault="00411DB6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2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C25/15</w:t>
              </w:r>
            </w:hyperlink>
          </w:p>
        </w:tc>
      </w:tr>
      <w:tr w:rsidR="00507EDA" w:rsidRPr="001A0F4D" w14:paraId="507D79FC" w14:textId="77777777" w:rsidTr="007E5450">
        <w:trPr>
          <w:jc w:val="center"/>
        </w:trPr>
        <w:tc>
          <w:tcPr>
            <w:tcW w:w="1080" w:type="dxa"/>
            <w:vMerge w:val="restart"/>
          </w:tcPr>
          <w:p w14:paraId="7F4E7401" w14:textId="7E7E6A0B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2.5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FC5580D" w14:textId="010D62F0" w:rsidR="00507EDA" w:rsidRPr="001A0F4D" w:rsidRDefault="00507EDA" w:rsidP="003D4FF5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 председателя Рабочей группы Совета по языкам (РГС-</w:t>
            </w:r>
            <w:proofErr w:type="spellStart"/>
            <w:r w:rsidRPr="001A0F4D">
              <w:rPr>
                <w:rFonts w:cs="Calibri"/>
                <w:color w:val="000000"/>
                <w:sz w:val="20"/>
                <w:lang w:val="ru-RU"/>
              </w:rPr>
              <w:t>Яз</w:t>
            </w:r>
            <w:proofErr w:type="spellEnd"/>
            <w:r w:rsidRPr="001A0F4D">
              <w:rPr>
                <w:rFonts w:cs="Calibri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0CFD725" w14:textId="77777777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3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C25/12</w:t>
              </w:r>
            </w:hyperlink>
          </w:p>
        </w:tc>
      </w:tr>
      <w:tr w:rsidR="00507EDA" w:rsidRPr="001A0F4D" w14:paraId="6A9926B0" w14:textId="77777777" w:rsidTr="007E5450">
        <w:trPr>
          <w:jc w:val="center"/>
        </w:trPr>
        <w:tc>
          <w:tcPr>
            <w:tcW w:w="1080" w:type="dxa"/>
            <w:vMerge/>
          </w:tcPr>
          <w:p w14:paraId="2EE0AE6C" w14:textId="77777777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C9037A7" w14:textId="11A8E817" w:rsidR="00507EDA" w:rsidRPr="001A0F4D" w:rsidRDefault="00507EDA" w:rsidP="003D4FF5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i/>
                <w:iCs/>
                <w:color w:val="000000"/>
                <w:sz w:val="20"/>
                <w:lang w:val="ru-RU"/>
              </w:rPr>
              <w:t>Вклад Российской Федерации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 − Проект пересмотра Резолюции</w:t>
            </w:r>
            <w:r w:rsidR="00DB4ACE" w:rsidRPr="001A0F4D">
              <w:rPr>
                <w:rFonts w:cs="Calibri"/>
                <w:color w:val="000000"/>
                <w:sz w:val="20"/>
                <w:lang w:val="ru-RU"/>
              </w:rPr>
              <w:t> 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1386 </w:t>
            </w:r>
            <w:r w:rsidR="00E352BA" w:rsidRPr="001A0F4D">
              <w:rPr>
                <w:rFonts w:cs="Calibri"/>
                <w:color w:val="000000"/>
                <w:sz w:val="20"/>
                <w:lang w:val="ru-RU"/>
              </w:rPr>
              <w:t xml:space="preserve">(С17, последнее изменение С24) 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Совета </w:t>
            </w:r>
            <w:r w:rsidR="0018473C" w:rsidRPr="001A0F4D">
              <w:rPr>
                <w:rFonts w:cs="Calibri"/>
                <w:color w:val="000000"/>
                <w:sz w:val="20"/>
                <w:lang w:val="ru-RU"/>
              </w:rPr>
              <w:t xml:space="preserve">МСЭ 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>о Координационном комитет МСЭ по терминологии</w:t>
            </w:r>
            <w:r w:rsidR="009F7B47" w:rsidRPr="001A0F4D">
              <w:rPr>
                <w:rFonts w:cs="Calibri"/>
                <w:color w:val="000000"/>
                <w:sz w:val="20"/>
                <w:lang w:val="ru-RU"/>
              </w:rPr>
              <w:t xml:space="preserve"> (ККТ МСЭ)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3B3FA61" w14:textId="1D229EBC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4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C25/78</w:t>
              </w:r>
            </w:hyperlink>
          </w:p>
        </w:tc>
      </w:tr>
      <w:tr w:rsidR="00411DB6" w:rsidRPr="001A0F4D" w14:paraId="15A3365B" w14:textId="77777777" w:rsidTr="007E5450">
        <w:trPr>
          <w:jc w:val="center"/>
        </w:trPr>
        <w:tc>
          <w:tcPr>
            <w:tcW w:w="1080" w:type="dxa"/>
          </w:tcPr>
          <w:p w14:paraId="78BDA6B0" w14:textId="0D6B81E1" w:rsidR="00411DB6" w:rsidRPr="001A0F4D" w:rsidRDefault="00136444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2.6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EB0AE97" w14:textId="0792E372" w:rsidR="00411DB6" w:rsidRPr="001A0F4D" w:rsidRDefault="00411DB6" w:rsidP="003D4FF5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 председателя Рабочей группы Совета по вопросам международной государственной политики, касающимся интернета (РГС-Интернет)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B26AC0C" w14:textId="77777777" w:rsidR="00411DB6" w:rsidRPr="001A0F4D" w:rsidRDefault="00411DB6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5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C25/51</w:t>
              </w:r>
            </w:hyperlink>
          </w:p>
        </w:tc>
      </w:tr>
      <w:tr w:rsidR="00507EDA" w:rsidRPr="001A0F4D" w14:paraId="0C280D99" w14:textId="77777777" w:rsidTr="007E5450">
        <w:trPr>
          <w:jc w:val="center"/>
        </w:trPr>
        <w:tc>
          <w:tcPr>
            <w:tcW w:w="1080" w:type="dxa"/>
            <w:vMerge w:val="restart"/>
          </w:tcPr>
          <w:p w14:paraId="31690D69" w14:textId="0DEC8B38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2.7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6345282" w14:textId="1F6E3897" w:rsidR="00507EDA" w:rsidRPr="001A0F4D" w:rsidRDefault="00507EDA" w:rsidP="003D4FF5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 председателя Группы экспертов по Регламенту международной электросвязи (ГЭ-РМЭ)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04E0524" w14:textId="77777777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6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C25/26</w:t>
              </w:r>
            </w:hyperlink>
          </w:p>
        </w:tc>
      </w:tr>
      <w:tr w:rsidR="00507EDA" w:rsidRPr="001A0F4D" w14:paraId="36B8978E" w14:textId="77777777" w:rsidTr="007E5450">
        <w:trPr>
          <w:jc w:val="center"/>
        </w:trPr>
        <w:tc>
          <w:tcPr>
            <w:tcW w:w="1080" w:type="dxa"/>
            <w:vMerge/>
          </w:tcPr>
          <w:p w14:paraId="4B905EE6" w14:textId="77777777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C958434" w14:textId="6E541C6F" w:rsidR="00507EDA" w:rsidRPr="001A0F4D" w:rsidRDefault="009F7B47" w:rsidP="003D4FF5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i/>
                <w:iCs/>
                <w:color w:val="000000"/>
                <w:sz w:val="20"/>
                <w:lang w:val="ru-RU"/>
              </w:rPr>
              <w:t xml:space="preserve">Вклад группы стран </w:t>
            </w:r>
            <w:r w:rsidR="00507EDA" w:rsidRPr="001A0F4D">
              <w:rPr>
                <w:rFonts w:cs="Calibri"/>
                <w:color w:val="000000"/>
                <w:sz w:val="20"/>
                <w:lang w:val="ru-RU"/>
              </w:rPr>
              <w:t>− Отчет об итогах третьего и четвертого собраний Группы экспертов по Регламенту международной электросвязи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EFDB940" w14:textId="3AA1B3FE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7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C25/92</w:t>
              </w:r>
            </w:hyperlink>
          </w:p>
        </w:tc>
      </w:tr>
      <w:tr w:rsidR="00411DB6" w:rsidRPr="001A0F4D" w14:paraId="58DC85DB" w14:textId="77777777" w:rsidTr="007E5450">
        <w:trPr>
          <w:jc w:val="center"/>
        </w:trPr>
        <w:tc>
          <w:tcPr>
            <w:tcW w:w="1080" w:type="dxa"/>
          </w:tcPr>
          <w:p w14:paraId="779E600D" w14:textId="400946D5" w:rsidR="00411DB6" w:rsidRPr="001A0F4D" w:rsidRDefault="00136444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2.8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1D7B8C7" w14:textId="0F0BD3B8" w:rsidR="00411DB6" w:rsidRPr="001A0F4D" w:rsidRDefault="00411DB6" w:rsidP="003D4FF5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 председателя Рабочей группы Совета по разработке Стратегического и Финансового планов на 2028–2031 годы (РГС-СФП)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BD86D0E" w14:textId="77777777" w:rsidR="00411DB6" w:rsidRPr="001A0F4D" w:rsidRDefault="00411DB6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8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C25/31</w:t>
              </w:r>
            </w:hyperlink>
          </w:p>
        </w:tc>
      </w:tr>
      <w:tr w:rsidR="00411DB6" w:rsidRPr="001A0F4D" w14:paraId="7BEAC14B" w14:textId="77777777" w:rsidTr="007E5450">
        <w:trPr>
          <w:jc w:val="center"/>
        </w:trPr>
        <w:tc>
          <w:tcPr>
            <w:tcW w:w="1080" w:type="dxa"/>
          </w:tcPr>
          <w:p w14:paraId="1F07FF3F" w14:textId="6C79CA6D" w:rsidR="00411DB6" w:rsidRPr="001A0F4D" w:rsidRDefault="00136444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2.9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0D7E1D1" w14:textId="3E32EE8E" w:rsidR="00411DB6" w:rsidRPr="001A0F4D" w:rsidRDefault="00411DB6" w:rsidP="003D4FF5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 председателя Рабочей группы Совета по ВВУИО и ЦУР (РГС</w:t>
            </w:r>
            <w:r w:rsidR="0090553F" w:rsidRPr="001A0F4D">
              <w:rPr>
                <w:rFonts w:cs="Calibri"/>
                <w:color w:val="000000"/>
                <w:sz w:val="20"/>
                <w:lang w:val="ru-RU"/>
              </w:rPr>
              <w:noBreakHyphen/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>ВВУИО&amp;ЦУР)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4FEBECE" w14:textId="77777777" w:rsidR="00411DB6" w:rsidRPr="001A0F4D" w:rsidRDefault="00411DB6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9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C25/8</w:t>
              </w:r>
            </w:hyperlink>
          </w:p>
        </w:tc>
      </w:tr>
      <w:tr w:rsidR="00507EDA" w:rsidRPr="001A0F4D" w14:paraId="7818509C" w14:textId="77777777" w:rsidTr="007E5450">
        <w:trPr>
          <w:jc w:val="center"/>
        </w:trPr>
        <w:tc>
          <w:tcPr>
            <w:tcW w:w="1080" w:type="dxa"/>
            <w:vMerge w:val="restart"/>
          </w:tcPr>
          <w:p w14:paraId="78065FFD" w14:textId="1CAFA88D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lastRenderedPageBreak/>
              <w:t>2.10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79D75F5" w14:textId="07C8D189" w:rsidR="00507EDA" w:rsidRPr="001A0F4D" w:rsidRDefault="00507EDA" w:rsidP="003D4FF5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 ВВУИО+20 о вкладе МСЭ в выполнение решений ВВУИО и последующую деятельность по итогам ВВУИО и его роли в достижении ЦУР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EC2F405" w14:textId="77777777" w:rsidR="00507EDA" w:rsidRPr="001A0F4D" w:rsidDel="003607C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20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C25/61</w:t>
              </w:r>
            </w:hyperlink>
          </w:p>
        </w:tc>
      </w:tr>
      <w:tr w:rsidR="00507EDA" w:rsidRPr="001A0F4D" w14:paraId="01F26F69" w14:textId="77777777" w:rsidTr="007E5450">
        <w:trPr>
          <w:jc w:val="center"/>
        </w:trPr>
        <w:tc>
          <w:tcPr>
            <w:tcW w:w="1080" w:type="dxa"/>
            <w:vMerge/>
          </w:tcPr>
          <w:p w14:paraId="69A8C6D6" w14:textId="77777777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AE0F54F" w14:textId="22435FF9" w:rsidR="00507EDA" w:rsidRPr="001A0F4D" w:rsidRDefault="00507EDA" w:rsidP="003D4FF5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i/>
                <w:iCs/>
                <w:color w:val="000000"/>
                <w:sz w:val="20"/>
                <w:lang w:val="ru-RU"/>
              </w:rPr>
              <w:t>Вклад Российской Федерации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 − Предложение по продолжению процесса ВВУИО после 2025 года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32F8AF3" w14:textId="35559534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21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C25/80</w:t>
              </w:r>
            </w:hyperlink>
          </w:p>
        </w:tc>
      </w:tr>
      <w:tr w:rsidR="00411DB6" w:rsidRPr="001A0F4D" w14:paraId="31287F1A" w14:textId="77777777" w:rsidTr="007E5450">
        <w:trPr>
          <w:jc w:val="center"/>
        </w:trPr>
        <w:tc>
          <w:tcPr>
            <w:tcW w:w="1080" w:type="dxa"/>
          </w:tcPr>
          <w:p w14:paraId="57D966FC" w14:textId="4F941604" w:rsidR="00411DB6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2.11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A50A431" w14:textId="30F560CE" w:rsidR="00411DB6" w:rsidRPr="001A0F4D" w:rsidRDefault="00411DB6" w:rsidP="003D4FF5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Обзор ВВУИО+20 </w:t>
            </w:r>
            <w:r w:rsidR="0090553F" w:rsidRPr="001A0F4D">
              <w:rPr>
                <w:rFonts w:cs="Calibri"/>
                <w:color w:val="000000"/>
                <w:sz w:val="20"/>
                <w:lang w:val="ru-RU"/>
              </w:rPr>
              <w:t>−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 призыв МСЭ представлять вклады: краткий обзор полученных представлений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2B7D30E" w14:textId="77777777" w:rsidR="00411DB6" w:rsidRPr="001A0F4D" w:rsidRDefault="00411DB6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22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C25/53</w:t>
              </w:r>
            </w:hyperlink>
          </w:p>
        </w:tc>
      </w:tr>
      <w:tr w:rsidR="00411DB6" w:rsidRPr="001A0F4D" w14:paraId="3F9E05F5" w14:textId="77777777" w:rsidTr="007E5450">
        <w:trPr>
          <w:jc w:val="center"/>
        </w:trPr>
        <w:tc>
          <w:tcPr>
            <w:tcW w:w="1080" w:type="dxa"/>
          </w:tcPr>
          <w:p w14:paraId="79A0D911" w14:textId="16E7387B" w:rsidR="00411DB6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2.12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AB44C1A" w14:textId="04F16E82" w:rsidR="00411DB6" w:rsidRPr="001A0F4D" w:rsidRDefault="00411DB6" w:rsidP="003D4FF5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Обновленная информация о Плане действий МСЭ по осуществлению Глобального цифрового договора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1D83CB6" w14:textId="77777777" w:rsidR="00411DB6" w:rsidRPr="001A0F4D" w:rsidRDefault="00411DB6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23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C25/52</w:t>
              </w:r>
            </w:hyperlink>
          </w:p>
        </w:tc>
      </w:tr>
      <w:tr w:rsidR="00411DB6" w:rsidRPr="001A0F4D" w14:paraId="075571C3" w14:textId="77777777" w:rsidTr="007E5450">
        <w:trPr>
          <w:jc w:val="center"/>
        </w:trPr>
        <w:tc>
          <w:tcPr>
            <w:tcW w:w="1080" w:type="dxa"/>
          </w:tcPr>
          <w:p w14:paraId="2C575ACD" w14:textId="72A110D9" w:rsidR="00411DB6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2.13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E43394C" w14:textId="2DCEF3F0" w:rsidR="00411DB6" w:rsidRPr="001A0F4D" w:rsidRDefault="00411DB6" w:rsidP="003D4FF5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Деятельность МСЭ в области интернета: Резолюции 101, 102, 133, 180 и</w:t>
            </w:r>
            <w:r w:rsidR="0090553F" w:rsidRPr="001A0F4D">
              <w:rPr>
                <w:rFonts w:cs="Calibri"/>
                <w:color w:val="000000"/>
                <w:sz w:val="20"/>
                <w:lang w:val="ru-RU"/>
              </w:rPr>
              <w:t> 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>206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3F9F5BE" w14:textId="77777777" w:rsidR="00411DB6" w:rsidRPr="001A0F4D" w:rsidRDefault="00411DB6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24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C25/33</w:t>
              </w:r>
            </w:hyperlink>
          </w:p>
        </w:tc>
      </w:tr>
      <w:tr w:rsidR="00507EDA" w:rsidRPr="001A0F4D" w14:paraId="688B5D5A" w14:textId="77777777" w:rsidTr="007E5450">
        <w:trPr>
          <w:jc w:val="center"/>
        </w:trPr>
        <w:tc>
          <w:tcPr>
            <w:tcW w:w="1080" w:type="dxa"/>
            <w:vMerge w:val="restart"/>
          </w:tcPr>
          <w:p w14:paraId="73FA035A" w14:textId="66A9A7B2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2.14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95F98C4" w14:textId="48B0B658" w:rsidR="00507EDA" w:rsidRPr="001A0F4D" w:rsidRDefault="00507EDA" w:rsidP="003D4FF5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Деятельность МСЭ по усилению роли МСЭ в укреплении доверия и безопасности при использовании ИКТ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37487D2" w14:textId="77777777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25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C25/18</w:t>
              </w:r>
            </w:hyperlink>
          </w:p>
        </w:tc>
      </w:tr>
      <w:tr w:rsidR="00507EDA" w:rsidRPr="001A0F4D" w14:paraId="391AB785" w14:textId="77777777" w:rsidTr="007E5450">
        <w:trPr>
          <w:jc w:val="center"/>
        </w:trPr>
        <w:tc>
          <w:tcPr>
            <w:tcW w:w="1080" w:type="dxa"/>
            <w:vMerge/>
          </w:tcPr>
          <w:p w14:paraId="3F3E6BD7" w14:textId="77777777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8BBEB06" w14:textId="0741B7FE" w:rsidR="00507EDA" w:rsidRPr="001A0F4D" w:rsidRDefault="00507EDA" w:rsidP="003D4FF5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i/>
                <w:iCs/>
                <w:color w:val="000000"/>
                <w:sz w:val="20"/>
                <w:lang w:val="ru-RU"/>
              </w:rPr>
              <w:t>Вклад Нигерии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 − Укрепление устойчивости подводных кабелей – Международный консультативный орган по устойчивости подводных кабелей и Саммит 2025 года в Абудже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C342FCE" w14:textId="7D50E17B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26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C25/81</w:t>
              </w:r>
            </w:hyperlink>
          </w:p>
        </w:tc>
      </w:tr>
      <w:tr w:rsidR="00411DB6" w:rsidRPr="001A0F4D" w14:paraId="6D1623BE" w14:textId="77777777" w:rsidTr="007E5450">
        <w:trPr>
          <w:jc w:val="center"/>
        </w:trPr>
        <w:tc>
          <w:tcPr>
            <w:tcW w:w="1080" w:type="dxa"/>
          </w:tcPr>
          <w:p w14:paraId="45892C46" w14:textId="67F668FF" w:rsidR="00411DB6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2.15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A744675" w14:textId="6869C28A" w:rsidR="00411DB6" w:rsidRPr="001A0F4D" w:rsidRDefault="00411DB6" w:rsidP="003D4FF5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 по Резолюции 70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9BFC5DB" w14:textId="77777777" w:rsidR="00411DB6" w:rsidRPr="001A0F4D" w:rsidRDefault="00411DB6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27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C25/6</w:t>
              </w:r>
            </w:hyperlink>
          </w:p>
        </w:tc>
      </w:tr>
      <w:tr w:rsidR="00411DB6" w:rsidRPr="001A0F4D" w14:paraId="5B1A4976" w14:textId="77777777" w:rsidTr="007E5450">
        <w:trPr>
          <w:jc w:val="center"/>
        </w:trPr>
        <w:tc>
          <w:tcPr>
            <w:tcW w:w="1080" w:type="dxa"/>
          </w:tcPr>
          <w:p w14:paraId="05663147" w14:textId="12A257BF" w:rsidR="00411DB6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2.16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C7D3102" w14:textId="41BB3071" w:rsidR="00411DB6" w:rsidRPr="001A0F4D" w:rsidRDefault="00411DB6" w:rsidP="003D4FF5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Активное участие молодежи и молодежные инициативы в МСЭ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9CDE6C1" w14:textId="77777777" w:rsidR="00411DB6" w:rsidRPr="001A0F4D" w:rsidRDefault="00411DB6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28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C25/32</w:t>
              </w:r>
            </w:hyperlink>
          </w:p>
        </w:tc>
      </w:tr>
      <w:tr w:rsidR="00507EDA" w:rsidRPr="001A0F4D" w14:paraId="51243D3E" w14:textId="77777777" w:rsidTr="007E5450">
        <w:trPr>
          <w:jc w:val="center"/>
        </w:trPr>
        <w:tc>
          <w:tcPr>
            <w:tcW w:w="1080" w:type="dxa"/>
            <w:vMerge w:val="restart"/>
          </w:tcPr>
          <w:p w14:paraId="1A811B6C" w14:textId="29DB5FE3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2.17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605B2C2" w14:textId="24A3BB68" w:rsidR="00507EDA" w:rsidRPr="001A0F4D" w:rsidRDefault="00507EDA" w:rsidP="003D4FF5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Сотрудничество с системой Организации Объединенных Наций и другими международными межправительственными процессами, в том числе в области разработки стандартов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3A7A2FC" w14:textId="77777777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29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C25/70</w:t>
              </w:r>
            </w:hyperlink>
          </w:p>
        </w:tc>
      </w:tr>
      <w:tr w:rsidR="00507EDA" w:rsidRPr="001A0F4D" w14:paraId="7100F404" w14:textId="77777777" w:rsidTr="007E5450">
        <w:trPr>
          <w:jc w:val="center"/>
        </w:trPr>
        <w:tc>
          <w:tcPr>
            <w:tcW w:w="1080" w:type="dxa"/>
            <w:vMerge/>
          </w:tcPr>
          <w:p w14:paraId="1D0DB9C7" w14:textId="77777777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29CB706" w14:textId="0CE81443" w:rsidR="00507EDA" w:rsidRPr="001A0F4D" w:rsidRDefault="009F7B47" w:rsidP="003D4FF5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i/>
                <w:iCs/>
                <w:color w:val="000000"/>
                <w:sz w:val="20"/>
                <w:lang w:val="ru-RU"/>
              </w:rPr>
              <w:t>Вклад Южно-Африканской Республики</w:t>
            </w:r>
            <w:r w:rsidR="00507EDA" w:rsidRPr="001A0F4D">
              <w:rPr>
                <w:rFonts w:cs="Calibri"/>
                <w:color w:val="000000"/>
                <w:sz w:val="20"/>
                <w:lang w:val="ru-RU"/>
              </w:rPr>
              <w:t xml:space="preserve"> – 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>Рабочая группа "Группы двадцати" по цифровой экономике в период председательства Южно-Африканской Республики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1262FB4" w14:textId="4005CC94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30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C25/9</w:t>
              </w:r>
              <w:r w:rsidR="00742309">
                <w:rPr>
                  <w:rStyle w:val="Hyperlink"/>
                  <w:rFonts w:cs="Calibri"/>
                  <w:sz w:val="20"/>
                  <w:lang w:val="fr-CH"/>
                </w:rPr>
                <w:t>7(Rev.1)</w:t>
              </w:r>
            </w:hyperlink>
          </w:p>
        </w:tc>
      </w:tr>
      <w:tr w:rsidR="00411DB6" w:rsidRPr="001A0F4D" w14:paraId="5978A50D" w14:textId="77777777" w:rsidTr="007E5450">
        <w:trPr>
          <w:jc w:val="center"/>
        </w:trPr>
        <w:tc>
          <w:tcPr>
            <w:tcW w:w="1080" w:type="dxa"/>
          </w:tcPr>
          <w:p w14:paraId="764E46FE" w14:textId="64BD06C7" w:rsidR="00411DB6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2.18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4066573" w14:textId="41A7FDC0" w:rsidR="00411DB6" w:rsidRPr="001A0F4D" w:rsidRDefault="00411DB6" w:rsidP="003D4FF5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Роль МСЭ в осуществлении Повестки дня "Космос-2030": космос как двигатель устойчивого развития", а также в процессе последующей деятельности и анализа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46ECB42" w14:textId="77777777" w:rsidR="00411DB6" w:rsidRPr="001A0F4D" w:rsidRDefault="00411DB6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31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C25/36</w:t>
              </w:r>
            </w:hyperlink>
          </w:p>
        </w:tc>
      </w:tr>
      <w:tr w:rsidR="00507EDA" w:rsidRPr="001A0F4D" w14:paraId="27EE117B" w14:textId="77777777" w:rsidTr="007E5450">
        <w:trPr>
          <w:jc w:val="center"/>
        </w:trPr>
        <w:tc>
          <w:tcPr>
            <w:tcW w:w="1080" w:type="dxa"/>
            <w:vMerge w:val="restart"/>
          </w:tcPr>
          <w:p w14:paraId="0460CA27" w14:textId="05FAEABB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2.19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037F943" w14:textId="52423049" w:rsidR="00507EDA" w:rsidRPr="001A0F4D" w:rsidRDefault="00507EDA" w:rsidP="003D4FF5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 о выполнении Резолюции 214 (Бухарест, 2022 г.) – Технологии искусственного интеллекта и электросвязь/информационно-коммуникационные технологии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E623091" w14:textId="77777777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32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C25/56</w:t>
              </w:r>
            </w:hyperlink>
          </w:p>
        </w:tc>
      </w:tr>
      <w:tr w:rsidR="00507EDA" w:rsidRPr="001A0F4D" w14:paraId="2086CC75" w14:textId="77777777" w:rsidTr="007E5450">
        <w:trPr>
          <w:jc w:val="center"/>
        </w:trPr>
        <w:tc>
          <w:tcPr>
            <w:tcW w:w="1080" w:type="dxa"/>
            <w:vMerge/>
          </w:tcPr>
          <w:p w14:paraId="43B2F8CC" w14:textId="77777777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3FF927C" w14:textId="3AE25948" w:rsidR="00507EDA" w:rsidRPr="001A0F4D" w:rsidRDefault="00507EDA" w:rsidP="003D4FF5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i/>
                <w:iCs/>
                <w:color w:val="000000"/>
                <w:sz w:val="20"/>
                <w:lang w:val="ru-RU"/>
              </w:rPr>
              <w:t xml:space="preserve">Вклад Руанды 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>− Предложение оценить готовность наименее развитых стран к разработке политики и стратегий в области ИИ и оказать им техническую поддержку в их разработке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EA379DC" w14:textId="081CD615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33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C25/96</w:t>
              </w:r>
            </w:hyperlink>
          </w:p>
        </w:tc>
      </w:tr>
      <w:tr w:rsidR="00507EDA" w:rsidRPr="001A0F4D" w14:paraId="2AAE650B" w14:textId="77777777" w:rsidTr="007E5450">
        <w:trPr>
          <w:jc w:val="center"/>
        </w:trPr>
        <w:tc>
          <w:tcPr>
            <w:tcW w:w="1080" w:type="dxa"/>
            <w:vMerge w:val="restart"/>
          </w:tcPr>
          <w:p w14:paraId="73215740" w14:textId="1EC2F72C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2.20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11D1B99" w14:textId="230DAEF4" w:rsidR="00507EDA" w:rsidRPr="001A0F4D" w:rsidRDefault="00507EDA" w:rsidP="003D4FF5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Всемирный день электросвязи и информационного общества (ВДЭИО)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4B8A568" w14:textId="77777777" w:rsidR="00507EDA" w:rsidRPr="001A0F4D" w:rsidRDefault="00507EDA" w:rsidP="003D4FF5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34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C25/17</w:t>
              </w:r>
            </w:hyperlink>
          </w:p>
        </w:tc>
      </w:tr>
      <w:tr w:rsidR="00507EDA" w:rsidRPr="001A0F4D" w14:paraId="7C0888EB" w14:textId="77777777" w:rsidTr="007E5450">
        <w:trPr>
          <w:jc w:val="center"/>
        </w:trPr>
        <w:tc>
          <w:tcPr>
            <w:tcW w:w="1080" w:type="dxa"/>
            <w:vMerge/>
          </w:tcPr>
          <w:p w14:paraId="20B68255" w14:textId="77777777" w:rsidR="00507EDA" w:rsidRPr="001A0F4D" w:rsidRDefault="00507EDA" w:rsidP="00507EDA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4B2B599" w14:textId="7C3B8C99" w:rsidR="00507EDA" w:rsidRPr="001A0F4D" w:rsidRDefault="00507EDA" w:rsidP="00507EDA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i/>
                <w:iCs/>
                <w:color w:val="000000"/>
                <w:sz w:val="20"/>
                <w:lang w:val="ru-RU"/>
              </w:rPr>
              <w:t>Вклад Малайзии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 − Обсуждение итогов </w:t>
            </w:r>
            <w:bookmarkStart w:id="7" w:name="_Hlk198738467"/>
            <w:r w:rsidRPr="001A0F4D">
              <w:rPr>
                <w:rFonts w:cs="Calibri"/>
                <w:color w:val="000000"/>
                <w:sz w:val="20"/>
                <w:lang w:val="ru-RU"/>
              </w:rPr>
              <w:t>празднования в Малайзии Всемирного дня электросвязи и информационного общества (ВДЭИО) 2025</w:t>
            </w:r>
            <w:bookmarkEnd w:id="7"/>
            <w:r w:rsidRPr="001A0F4D">
              <w:rPr>
                <w:rFonts w:cs="Calibri"/>
                <w:color w:val="000000"/>
                <w:sz w:val="20"/>
                <w:lang w:val="ru-RU"/>
              </w:rPr>
              <w:t> года, Международного дня "Девушки в ИКТ" 2025 года и 160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noBreakHyphen/>
              <w:t xml:space="preserve">й годовщины основания </w:t>
            </w:r>
            <w:r w:rsidR="00E352BA" w:rsidRPr="001A0F4D">
              <w:rPr>
                <w:rFonts w:cs="Calibri"/>
                <w:color w:val="000000"/>
                <w:sz w:val="20"/>
                <w:lang w:val="ru-RU"/>
              </w:rPr>
              <w:t>Международного союза электросвязи (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>МСЭ</w:t>
            </w:r>
            <w:r w:rsidR="00E352BA" w:rsidRPr="001A0F4D">
              <w:rPr>
                <w:rFonts w:cs="Calibri"/>
                <w:color w:val="000000"/>
                <w:sz w:val="20"/>
                <w:lang w:val="ru-RU"/>
              </w:rPr>
              <w:t>)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>: воплощение стратегических целей МСЭ в практические результаты на национальном уровне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6ED6355" w14:textId="394D3877" w:rsidR="00507EDA" w:rsidRPr="001A0F4D" w:rsidRDefault="00507EDA" w:rsidP="00507EDA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35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C25/76</w:t>
              </w:r>
            </w:hyperlink>
          </w:p>
        </w:tc>
      </w:tr>
      <w:tr w:rsidR="00D1465E" w:rsidRPr="001A0F4D" w14:paraId="5DD151CC" w14:textId="77777777" w:rsidTr="007E5450">
        <w:trPr>
          <w:jc w:val="center"/>
        </w:trPr>
        <w:tc>
          <w:tcPr>
            <w:tcW w:w="1080" w:type="dxa"/>
            <w:vMerge/>
          </w:tcPr>
          <w:p w14:paraId="4CC85FF1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E158255" w14:textId="7DB331BF" w:rsidR="00D1465E" w:rsidRPr="001A0F4D" w:rsidRDefault="00D1465E" w:rsidP="00D1465E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i/>
                <w:iCs/>
                <w:color w:val="000000"/>
                <w:sz w:val="20"/>
                <w:lang w:val="ru-RU"/>
              </w:rPr>
              <w:t>Вклад группы стран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 − Предложение для Всемирного дня электросвязи и информационного общества 2026 года (ВДЭИО-26)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A35D24A" w14:textId="5E885AE8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36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C25/89</w:t>
              </w:r>
            </w:hyperlink>
          </w:p>
        </w:tc>
      </w:tr>
      <w:tr w:rsidR="00D1465E" w:rsidRPr="001A0F4D" w14:paraId="5D2E7E70" w14:textId="77777777" w:rsidTr="007E5450">
        <w:trPr>
          <w:jc w:val="center"/>
        </w:trPr>
        <w:tc>
          <w:tcPr>
            <w:tcW w:w="1080" w:type="dxa"/>
            <w:vMerge/>
          </w:tcPr>
          <w:p w14:paraId="7DF7610B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652EFDD" w14:textId="1668F714" w:rsidR="00D1465E" w:rsidRPr="001A0F4D" w:rsidRDefault="00D1465E" w:rsidP="00D1465E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i/>
                <w:iCs/>
                <w:color w:val="000000"/>
                <w:sz w:val="20"/>
                <w:lang w:val="ru-RU"/>
              </w:rPr>
              <w:t xml:space="preserve">Вклад Нигерии − 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>Всемирный день электросвязи и информационного общества 2026 года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6C8B759" w14:textId="53DB70F6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37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C25/100</w:t>
              </w:r>
            </w:hyperlink>
          </w:p>
        </w:tc>
      </w:tr>
      <w:tr w:rsidR="00D1465E" w:rsidRPr="001A0F4D" w14:paraId="7402CC46" w14:textId="77777777" w:rsidTr="007E5450">
        <w:trPr>
          <w:jc w:val="center"/>
        </w:trPr>
        <w:tc>
          <w:tcPr>
            <w:tcW w:w="1080" w:type="dxa"/>
          </w:tcPr>
          <w:p w14:paraId="7F671DCD" w14:textId="60118C8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lastRenderedPageBreak/>
              <w:t>2.21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1EF3444" w14:textId="42B1E3FA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Обновленная информация о ходе выполнения Резолюции 1408 Совета МСЭ о помощи и поддержке Украине в восстановлении ее отрасли электросвязи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0B4D2AB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38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C25/68</w:t>
              </w:r>
            </w:hyperlink>
          </w:p>
        </w:tc>
      </w:tr>
      <w:tr w:rsidR="00D1465E" w:rsidRPr="001A0F4D" w14:paraId="4B321062" w14:textId="77777777" w:rsidTr="007E5450">
        <w:trPr>
          <w:jc w:val="center"/>
        </w:trPr>
        <w:tc>
          <w:tcPr>
            <w:tcW w:w="1080" w:type="dxa"/>
          </w:tcPr>
          <w:p w14:paraId="2A6397AF" w14:textId="72D35ED0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2.22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9BEF0F6" w14:textId="0389B054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 о состоянии дел с оказанием помощи и поддержки Палестине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D2EE5C8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39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C25/71</w:t>
              </w:r>
            </w:hyperlink>
          </w:p>
        </w:tc>
      </w:tr>
      <w:tr w:rsidR="00D1465E" w:rsidRPr="001A0F4D" w14:paraId="2F01F5DA" w14:textId="77777777" w:rsidTr="007E5450">
        <w:trPr>
          <w:jc w:val="center"/>
        </w:trPr>
        <w:tc>
          <w:tcPr>
            <w:tcW w:w="1080" w:type="dxa"/>
          </w:tcPr>
          <w:p w14:paraId="5AAB5A90" w14:textId="6B7F0B9B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2.23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ABE33C8" w14:textId="736E897E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Виды деятельности по восстановлению инфраструктуры во всех соответствующих странах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DD567F4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40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C25/72</w:t>
              </w:r>
            </w:hyperlink>
          </w:p>
        </w:tc>
      </w:tr>
      <w:tr w:rsidR="00D1465E" w:rsidRPr="001A0F4D" w14:paraId="65559477" w14:textId="77777777" w:rsidTr="007E5450">
        <w:trPr>
          <w:jc w:val="center"/>
        </w:trPr>
        <w:tc>
          <w:tcPr>
            <w:tcW w:w="1080" w:type="dxa"/>
          </w:tcPr>
          <w:p w14:paraId="7941698F" w14:textId="245E7480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2.24</w:t>
            </w:r>
          </w:p>
        </w:tc>
        <w:tc>
          <w:tcPr>
            <w:tcW w:w="6712" w:type="dxa"/>
            <w:tcBorders>
              <w:top w:val="single" w:sz="4" w:space="0" w:color="808080"/>
              <w:right w:val="single" w:sz="4" w:space="0" w:color="auto"/>
            </w:tcBorders>
          </w:tcPr>
          <w:p w14:paraId="5D7B8A15" w14:textId="226A65DE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Деятельность МСЭ по выполнению Резолюции 1429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</w:tcBorders>
          </w:tcPr>
          <w:p w14:paraId="676D40A3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41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C25/45</w:t>
              </w:r>
            </w:hyperlink>
          </w:p>
        </w:tc>
      </w:tr>
      <w:tr w:rsidR="00D1465E" w:rsidRPr="001A0F4D" w14:paraId="1FB4CA2E" w14:textId="77777777" w:rsidTr="007E5450">
        <w:trPr>
          <w:jc w:val="center"/>
        </w:trPr>
        <w:tc>
          <w:tcPr>
            <w:tcW w:w="1080" w:type="dxa"/>
          </w:tcPr>
          <w:p w14:paraId="1F2D7E9C" w14:textId="4D9F585B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2.25</w:t>
            </w:r>
          </w:p>
        </w:tc>
        <w:tc>
          <w:tcPr>
            <w:tcW w:w="6712" w:type="dxa"/>
            <w:tcBorders>
              <w:top w:val="single" w:sz="4" w:space="0" w:color="808080"/>
              <w:right w:val="single" w:sz="4" w:space="0" w:color="auto"/>
            </w:tcBorders>
          </w:tcPr>
          <w:p w14:paraId="2F5EF74C" w14:textId="4E06A52F" w:rsidR="00D1465E" w:rsidRPr="001A0F4D" w:rsidDel="007B12EF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 Постоянного комитета по администрированию и управлению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</w:tcBorders>
          </w:tcPr>
          <w:p w14:paraId="6941E32B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–</w:t>
            </w:r>
          </w:p>
        </w:tc>
      </w:tr>
      <w:tr w:rsidR="00D1465E" w:rsidRPr="00742309" w14:paraId="4F977CCA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75BD0D37" w14:textId="77777777" w:rsidR="00D1465E" w:rsidRPr="001A0F4D" w:rsidRDefault="00D1465E" w:rsidP="00D1465E">
            <w:pPr>
              <w:keepNext/>
              <w:keepLines/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b/>
                <w:sz w:val="20"/>
                <w:lang w:val="ru-RU"/>
              </w:rPr>
              <w:t>PL 3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70B0F442" w14:textId="0A2E0292" w:rsidR="00D1465E" w:rsidRPr="001A0F4D" w:rsidRDefault="00D1465E" w:rsidP="00D1465E">
            <w:pPr>
              <w:keepNext/>
              <w:keepLines/>
              <w:spacing w:before="60" w:after="60"/>
              <w:rPr>
                <w:rFonts w:cs="Calibri"/>
                <w:b/>
                <w:sz w:val="20"/>
                <w:lang w:val="ru-RU"/>
              </w:rPr>
            </w:pPr>
            <w:r w:rsidRPr="001A0F4D">
              <w:rPr>
                <w:rFonts w:cs="Calibri"/>
                <w:b/>
                <w:bCs/>
                <w:color w:val="000000"/>
                <w:sz w:val="20"/>
                <w:lang w:val="ru-RU"/>
              </w:rPr>
              <w:t>Совершенствование управления (вопросы, касающиеся предусмотренных Уставом конференций, ассамблей, Совета и рабочих групп Совета МСЭ, РРК)</w:t>
            </w:r>
          </w:p>
        </w:tc>
      </w:tr>
      <w:tr w:rsidR="00D1465E" w:rsidRPr="001A0F4D" w14:paraId="136179D6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019B321F" w14:textId="25085C87" w:rsidR="00D1465E" w:rsidRPr="001A0F4D" w:rsidDel="00712592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3.1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9DE6F7B" w14:textId="6F3E8E65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 о Глобальном симпозиуме по стандартам (ГСС-24) и Всемирной ассамблее по стандартизации электросвязи (ВАСЭ-24)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5679F92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42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C25/24</w:t>
              </w:r>
            </w:hyperlink>
          </w:p>
        </w:tc>
      </w:tr>
      <w:tr w:rsidR="00D1465E" w:rsidRPr="001A0F4D" w14:paraId="0B442C78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D8BB965" w14:textId="21D38001" w:rsidR="00D1465E" w:rsidRPr="001A0F4D" w:rsidDel="00712592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3.2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4542971" w14:textId="200F3941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 о подготовке к Всемирной конференции по развитию электросвязи 2025 года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BC68E0B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43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C25/30</w:t>
              </w:r>
            </w:hyperlink>
          </w:p>
        </w:tc>
      </w:tr>
      <w:tr w:rsidR="00D1465E" w:rsidRPr="001A0F4D" w14:paraId="427D9E0D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16A9D6F" w14:textId="325CEB2C" w:rsidR="00D1465E" w:rsidRPr="001A0F4D" w:rsidDel="00712592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3.3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2267AC1" w14:textId="2EFD945A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Подготовка к Всемирному форуму по политике в области электросвязи/ИКТ 2026 года (ВФПЭ-26)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93FDFE9" w14:textId="1F5DE0B2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44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</w:t>
              </w:r>
              <w:r w:rsidR="00742309">
                <w:rPr>
                  <w:rStyle w:val="Hyperlink"/>
                  <w:rFonts w:cs="Calibri"/>
                  <w:sz w:val="20"/>
                  <w:lang w:val="fr-CH"/>
                </w:rPr>
                <w:t>5(Rev.1) + Add.1</w:t>
              </w:r>
            </w:hyperlink>
          </w:p>
        </w:tc>
      </w:tr>
      <w:tr w:rsidR="00D1465E" w:rsidRPr="001A0F4D" w14:paraId="74DA0246" w14:textId="77777777" w:rsidTr="007E5450">
        <w:trPr>
          <w:jc w:val="center"/>
        </w:trPr>
        <w:tc>
          <w:tcPr>
            <w:tcW w:w="1080" w:type="dxa"/>
          </w:tcPr>
          <w:p w14:paraId="6825303D" w14:textId="4D91C3D3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3.4</w:t>
            </w:r>
          </w:p>
        </w:tc>
        <w:tc>
          <w:tcPr>
            <w:tcW w:w="6712" w:type="dxa"/>
          </w:tcPr>
          <w:p w14:paraId="75B873FE" w14:textId="1CFD39A9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Подготовка к Полномочной конференции 2026 года (ПК-26)</w:t>
            </w:r>
          </w:p>
        </w:tc>
        <w:tc>
          <w:tcPr>
            <w:tcW w:w="1620" w:type="dxa"/>
          </w:tcPr>
          <w:p w14:paraId="4046BD53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45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C25/4</w:t>
              </w:r>
            </w:hyperlink>
          </w:p>
        </w:tc>
      </w:tr>
      <w:tr w:rsidR="00D1465E" w:rsidRPr="001A0F4D" w14:paraId="0A805520" w14:textId="77777777" w:rsidTr="007E5450">
        <w:trPr>
          <w:jc w:val="center"/>
        </w:trPr>
        <w:tc>
          <w:tcPr>
            <w:tcW w:w="1080" w:type="dxa"/>
            <w:vMerge w:val="restart"/>
          </w:tcPr>
          <w:p w14:paraId="6A96318F" w14:textId="1D986363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3.5</w:t>
            </w:r>
          </w:p>
        </w:tc>
        <w:tc>
          <w:tcPr>
            <w:tcW w:w="6712" w:type="dxa"/>
          </w:tcPr>
          <w:p w14:paraId="1EF83E27" w14:textId="59E8CA42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Руководящие указания по согласованию Резолюций и Решений Полномочной конференции</w:t>
            </w:r>
          </w:p>
        </w:tc>
        <w:tc>
          <w:tcPr>
            <w:tcW w:w="1620" w:type="dxa"/>
          </w:tcPr>
          <w:p w14:paraId="347513AB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46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C25/29</w:t>
              </w:r>
            </w:hyperlink>
          </w:p>
        </w:tc>
      </w:tr>
      <w:tr w:rsidR="00D1465E" w:rsidRPr="001A0F4D" w14:paraId="3964C487" w14:textId="77777777" w:rsidTr="007E5450">
        <w:trPr>
          <w:jc w:val="center"/>
        </w:trPr>
        <w:tc>
          <w:tcPr>
            <w:tcW w:w="1080" w:type="dxa"/>
            <w:vMerge/>
          </w:tcPr>
          <w:p w14:paraId="16044655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712" w:type="dxa"/>
          </w:tcPr>
          <w:p w14:paraId="3D0ADD88" w14:textId="67CD76B9" w:rsidR="00D1465E" w:rsidRPr="001A0F4D" w:rsidRDefault="00D1465E" w:rsidP="00D1465E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i/>
                <w:iCs/>
                <w:color w:val="000000"/>
                <w:sz w:val="20"/>
                <w:lang w:val="ru-RU"/>
              </w:rPr>
              <w:t>Вклад Российской Федерации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 − Упорядочение Резолюций Полномочной конференции и Секторов</w:t>
            </w:r>
          </w:p>
        </w:tc>
        <w:tc>
          <w:tcPr>
            <w:tcW w:w="1620" w:type="dxa"/>
          </w:tcPr>
          <w:p w14:paraId="64E17C27" w14:textId="6AB36B49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47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C25/79</w:t>
              </w:r>
            </w:hyperlink>
          </w:p>
        </w:tc>
      </w:tr>
      <w:tr w:rsidR="00D1465E" w:rsidRPr="001A0F4D" w14:paraId="0896B7AA" w14:textId="77777777" w:rsidTr="007E5450">
        <w:trPr>
          <w:jc w:val="center"/>
        </w:trPr>
        <w:tc>
          <w:tcPr>
            <w:tcW w:w="1080" w:type="dxa"/>
            <w:vMerge/>
          </w:tcPr>
          <w:p w14:paraId="653AA5C5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712" w:type="dxa"/>
          </w:tcPr>
          <w:p w14:paraId="15F65A99" w14:textId="69517050" w:rsidR="00D1465E" w:rsidRPr="001A0F4D" w:rsidRDefault="00D1465E" w:rsidP="00D1465E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i/>
                <w:iCs/>
                <w:color w:val="000000"/>
                <w:sz w:val="20"/>
                <w:lang w:val="ru-RU"/>
              </w:rPr>
              <w:t>Вклад группы стран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 − Вклад в отношении руководящих указаний по согласованию Резолюций и Решений Полномочной конференции</w:t>
            </w:r>
          </w:p>
        </w:tc>
        <w:tc>
          <w:tcPr>
            <w:tcW w:w="1620" w:type="dxa"/>
          </w:tcPr>
          <w:p w14:paraId="26FE65DE" w14:textId="0027BE7E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48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C25/91</w:t>
              </w:r>
            </w:hyperlink>
          </w:p>
        </w:tc>
      </w:tr>
      <w:tr w:rsidR="00D1465E" w:rsidRPr="001A0F4D" w14:paraId="6CA4652D" w14:textId="77777777" w:rsidTr="007E5450">
        <w:trPr>
          <w:jc w:val="center"/>
        </w:trPr>
        <w:tc>
          <w:tcPr>
            <w:tcW w:w="1080" w:type="dxa"/>
          </w:tcPr>
          <w:p w14:paraId="784E6378" w14:textId="49D4B924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3.6</w:t>
            </w:r>
          </w:p>
        </w:tc>
        <w:tc>
          <w:tcPr>
            <w:tcW w:w="6712" w:type="dxa"/>
          </w:tcPr>
          <w:p w14:paraId="724AF14B" w14:textId="02089131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 о предлагаемых местах проведения АР-27, ВКР-27 и ПСК31-1</w:t>
            </w:r>
          </w:p>
        </w:tc>
        <w:tc>
          <w:tcPr>
            <w:tcW w:w="1620" w:type="dxa"/>
          </w:tcPr>
          <w:p w14:paraId="4017D071" w14:textId="78920412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49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C25/5</w:t>
              </w:r>
              <w:r w:rsidR="00742309">
                <w:rPr>
                  <w:rStyle w:val="Hyperlink"/>
                  <w:rFonts w:cs="Calibri"/>
                  <w:sz w:val="20"/>
                  <w:lang w:val="fr-CH"/>
                </w:rPr>
                <w:t>8 + Add.1</w:t>
              </w:r>
            </w:hyperlink>
          </w:p>
        </w:tc>
      </w:tr>
      <w:tr w:rsidR="00D1465E" w:rsidRPr="001A0F4D" w14:paraId="7C5E4901" w14:textId="77777777" w:rsidTr="007E5450">
        <w:trPr>
          <w:jc w:val="center"/>
        </w:trPr>
        <w:tc>
          <w:tcPr>
            <w:tcW w:w="1080" w:type="dxa"/>
            <w:vMerge w:val="restart"/>
          </w:tcPr>
          <w:p w14:paraId="79CA5F4A" w14:textId="523F724E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3.7</w:t>
            </w:r>
          </w:p>
        </w:tc>
        <w:tc>
          <w:tcPr>
            <w:tcW w:w="6712" w:type="dxa"/>
          </w:tcPr>
          <w:p w14:paraId="63B6821B" w14:textId="61588805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Письмо от администрации Индии относительно Полномочной конференции 2030 года</w:t>
            </w:r>
          </w:p>
        </w:tc>
        <w:tc>
          <w:tcPr>
            <w:tcW w:w="1620" w:type="dxa"/>
          </w:tcPr>
          <w:p w14:paraId="6BAA391F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50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C25/19</w:t>
              </w:r>
            </w:hyperlink>
          </w:p>
        </w:tc>
      </w:tr>
      <w:tr w:rsidR="00D1465E" w:rsidRPr="001A0F4D" w14:paraId="0ED0382A" w14:textId="77777777" w:rsidTr="007E5450">
        <w:trPr>
          <w:jc w:val="center"/>
        </w:trPr>
        <w:tc>
          <w:tcPr>
            <w:tcW w:w="1080" w:type="dxa"/>
            <w:vMerge/>
          </w:tcPr>
          <w:p w14:paraId="42C505D8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712" w:type="dxa"/>
          </w:tcPr>
          <w:p w14:paraId="1B7E18E5" w14:textId="65E64F64" w:rsidR="00D1465E" w:rsidRPr="001A0F4D" w:rsidRDefault="00D1465E" w:rsidP="00D1465E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i/>
                <w:iCs/>
                <w:color w:val="000000"/>
                <w:sz w:val="20"/>
                <w:lang w:val="ru-RU"/>
              </w:rPr>
              <w:t>Вклад Индии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 − Предложение провести Полномочную конференцию МСЭ 2030 года в Индии</w:t>
            </w:r>
          </w:p>
        </w:tc>
        <w:tc>
          <w:tcPr>
            <w:tcW w:w="1620" w:type="dxa"/>
          </w:tcPr>
          <w:p w14:paraId="4F8DD278" w14:textId="0D1BC5A5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51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C25/73</w:t>
              </w:r>
            </w:hyperlink>
          </w:p>
        </w:tc>
      </w:tr>
      <w:tr w:rsidR="00D1465E" w:rsidRPr="001A0F4D" w14:paraId="3E9D102C" w14:textId="77777777" w:rsidTr="007E5450">
        <w:trPr>
          <w:jc w:val="center"/>
        </w:trPr>
        <w:tc>
          <w:tcPr>
            <w:tcW w:w="1080" w:type="dxa"/>
            <w:vMerge w:val="restart"/>
          </w:tcPr>
          <w:p w14:paraId="4823972F" w14:textId="508504ED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3.8</w:t>
            </w:r>
          </w:p>
        </w:tc>
        <w:tc>
          <w:tcPr>
            <w:tcW w:w="6712" w:type="dxa"/>
          </w:tcPr>
          <w:p w14:paraId="186BCE9A" w14:textId="68254E26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Список председателей и заместителей председателей рабочих групп Совета и групп экспертов</w:t>
            </w:r>
          </w:p>
        </w:tc>
        <w:tc>
          <w:tcPr>
            <w:tcW w:w="1620" w:type="dxa"/>
          </w:tcPr>
          <w:p w14:paraId="7AE1AC54" w14:textId="23AF5463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52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C25/2</w:t>
              </w:r>
              <w:r w:rsidR="00742309">
                <w:rPr>
                  <w:rStyle w:val="Hyperlink"/>
                  <w:rFonts w:cs="Calibri"/>
                  <w:sz w:val="20"/>
                  <w:lang w:val="fr-CH"/>
                </w:rPr>
                <w:t>1(Rev.1)</w:t>
              </w:r>
            </w:hyperlink>
          </w:p>
        </w:tc>
      </w:tr>
      <w:tr w:rsidR="00D1465E" w:rsidRPr="001A0F4D" w14:paraId="00DE4348" w14:textId="77777777" w:rsidTr="007E5450">
        <w:trPr>
          <w:jc w:val="center"/>
        </w:trPr>
        <w:tc>
          <w:tcPr>
            <w:tcW w:w="1080" w:type="dxa"/>
            <w:vMerge/>
          </w:tcPr>
          <w:p w14:paraId="2217DE31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712" w:type="dxa"/>
          </w:tcPr>
          <w:p w14:paraId="08B3D1B9" w14:textId="165C4BC5" w:rsidR="00D1465E" w:rsidRPr="001A0F4D" w:rsidRDefault="00D1465E" w:rsidP="00D1465E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i/>
                <w:iCs/>
                <w:color w:val="000000"/>
                <w:sz w:val="20"/>
                <w:lang w:val="ru-RU"/>
              </w:rPr>
              <w:t>Вклад Российской Федерации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 − Проект пересмотра Резолюции 1333 (С11, последнее изменение С16) − Руководящие принципы по созданию рабочих групп Совета, управлению ими и прекращению их деятельности</w:t>
            </w:r>
          </w:p>
        </w:tc>
        <w:tc>
          <w:tcPr>
            <w:tcW w:w="1620" w:type="dxa"/>
          </w:tcPr>
          <w:p w14:paraId="75816A77" w14:textId="3CE15302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53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C25/77</w:t>
              </w:r>
            </w:hyperlink>
          </w:p>
        </w:tc>
      </w:tr>
      <w:tr w:rsidR="00D1465E" w:rsidRPr="001A0F4D" w14:paraId="06085494" w14:textId="77777777" w:rsidTr="007E5450">
        <w:trPr>
          <w:jc w:val="center"/>
        </w:trPr>
        <w:tc>
          <w:tcPr>
            <w:tcW w:w="1080" w:type="dxa"/>
          </w:tcPr>
          <w:p w14:paraId="2A8232FD" w14:textId="147A1E0A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3.9</w:t>
            </w:r>
          </w:p>
        </w:tc>
        <w:tc>
          <w:tcPr>
            <w:tcW w:w="6712" w:type="dxa"/>
          </w:tcPr>
          <w:p w14:paraId="5FEAE6EE" w14:textId="4A2C4BD1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Предлагаемые сроки и продолжительность сессий Совета 2026, 2027, 2028 годов, а также предлагаемые сроки проведения блоков собраний рабочих групп Совета и групп экспертов в тот же период</w:t>
            </w:r>
          </w:p>
        </w:tc>
        <w:tc>
          <w:tcPr>
            <w:tcW w:w="1620" w:type="dxa"/>
          </w:tcPr>
          <w:p w14:paraId="51AA1C31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54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C25/2</w:t>
              </w:r>
            </w:hyperlink>
          </w:p>
        </w:tc>
      </w:tr>
      <w:tr w:rsidR="00D1465E" w:rsidRPr="001A0F4D" w14:paraId="2F4FF1F1" w14:textId="77777777" w:rsidTr="007E5450">
        <w:trPr>
          <w:jc w:val="center"/>
        </w:trPr>
        <w:tc>
          <w:tcPr>
            <w:tcW w:w="1080" w:type="dxa"/>
          </w:tcPr>
          <w:p w14:paraId="08A15DE7" w14:textId="12D941B4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3.10</w:t>
            </w:r>
          </w:p>
        </w:tc>
        <w:tc>
          <w:tcPr>
            <w:tcW w:w="6712" w:type="dxa"/>
          </w:tcPr>
          <w:p w14:paraId="319C19DF" w14:textId="6B8A4C38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Расписание будущих конференций, ассамблей и собраний Союза: </w:t>
            </w:r>
            <w:proofErr w:type="gramStart"/>
            <w:r w:rsidRPr="001A0F4D">
              <w:rPr>
                <w:rFonts w:cs="Calibri"/>
                <w:color w:val="000000"/>
                <w:sz w:val="20"/>
                <w:lang w:val="ru-RU"/>
              </w:rPr>
              <w:t>2025−2028</w:t>
            </w:r>
            <w:proofErr w:type="gramEnd"/>
            <w:r w:rsidRPr="001A0F4D">
              <w:rPr>
                <w:rFonts w:cs="Calibri"/>
                <w:color w:val="000000"/>
                <w:sz w:val="20"/>
                <w:lang w:val="ru-RU"/>
              </w:rPr>
              <w:t> годы</w:t>
            </w:r>
          </w:p>
        </w:tc>
        <w:tc>
          <w:tcPr>
            <w:tcW w:w="1620" w:type="dxa"/>
          </w:tcPr>
          <w:p w14:paraId="4C994745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55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C25/37</w:t>
              </w:r>
            </w:hyperlink>
          </w:p>
        </w:tc>
      </w:tr>
      <w:tr w:rsidR="00D1465E" w:rsidRPr="001A0F4D" w14:paraId="2E6B6B07" w14:textId="77777777" w:rsidTr="007E5450">
        <w:trPr>
          <w:jc w:val="center"/>
        </w:trPr>
        <w:tc>
          <w:tcPr>
            <w:tcW w:w="1080" w:type="dxa"/>
          </w:tcPr>
          <w:p w14:paraId="29017628" w14:textId="7A3BF952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3.11</w:t>
            </w: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381E9A93" w14:textId="1824BA99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Утратившие актуальность Резолюции и Решения Совета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91CBC2B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56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C25/3</w:t>
              </w:r>
            </w:hyperlink>
          </w:p>
        </w:tc>
      </w:tr>
      <w:tr w:rsidR="00D1465E" w:rsidRPr="00742309" w14:paraId="071798AB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69F5C83A" w14:textId="77777777" w:rsidR="00D1465E" w:rsidRPr="001A0F4D" w:rsidRDefault="00D1465E" w:rsidP="00D1465E">
            <w:pPr>
              <w:keepNext/>
              <w:keepLines/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b/>
                <w:sz w:val="20"/>
                <w:lang w:val="ru-RU"/>
              </w:rPr>
              <w:lastRenderedPageBreak/>
              <w:t>ADM 1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150F4D5D" w14:textId="3A551C58" w:rsidR="00D1465E" w:rsidRPr="001A0F4D" w:rsidRDefault="00D1465E" w:rsidP="00D1465E">
            <w:pPr>
              <w:keepNext/>
              <w:keepLines/>
              <w:spacing w:before="60" w:after="60"/>
              <w:rPr>
                <w:rFonts w:cs="Calibri"/>
                <w:b/>
                <w:sz w:val="20"/>
                <w:lang w:val="ru-RU"/>
              </w:rPr>
            </w:pPr>
            <w:r w:rsidRPr="001A0F4D">
              <w:rPr>
                <w:rFonts w:cs="Calibri"/>
                <w:b/>
                <w:bCs/>
                <w:color w:val="000000"/>
                <w:sz w:val="20"/>
                <w:lang w:val="ru-RU"/>
              </w:rPr>
              <w:t>Укрепление организационной эффективности (бюджет и финансы)</w:t>
            </w:r>
          </w:p>
        </w:tc>
      </w:tr>
      <w:tr w:rsidR="00D1465E" w:rsidRPr="001A0F4D" w14:paraId="1E3174B0" w14:textId="77777777" w:rsidTr="007E5450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2F488E38" w14:textId="21A9BE03" w:rsidR="00D1465E" w:rsidRPr="001A0F4D" w:rsidRDefault="00D1465E" w:rsidP="00D1465E">
            <w:pPr>
              <w:keepNext/>
              <w:keepLines/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1.1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D84D9BB" w14:textId="15F54950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Осуществление стратегии МСЭ по мобилизации ресурсов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CA1972D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57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C25/67</w:t>
              </w:r>
            </w:hyperlink>
          </w:p>
        </w:tc>
      </w:tr>
      <w:tr w:rsidR="00D1465E" w:rsidRPr="001A0F4D" w14:paraId="2F7EB2B7" w14:textId="77777777" w:rsidTr="000B6FEA">
        <w:trPr>
          <w:jc w:val="center"/>
        </w:trPr>
        <w:tc>
          <w:tcPr>
            <w:tcW w:w="1080" w:type="dxa"/>
            <w:vMerge/>
          </w:tcPr>
          <w:p w14:paraId="46B202D6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623B6D1" w14:textId="2CCD65ED" w:rsidR="00D1465E" w:rsidRPr="001A0F4D" w:rsidRDefault="00D1465E" w:rsidP="00D1465E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i/>
                <w:iCs/>
                <w:color w:val="000000"/>
                <w:sz w:val="20"/>
                <w:lang w:val="ru-RU"/>
              </w:rPr>
              <w:t>Вклад группы стран</w:t>
            </w:r>
            <w:r w:rsidRPr="001A0F4D">
              <w:rPr>
                <w:rFonts w:cs="Calibri"/>
                <w:sz w:val="20"/>
                <w:lang w:val="ru-RU"/>
              </w:rPr>
              <w:t xml:space="preserve"> − 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>Соображения, касающиеся стратегии МСЭ в области мобилизации ресурсов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329390F" w14:textId="0E397953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58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C25/90</w:t>
              </w:r>
            </w:hyperlink>
          </w:p>
        </w:tc>
      </w:tr>
      <w:tr w:rsidR="00D1465E" w:rsidRPr="001A0F4D" w14:paraId="2E9C7C44" w14:textId="77777777" w:rsidTr="007E5450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6A564785" w14:textId="79775BC5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1.2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B02B361" w14:textId="6CAB7326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 председателя Рабочей группы Совета по финансовым и людским ресурсам (РГС-ФЛР)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1A83F99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59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C25/50</w:t>
              </w:r>
            </w:hyperlink>
          </w:p>
        </w:tc>
      </w:tr>
      <w:tr w:rsidR="00D1465E" w:rsidRPr="001A0F4D" w14:paraId="470E061A" w14:textId="77777777" w:rsidTr="004223C7">
        <w:trPr>
          <w:jc w:val="center"/>
        </w:trPr>
        <w:tc>
          <w:tcPr>
            <w:tcW w:w="1080" w:type="dxa"/>
            <w:vMerge/>
          </w:tcPr>
          <w:p w14:paraId="77BB192B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FC187B9" w14:textId="292F2C81" w:rsidR="00D1465E" w:rsidRPr="001A0F4D" w:rsidRDefault="00D1465E" w:rsidP="00D1465E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i/>
                <w:iCs/>
                <w:color w:val="000000"/>
                <w:sz w:val="20"/>
                <w:lang w:val="ru-RU"/>
              </w:rPr>
              <w:t>Вклад Швейцарии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 − Уточнение роли руководящих органов МСЭ в структурах организаций, занимающихся вопросами управления ИТ и управления данными/информацией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E809CD9" w14:textId="59F40963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60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C25/84</w:t>
              </w:r>
            </w:hyperlink>
          </w:p>
        </w:tc>
      </w:tr>
      <w:tr w:rsidR="00D1465E" w:rsidRPr="001A0F4D" w14:paraId="068097BA" w14:textId="77777777" w:rsidTr="007E5450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44581292" w14:textId="3D9912E0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1.3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1CD5687" w14:textId="6B2F8ED1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Первоначальный отчет о проведении обзора регионального присутствия МСЭ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D7D2EFE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61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C25/69</w:t>
              </w:r>
            </w:hyperlink>
          </w:p>
        </w:tc>
      </w:tr>
      <w:tr w:rsidR="00D1465E" w:rsidRPr="001A0F4D" w14:paraId="2100B847" w14:textId="77777777" w:rsidTr="006E0845">
        <w:trPr>
          <w:jc w:val="center"/>
        </w:trPr>
        <w:tc>
          <w:tcPr>
            <w:tcW w:w="1080" w:type="dxa"/>
            <w:vMerge/>
          </w:tcPr>
          <w:p w14:paraId="2DB3F981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C778907" w14:textId="13E202D7" w:rsidR="00D1465E" w:rsidRPr="001A0F4D" w:rsidRDefault="00742309" w:rsidP="00D1465E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742309">
              <w:rPr>
                <w:rFonts w:cs="Calibri"/>
                <w:i/>
                <w:iCs/>
                <w:color w:val="000000"/>
                <w:sz w:val="20"/>
                <w:lang w:val="ru-RU"/>
              </w:rPr>
              <w:t>Вклад группы стран</w:t>
            </w:r>
            <w:r w:rsidRPr="00742309">
              <w:rPr>
                <w:rFonts w:cs="Calibri"/>
                <w:i/>
                <w:iCs/>
                <w:color w:val="000000"/>
                <w:sz w:val="20"/>
                <w:lang w:val="ru-RU"/>
              </w:rPr>
              <w:t xml:space="preserve"> </w:t>
            </w:r>
            <w:r w:rsidR="00D1465E" w:rsidRPr="001A0F4D">
              <w:rPr>
                <w:rFonts w:cs="Calibri"/>
                <w:color w:val="000000"/>
                <w:sz w:val="20"/>
                <w:lang w:val="ru-RU"/>
              </w:rPr>
              <w:t>– Рекомендации по совершенствованию проведения обзора регионального присутствия МСЭ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0D0B01A" w14:textId="3D7E7644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62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C25/88</w:t>
              </w:r>
            </w:hyperlink>
          </w:p>
        </w:tc>
      </w:tr>
      <w:tr w:rsidR="00D1465E" w:rsidRPr="001A0F4D" w14:paraId="28EE43D0" w14:textId="77777777" w:rsidTr="006E0845">
        <w:trPr>
          <w:jc w:val="center"/>
        </w:trPr>
        <w:tc>
          <w:tcPr>
            <w:tcW w:w="1080" w:type="dxa"/>
            <w:vMerge/>
          </w:tcPr>
          <w:p w14:paraId="5A3DEE21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4E5438E" w14:textId="6BD25FAB" w:rsidR="00D1465E" w:rsidRPr="001A0F4D" w:rsidRDefault="00D1465E" w:rsidP="00D1465E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i/>
                <w:iCs/>
                <w:color w:val="000000"/>
                <w:sz w:val="20"/>
                <w:lang w:val="ru-RU"/>
              </w:rPr>
              <w:t>Вклад группы стран</w:t>
            </w:r>
            <w:r w:rsidRPr="001A0F4D">
              <w:rPr>
                <w:rFonts w:cs="Calibri"/>
                <w:i/>
                <w:iCs/>
                <w:sz w:val="20"/>
                <w:lang w:val="ru-RU"/>
              </w:rPr>
              <w:t xml:space="preserve"> − Предложение по обзору регионального присутствия МСЭ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A5D50B7" w14:textId="378BF462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63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C25/93</w:t>
              </w:r>
            </w:hyperlink>
          </w:p>
        </w:tc>
      </w:tr>
      <w:tr w:rsidR="00D1465E" w:rsidRPr="001A0F4D" w14:paraId="23FCEDAB" w14:textId="77777777" w:rsidTr="006E0845">
        <w:trPr>
          <w:jc w:val="center"/>
        </w:trPr>
        <w:tc>
          <w:tcPr>
            <w:tcW w:w="1080" w:type="dxa"/>
            <w:vMerge/>
          </w:tcPr>
          <w:p w14:paraId="2FA8E4DB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D6069AA" w14:textId="2C7FAF57" w:rsidR="00D1465E" w:rsidRPr="001A0F4D" w:rsidRDefault="00D1465E" w:rsidP="00D1465E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i/>
                <w:iCs/>
                <w:color w:val="000000"/>
                <w:sz w:val="20"/>
                <w:lang w:val="ru-RU"/>
              </w:rPr>
              <w:t>Вклад группы стран</w:t>
            </w:r>
            <w:r w:rsidRPr="001A0F4D">
              <w:rPr>
                <w:rFonts w:cs="Calibri"/>
                <w:i/>
                <w:iCs/>
                <w:sz w:val="20"/>
                <w:lang w:val="ru-RU"/>
              </w:rPr>
              <w:t xml:space="preserve"> − Обзор регионального присутствия МСЭ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6C2A33A" w14:textId="0F2B19BD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64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C25/94</w:t>
              </w:r>
            </w:hyperlink>
          </w:p>
        </w:tc>
      </w:tr>
      <w:tr w:rsidR="00D1465E" w:rsidRPr="001A0F4D" w14:paraId="0808A64D" w14:textId="77777777" w:rsidTr="007E5450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0E496FB3" w14:textId="5BD09B6C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1.4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24ED130" w14:textId="2ADAECB0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Меры по повышению эффективности, принятые в </w:t>
            </w:r>
            <w:proofErr w:type="gramStart"/>
            <w:r w:rsidRPr="001A0F4D">
              <w:rPr>
                <w:rFonts w:cs="Calibri"/>
                <w:color w:val="000000"/>
                <w:sz w:val="20"/>
                <w:lang w:val="ru-RU"/>
              </w:rPr>
              <w:t>2023−2024</w:t>
            </w:r>
            <w:proofErr w:type="gramEnd"/>
            <w:r w:rsidRPr="001A0F4D">
              <w:rPr>
                <w:rFonts w:cs="Calibri"/>
                <w:color w:val="000000"/>
                <w:sz w:val="20"/>
                <w:lang w:val="ru-RU"/>
              </w:rPr>
              <w:t> годах, и планы на будущее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4BBE9E5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65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C25/62</w:t>
              </w:r>
            </w:hyperlink>
          </w:p>
        </w:tc>
      </w:tr>
      <w:tr w:rsidR="00D1465E" w:rsidRPr="001A0F4D" w14:paraId="24E6D61C" w14:textId="77777777" w:rsidTr="002D30A9">
        <w:trPr>
          <w:jc w:val="center"/>
        </w:trPr>
        <w:tc>
          <w:tcPr>
            <w:tcW w:w="1080" w:type="dxa"/>
            <w:vMerge/>
          </w:tcPr>
          <w:p w14:paraId="68533670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B5C66BD" w14:textId="672880B1" w:rsidR="00D1465E" w:rsidRPr="001A0F4D" w:rsidRDefault="00742309" w:rsidP="00D1465E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742309">
              <w:rPr>
                <w:rFonts w:cs="Calibri"/>
                <w:i/>
                <w:iCs/>
                <w:color w:val="000000"/>
                <w:sz w:val="20"/>
                <w:lang w:val="ru-RU"/>
              </w:rPr>
              <w:t xml:space="preserve">Вклад группы стран </w:t>
            </w:r>
            <w:r w:rsidR="00D1465E" w:rsidRPr="001A0F4D">
              <w:rPr>
                <w:rFonts w:cs="Calibri"/>
                <w:color w:val="000000"/>
                <w:sz w:val="20"/>
                <w:lang w:val="ru-RU"/>
              </w:rPr>
              <w:t>− Рекомендации по повышению эффективности исполнения бюджета Союза и рационализации расходов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2DE4AC3" w14:textId="65A8AC20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66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C25/86</w:t>
              </w:r>
            </w:hyperlink>
          </w:p>
        </w:tc>
      </w:tr>
      <w:tr w:rsidR="00D1465E" w:rsidRPr="001A0F4D" w14:paraId="1444C4B4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EE07C9D" w14:textId="34FF98B2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1.5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519660F" w14:textId="0B40095B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Распределение средств, сэкономленных при исполнении бюджета на 2024 год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A6D0AD2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67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C25/43</w:t>
              </w:r>
            </w:hyperlink>
          </w:p>
        </w:tc>
      </w:tr>
      <w:tr w:rsidR="00D1465E" w:rsidRPr="001A0F4D" w14:paraId="33C45C11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2D3AD986" w14:textId="46668655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1.6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5B7C2FF" w14:textId="3165314B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 Комитета по бюджетному контролю Всемирной ассамблеи по стандартизации электросвязи (ВАСЭ-24)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5C077E5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68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C25/13</w:t>
              </w:r>
            </w:hyperlink>
          </w:p>
        </w:tc>
      </w:tr>
      <w:tr w:rsidR="00D1465E" w:rsidRPr="001A0F4D" w14:paraId="7C28EF39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0F0CC3C8" w14:textId="348E3D76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1.7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7BF8DB2" w14:textId="2123FFC1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Заключительный отчет председателя Группы экспертов по Решению 482 (ГЭ-Реш.482)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AABCECB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69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C25/10</w:t>
              </w:r>
            </w:hyperlink>
          </w:p>
        </w:tc>
      </w:tr>
      <w:tr w:rsidR="00D1465E" w:rsidRPr="001A0F4D" w14:paraId="5E57F77E" w14:textId="77777777" w:rsidTr="007E5450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496E67BA" w14:textId="292E9C91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1.8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B8E1487" w14:textId="5631EAAA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Возмещение затрат на обработку заявок на регистрацию спутниковых сетей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4B63D3D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70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C25/16</w:t>
              </w:r>
            </w:hyperlink>
          </w:p>
        </w:tc>
      </w:tr>
      <w:tr w:rsidR="00D1465E" w:rsidRPr="001A0F4D" w14:paraId="4818CC62" w14:textId="77777777" w:rsidTr="009C53A1">
        <w:trPr>
          <w:jc w:val="center"/>
        </w:trPr>
        <w:tc>
          <w:tcPr>
            <w:tcW w:w="1080" w:type="dxa"/>
            <w:vMerge/>
          </w:tcPr>
          <w:p w14:paraId="1B9D5DAA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F1EF76E" w14:textId="07A20F2A" w:rsidR="00D1465E" w:rsidRPr="001A0F4D" w:rsidRDefault="00D1465E" w:rsidP="00D1465E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i/>
                <w:iCs/>
                <w:color w:val="000000"/>
                <w:sz w:val="20"/>
                <w:lang w:val="ru-RU"/>
              </w:rPr>
              <w:t>Вклад группы стран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 − Предложение освободить семь запросов о координации, подаваемых администрацией Анголы от имени 16 государств − членов САДК в соответствии с Резолюцией 170 (</w:t>
            </w:r>
            <w:proofErr w:type="spellStart"/>
            <w:r w:rsidRPr="001A0F4D">
              <w:rPr>
                <w:rFonts w:cs="Calibri"/>
                <w:color w:val="000000"/>
                <w:sz w:val="20"/>
                <w:lang w:val="ru-RU"/>
              </w:rPr>
              <w:t>Пересм</w:t>
            </w:r>
            <w:proofErr w:type="spellEnd"/>
            <w:r w:rsidRPr="001A0F4D">
              <w:rPr>
                <w:rFonts w:cs="Calibri"/>
                <w:color w:val="000000"/>
                <w:sz w:val="20"/>
                <w:lang w:val="ru-RU"/>
              </w:rPr>
              <w:t>. ВКР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noBreakHyphen/>
              <w:t>23), от сбора в счет возмещения затрат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2072B66" w14:textId="3EF14C26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71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C25/82</w:t>
              </w:r>
            </w:hyperlink>
          </w:p>
        </w:tc>
      </w:tr>
      <w:tr w:rsidR="00D1465E" w:rsidRPr="001A0F4D" w14:paraId="672DD5CF" w14:textId="77777777" w:rsidTr="009C53A1">
        <w:trPr>
          <w:jc w:val="center"/>
        </w:trPr>
        <w:tc>
          <w:tcPr>
            <w:tcW w:w="1080" w:type="dxa"/>
            <w:vMerge/>
          </w:tcPr>
          <w:p w14:paraId="12462B0C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8EE292D" w14:textId="6A7BA64B" w:rsidR="00D1465E" w:rsidRPr="001A0F4D" w:rsidRDefault="00D1465E" w:rsidP="00D1465E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i/>
                <w:iCs/>
                <w:color w:val="000000"/>
                <w:sz w:val="20"/>
                <w:lang w:val="ru-RU"/>
              </w:rPr>
              <w:t>Вклад Соединенных Штатов Америки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 − Возмещение затрат на обработку заявок на регистрацию спутниковых сетей и косвенные затраты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3AE7791" w14:textId="4A0333A2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72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C25/98</w:t>
              </w:r>
            </w:hyperlink>
          </w:p>
        </w:tc>
      </w:tr>
      <w:tr w:rsidR="00D1465E" w:rsidRPr="001A0F4D" w14:paraId="13AAA5B4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6FBE8EA9" w14:textId="2DFAF7D9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1.9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C73ED31" w14:textId="440FCEDE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Предлагаемая методика расчета возмещения затрат на обработку заявок на регистрацию спутниковых сетей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65F5E20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73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C25/64</w:t>
              </w:r>
            </w:hyperlink>
          </w:p>
        </w:tc>
      </w:tr>
      <w:tr w:rsidR="00D1465E" w:rsidRPr="001A0F4D" w14:paraId="2C5949E1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4A3A716" w14:textId="4D50049D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1.10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54DAF69" w14:textId="00C9E7E0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Анализ результатов работы Группы экспертов по Решению 482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04F46BA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74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C25/74</w:t>
              </w:r>
            </w:hyperlink>
          </w:p>
        </w:tc>
      </w:tr>
      <w:tr w:rsidR="00D1465E" w:rsidRPr="001A0F4D" w14:paraId="19EDC81B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873FD66" w14:textId="58D41981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1.11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4CD28E5" w14:textId="111F540D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Ежегодный анализ доходов и расходов при исполнении бюджета на 2025 год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DA68FF7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75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C25/9</w:t>
              </w:r>
            </w:hyperlink>
          </w:p>
        </w:tc>
      </w:tr>
      <w:tr w:rsidR="00D1465E" w:rsidRPr="001A0F4D" w14:paraId="18A74333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2227153" w14:textId="0CAE177C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1.12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E625BDD" w14:textId="404A15A5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 Консультативной группы по радиосвязи по вопросам, касающимся Совета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E6AF789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76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C25/59</w:t>
              </w:r>
            </w:hyperlink>
          </w:p>
        </w:tc>
      </w:tr>
      <w:tr w:rsidR="00D1465E" w:rsidRPr="001A0F4D" w14:paraId="5AEF517F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63C9BBE4" w14:textId="03F7137D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lastRenderedPageBreak/>
              <w:t>1.13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D39F4CA" w14:textId="645F9688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Задолженности и специальные счета задолженностей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370D6DA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77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C25/11</w:t>
              </w:r>
            </w:hyperlink>
          </w:p>
        </w:tc>
      </w:tr>
      <w:tr w:rsidR="00D1465E" w:rsidRPr="001A0F4D" w14:paraId="5E850643" w14:textId="77777777" w:rsidTr="007E5450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2A1648FC" w14:textId="3CD6851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1.14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3FAA8D7" w14:textId="5C8202DC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Проект двухгодичного бюджета Союза на </w:t>
            </w:r>
            <w:proofErr w:type="gramStart"/>
            <w:r w:rsidRPr="001A0F4D">
              <w:rPr>
                <w:rFonts w:cs="Calibri"/>
                <w:color w:val="000000"/>
                <w:sz w:val="20"/>
                <w:lang w:val="ru-RU"/>
              </w:rPr>
              <w:t>2026−2027</w:t>
            </w:r>
            <w:proofErr w:type="gramEnd"/>
            <w:r w:rsidRPr="001A0F4D">
              <w:rPr>
                <w:rFonts w:cs="Calibri"/>
                <w:color w:val="000000"/>
                <w:sz w:val="20"/>
                <w:lang w:val="ru-RU"/>
              </w:rPr>
              <w:t> годы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22C09E9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78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C25/47</w:t>
              </w:r>
            </w:hyperlink>
          </w:p>
        </w:tc>
      </w:tr>
      <w:tr w:rsidR="00D1465E" w:rsidRPr="001A0F4D" w14:paraId="691D349B" w14:textId="77777777" w:rsidTr="00F77CBC">
        <w:trPr>
          <w:jc w:val="center"/>
        </w:trPr>
        <w:tc>
          <w:tcPr>
            <w:tcW w:w="1080" w:type="dxa"/>
            <w:vMerge/>
          </w:tcPr>
          <w:p w14:paraId="1AF3BA96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349DCBE" w14:textId="24A782E9" w:rsidR="00D1465E" w:rsidRPr="001A0F4D" w:rsidRDefault="00D1465E" w:rsidP="00D1465E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i/>
                <w:iCs/>
                <w:color w:val="000000"/>
                <w:sz w:val="20"/>
                <w:lang w:val="ru-RU"/>
              </w:rPr>
              <w:t>Вклад от Индонезии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 − Предложение по сохранению или увеличению бюджета стипендий МСЭ на двухгодичный период </w:t>
            </w:r>
            <w:proofErr w:type="gramStart"/>
            <w:r w:rsidRPr="001A0F4D">
              <w:rPr>
                <w:rFonts w:cs="Calibri"/>
                <w:color w:val="000000"/>
                <w:sz w:val="20"/>
                <w:lang w:val="ru-RU"/>
              </w:rPr>
              <w:t>2026−2027</w:t>
            </w:r>
            <w:proofErr w:type="gramEnd"/>
            <w:r w:rsidRPr="001A0F4D">
              <w:rPr>
                <w:rFonts w:cs="Calibri"/>
                <w:color w:val="000000"/>
                <w:sz w:val="20"/>
                <w:lang w:val="ru-RU"/>
              </w:rPr>
              <w:t> годов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3A62D1C" w14:textId="3EA51695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79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C25/75</w:t>
              </w:r>
            </w:hyperlink>
          </w:p>
        </w:tc>
      </w:tr>
      <w:tr w:rsidR="00D1465E" w:rsidRPr="001A0F4D" w14:paraId="2C830912" w14:textId="77777777" w:rsidTr="00F77CBC">
        <w:trPr>
          <w:jc w:val="center"/>
        </w:trPr>
        <w:tc>
          <w:tcPr>
            <w:tcW w:w="1080" w:type="dxa"/>
            <w:vMerge/>
          </w:tcPr>
          <w:p w14:paraId="01E0C87E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7784425" w14:textId="727884AB" w:rsidR="00D1465E" w:rsidRPr="001A0F4D" w:rsidRDefault="00D1465E" w:rsidP="00D1465E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i/>
                <w:iCs/>
                <w:color w:val="000000"/>
                <w:sz w:val="20"/>
                <w:lang w:val="ru-RU"/>
              </w:rPr>
              <w:t>Вклад группы стран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 − Уменьшение финансового бремени в связи с проведением конференций, собраний и других мероприятий МСЭ для принимающих стран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BDB0607" w14:textId="5E601EC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80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C25/95</w:t>
              </w:r>
            </w:hyperlink>
          </w:p>
        </w:tc>
      </w:tr>
      <w:tr w:rsidR="00D1465E" w:rsidRPr="001A0F4D" w14:paraId="423DC411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04E1148" w14:textId="4BAACE80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1.15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DF9C1EF" w14:textId="64E977EC" w:rsidR="00D1465E" w:rsidRPr="001A0F4D" w:rsidRDefault="00D1465E" w:rsidP="00D1465E">
            <w:pPr>
              <w:spacing w:before="60" w:after="60"/>
              <w:rPr>
                <w:rFonts w:cs="Calibri"/>
                <w:spacing w:val="-2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 о ходе выполнения Решений 600 и 601 Совета (UIFN, IIN)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191D24E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81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C25/38</w:t>
              </w:r>
            </w:hyperlink>
          </w:p>
        </w:tc>
      </w:tr>
      <w:tr w:rsidR="00D1465E" w:rsidRPr="001A0F4D" w14:paraId="5837C21A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6978FD3" w14:textId="58883EBA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1.16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F756EB7" w14:textId="5A00097A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Фонд развития информационно-коммуникационных технологий (ФРИКТ)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7252CE3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82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C25/34</w:t>
              </w:r>
            </w:hyperlink>
          </w:p>
        </w:tc>
      </w:tr>
      <w:tr w:rsidR="00D1465E" w:rsidRPr="001A0F4D" w14:paraId="0298EDF0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6E1E3DC7" w14:textId="469FFB3C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1.17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934EF6F" w14:textId="7B3A2BA7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Обязательства по медицинскому страхованию после выхода в отставку (АСХИ)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ED23DC8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83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C25/46</w:t>
              </w:r>
            </w:hyperlink>
          </w:p>
        </w:tc>
      </w:tr>
      <w:tr w:rsidR="00D1465E" w:rsidRPr="001A0F4D" w14:paraId="3783ED0A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FECC038" w14:textId="3E88F44B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1.18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896E861" w14:textId="60A9D7A9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Предварительная величина единицы взносов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05DBF62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84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C25/54</w:t>
              </w:r>
            </w:hyperlink>
          </w:p>
        </w:tc>
      </w:tr>
      <w:tr w:rsidR="00D1465E" w:rsidRPr="001A0F4D" w14:paraId="1AD088E8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B297BB0" w14:textId="50584EE1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1.19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17AEDB8" w14:textId="5491A49D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Новые заявки на предоставление освобождения от уплаты взносов организаций международного характера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3FEA36E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85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C25/65</w:t>
              </w:r>
            </w:hyperlink>
          </w:p>
        </w:tc>
      </w:tr>
      <w:tr w:rsidR="00D1465E" w:rsidRPr="001A0F4D" w14:paraId="4CB1FDE0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D20ECDE" w14:textId="5395D623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1.20</w:t>
            </w:r>
          </w:p>
        </w:tc>
        <w:tc>
          <w:tcPr>
            <w:tcW w:w="6712" w:type="dxa"/>
            <w:tcBorders>
              <w:top w:val="single" w:sz="4" w:space="0" w:color="808080"/>
              <w:right w:val="single" w:sz="4" w:space="0" w:color="auto"/>
            </w:tcBorders>
          </w:tcPr>
          <w:p w14:paraId="032BF085" w14:textId="271B7B27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Участие в деятельности МСЭ других объединений, занимающихся вопросами электросвязи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right w:val="single" w:sz="8" w:space="0" w:color="auto"/>
            </w:tcBorders>
          </w:tcPr>
          <w:p w14:paraId="47B6D90F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86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C25/20</w:t>
              </w:r>
            </w:hyperlink>
          </w:p>
        </w:tc>
      </w:tr>
      <w:tr w:rsidR="00D1465E" w:rsidRPr="001A0F4D" w14:paraId="2340D9A8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63655AA8" w14:textId="77777777" w:rsidR="00D1465E" w:rsidRPr="001A0F4D" w:rsidRDefault="00D1465E" w:rsidP="00D1465E">
            <w:pPr>
              <w:keepNext/>
              <w:keepLines/>
              <w:spacing w:before="60" w:after="60"/>
              <w:jc w:val="center"/>
              <w:rPr>
                <w:rFonts w:cs="Calibri"/>
                <w:b/>
                <w:sz w:val="20"/>
                <w:lang w:val="ru-RU"/>
              </w:rPr>
            </w:pPr>
            <w:r w:rsidRPr="001A0F4D">
              <w:rPr>
                <w:rFonts w:cs="Calibri"/>
                <w:b/>
                <w:sz w:val="20"/>
                <w:lang w:val="ru-RU"/>
              </w:rPr>
              <w:t>ADM 2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4253C888" w14:textId="7F0E195B" w:rsidR="00D1465E" w:rsidRPr="001A0F4D" w:rsidRDefault="00D1465E" w:rsidP="00D1465E">
            <w:pPr>
              <w:keepNext/>
              <w:keepLines/>
              <w:spacing w:before="60" w:after="60"/>
              <w:rPr>
                <w:rFonts w:cs="Calibri"/>
                <w:b/>
                <w:sz w:val="20"/>
                <w:lang w:val="ru-RU"/>
              </w:rPr>
            </w:pPr>
            <w:r w:rsidRPr="001A0F4D">
              <w:rPr>
                <w:rFonts w:cs="Calibri"/>
                <w:b/>
                <w:bCs/>
                <w:color w:val="000000"/>
                <w:sz w:val="20"/>
                <w:lang w:val="ru-RU"/>
              </w:rPr>
              <w:t>Укрепление организационной эффективности (подотчетность)</w:t>
            </w:r>
          </w:p>
        </w:tc>
      </w:tr>
      <w:tr w:rsidR="00D1465E" w:rsidRPr="001A0F4D" w14:paraId="22B07EE7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  <w:right w:val="single" w:sz="4" w:space="0" w:color="auto"/>
            </w:tcBorders>
          </w:tcPr>
          <w:p w14:paraId="09EACA1E" w14:textId="2651DD0D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  <w:r w:rsidRPr="001A0F4D">
              <w:rPr>
                <w:rFonts w:cs="Calibri"/>
                <w:bCs/>
                <w:sz w:val="20"/>
                <w:lang w:val="ru-RU"/>
              </w:rPr>
              <w:t>2.1</w:t>
            </w:r>
          </w:p>
        </w:tc>
        <w:tc>
          <w:tcPr>
            <w:tcW w:w="6712" w:type="dxa"/>
            <w:tcBorders>
              <w:top w:val="single" w:sz="4" w:space="0" w:color="808080"/>
              <w:left w:val="single" w:sz="4" w:space="0" w:color="auto"/>
            </w:tcBorders>
          </w:tcPr>
          <w:p w14:paraId="0F588A56" w14:textId="568DAFCC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Проверенные счета: проверенный отчет о финансовой деятельности за 2024 год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</w:tcBorders>
          </w:tcPr>
          <w:p w14:paraId="52BFC9E0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87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C25/40</w:t>
              </w:r>
            </w:hyperlink>
          </w:p>
        </w:tc>
      </w:tr>
      <w:tr w:rsidR="00D1465E" w:rsidRPr="001A0F4D" w14:paraId="4D0AF0EC" w14:textId="77777777" w:rsidTr="007E5450">
        <w:trPr>
          <w:jc w:val="center"/>
        </w:trPr>
        <w:tc>
          <w:tcPr>
            <w:tcW w:w="1080" w:type="dxa"/>
          </w:tcPr>
          <w:p w14:paraId="6801264D" w14:textId="3CD48D52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  <w:r w:rsidRPr="001A0F4D">
              <w:rPr>
                <w:rFonts w:cs="Calibri"/>
                <w:bCs/>
                <w:sz w:val="20"/>
                <w:lang w:val="ru-RU"/>
              </w:rPr>
              <w:t>2.2</w:t>
            </w:r>
          </w:p>
        </w:tc>
        <w:tc>
          <w:tcPr>
            <w:tcW w:w="6712" w:type="dxa"/>
          </w:tcPr>
          <w:p w14:paraId="0F2755A1" w14:textId="2A8A8F0A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 Внешнего аудитора: счета Союза за 2024 год</w:t>
            </w:r>
          </w:p>
        </w:tc>
        <w:tc>
          <w:tcPr>
            <w:tcW w:w="1620" w:type="dxa"/>
          </w:tcPr>
          <w:p w14:paraId="730CCC6A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88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C25/41</w:t>
              </w:r>
            </w:hyperlink>
          </w:p>
        </w:tc>
      </w:tr>
      <w:tr w:rsidR="00D1465E" w:rsidRPr="001A0F4D" w14:paraId="743AFF97" w14:textId="77777777" w:rsidTr="007E5450">
        <w:trPr>
          <w:jc w:val="center"/>
        </w:trPr>
        <w:tc>
          <w:tcPr>
            <w:tcW w:w="1080" w:type="dxa"/>
            <w:tcBorders>
              <w:bottom w:val="single" w:sz="4" w:space="0" w:color="808080"/>
            </w:tcBorders>
          </w:tcPr>
          <w:p w14:paraId="37C975A9" w14:textId="63A3632E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  <w:r w:rsidRPr="001A0F4D">
              <w:rPr>
                <w:rFonts w:cs="Calibri"/>
                <w:bCs/>
                <w:sz w:val="20"/>
                <w:lang w:val="ru-RU"/>
              </w:rPr>
              <w:t>2.3</w:t>
            </w:r>
          </w:p>
        </w:tc>
        <w:tc>
          <w:tcPr>
            <w:tcW w:w="6712" w:type="dxa"/>
          </w:tcPr>
          <w:p w14:paraId="46B3ABC3" w14:textId="00AD9D70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Продление мандата Внешнего аудитора − Национального ревизионного управления (НРУ) Соединенного Королевства − на двухгодичный период</w:t>
            </w:r>
          </w:p>
        </w:tc>
        <w:tc>
          <w:tcPr>
            <w:tcW w:w="1620" w:type="dxa"/>
          </w:tcPr>
          <w:p w14:paraId="75D129BC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89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C25/42</w:t>
              </w:r>
            </w:hyperlink>
          </w:p>
        </w:tc>
      </w:tr>
      <w:tr w:rsidR="00D1465E" w:rsidRPr="001A0F4D" w14:paraId="76B570E5" w14:textId="77777777" w:rsidTr="004A1E0C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166C2C15" w14:textId="5447A712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  <w:r w:rsidRPr="001A0F4D">
              <w:rPr>
                <w:rFonts w:cs="Calibri"/>
                <w:bCs/>
                <w:sz w:val="20"/>
                <w:lang w:val="ru-RU"/>
              </w:rPr>
              <w:t>2.4</w:t>
            </w:r>
          </w:p>
        </w:tc>
        <w:tc>
          <w:tcPr>
            <w:tcW w:w="6712" w:type="dxa"/>
            <w:tcBorders>
              <w:bottom w:val="nil"/>
            </w:tcBorders>
          </w:tcPr>
          <w:p w14:paraId="4EE3EE94" w14:textId="58E1573B" w:rsidR="00D1465E" w:rsidRPr="001A0F4D" w:rsidRDefault="00D1465E" w:rsidP="00D1465E">
            <w:pPr>
              <w:keepNext/>
              <w:keepLines/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Отчеты Подразделения по надзору</w:t>
            </w:r>
          </w:p>
        </w:tc>
        <w:tc>
          <w:tcPr>
            <w:tcW w:w="1620" w:type="dxa"/>
            <w:tcBorders>
              <w:bottom w:val="nil"/>
            </w:tcBorders>
          </w:tcPr>
          <w:p w14:paraId="19449283" w14:textId="77777777" w:rsidR="00D1465E" w:rsidRPr="001A0F4D" w:rsidRDefault="00D1465E" w:rsidP="00D1465E">
            <w:pPr>
              <w:keepNext/>
              <w:keepLines/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</w:p>
        </w:tc>
      </w:tr>
      <w:tr w:rsidR="00D1465E" w:rsidRPr="001A0F4D" w14:paraId="2FCEFC66" w14:textId="77777777" w:rsidTr="004A1E0C">
        <w:trPr>
          <w:jc w:val="center"/>
        </w:trPr>
        <w:tc>
          <w:tcPr>
            <w:tcW w:w="1080" w:type="dxa"/>
            <w:vMerge/>
          </w:tcPr>
          <w:p w14:paraId="29B90212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  <w:tc>
          <w:tcPr>
            <w:tcW w:w="6712" w:type="dxa"/>
            <w:tcBorders>
              <w:top w:val="nil"/>
              <w:bottom w:val="nil"/>
            </w:tcBorders>
          </w:tcPr>
          <w:p w14:paraId="39913033" w14:textId="72B0ADA8" w:rsidR="00D1465E" w:rsidRPr="001A0F4D" w:rsidRDefault="00D1465E" w:rsidP="00D1465E">
            <w:pPr>
              <w:tabs>
                <w:tab w:val="clear" w:pos="794"/>
                <w:tab w:val="left" w:pos="641"/>
              </w:tabs>
              <w:spacing w:before="60" w:after="60"/>
              <w:ind w:left="641" w:hanging="641"/>
              <w:rPr>
                <w:rFonts w:eastAsia="SimSun"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–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ab/>
              <w:t>Отчет Подразделения по надзору − функция внутреннего аудита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1F2EF32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90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C25/44</w:t>
              </w:r>
            </w:hyperlink>
          </w:p>
        </w:tc>
      </w:tr>
      <w:tr w:rsidR="00D1465E" w:rsidRPr="001A0F4D" w14:paraId="60988A26" w14:textId="77777777" w:rsidTr="004A1E0C">
        <w:trPr>
          <w:jc w:val="center"/>
        </w:trPr>
        <w:tc>
          <w:tcPr>
            <w:tcW w:w="1080" w:type="dxa"/>
            <w:vMerge/>
          </w:tcPr>
          <w:p w14:paraId="32B5A77A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  <w:tc>
          <w:tcPr>
            <w:tcW w:w="6712" w:type="dxa"/>
            <w:tcBorders>
              <w:top w:val="nil"/>
              <w:bottom w:val="single" w:sz="4" w:space="0" w:color="808080"/>
            </w:tcBorders>
          </w:tcPr>
          <w:p w14:paraId="7DE6C5AA" w14:textId="32E64414" w:rsidR="00D1465E" w:rsidRPr="001A0F4D" w:rsidRDefault="00D1465E" w:rsidP="00D1465E">
            <w:pPr>
              <w:tabs>
                <w:tab w:val="clear" w:pos="794"/>
                <w:tab w:val="left" w:pos="641"/>
              </w:tabs>
              <w:spacing w:before="60" w:after="60"/>
              <w:ind w:left="641" w:hanging="641"/>
              <w:rPr>
                <w:rFonts w:eastAsia="SimSun"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–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ab/>
              <w:t>Отчет Подразделения по надзору − функция проведения расследований</w:t>
            </w:r>
          </w:p>
        </w:tc>
        <w:tc>
          <w:tcPr>
            <w:tcW w:w="1620" w:type="dxa"/>
            <w:tcBorders>
              <w:top w:val="nil"/>
              <w:bottom w:val="single" w:sz="4" w:space="0" w:color="808080"/>
            </w:tcBorders>
          </w:tcPr>
          <w:p w14:paraId="1939FC80" w14:textId="2CAE42E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91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C25/39(Rev.1)</w:t>
              </w:r>
            </w:hyperlink>
          </w:p>
        </w:tc>
      </w:tr>
      <w:tr w:rsidR="00D1465E" w:rsidRPr="001A0F4D" w14:paraId="776E2A41" w14:textId="77777777" w:rsidTr="004A1E0C">
        <w:trPr>
          <w:jc w:val="center"/>
        </w:trPr>
        <w:tc>
          <w:tcPr>
            <w:tcW w:w="1080" w:type="dxa"/>
            <w:vMerge/>
          </w:tcPr>
          <w:p w14:paraId="2DD7FDE7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2345EA9" w14:textId="0CAF28A0" w:rsidR="00D1465E" w:rsidRPr="001A0F4D" w:rsidRDefault="00D1465E" w:rsidP="00D1465E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i/>
                <w:iCs/>
                <w:color w:val="000000"/>
                <w:sz w:val="20"/>
                <w:lang w:val="ru-RU"/>
              </w:rPr>
              <w:t>Отчет Председателя Совета 2024 года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 − Рассмотрение обвинений в отношении избираемых должностных лиц Председателем Совета МСЭ в период с января 2024 года по июнь 2025 года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E2047C5" w14:textId="73DD81FF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92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C25/99</w:t>
              </w:r>
            </w:hyperlink>
          </w:p>
        </w:tc>
      </w:tr>
      <w:tr w:rsidR="00D1465E" w:rsidRPr="001A0F4D" w14:paraId="22A8B4E6" w14:textId="77777777" w:rsidTr="007F44CD">
        <w:trPr>
          <w:jc w:val="center"/>
        </w:trPr>
        <w:tc>
          <w:tcPr>
            <w:tcW w:w="1080" w:type="dxa"/>
            <w:vMerge/>
            <w:tcBorders>
              <w:bottom w:val="single" w:sz="4" w:space="0" w:color="808080"/>
            </w:tcBorders>
          </w:tcPr>
          <w:p w14:paraId="238C441C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  <w:tc>
          <w:tcPr>
            <w:tcW w:w="6712" w:type="dxa"/>
          </w:tcPr>
          <w:p w14:paraId="571D9A8C" w14:textId="65C6C600" w:rsidR="00D1465E" w:rsidRPr="001A0F4D" w:rsidRDefault="00742309" w:rsidP="00D1465E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742309">
              <w:rPr>
                <w:rFonts w:cs="Calibri"/>
                <w:i/>
                <w:iCs/>
                <w:color w:val="000000"/>
                <w:sz w:val="20"/>
                <w:lang w:val="ru-RU"/>
              </w:rPr>
              <w:t xml:space="preserve">Вклад группы стран </w:t>
            </w:r>
            <w:r w:rsidR="00D1465E" w:rsidRPr="001A0F4D">
              <w:rPr>
                <w:rFonts w:cs="Calibri"/>
                <w:color w:val="000000"/>
                <w:sz w:val="20"/>
                <w:lang w:val="ru-RU"/>
              </w:rPr>
              <w:t>– Предложения по дальнейшему совершенствованию системы внутреннего надзора в МСЭ</w:t>
            </w:r>
          </w:p>
        </w:tc>
        <w:tc>
          <w:tcPr>
            <w:tcW w:w="1620" w:type="dxa"/>
          </w:tcPr>
          <w:p w14:paraId="25BEC56D" w14:textId="7F74BB0F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93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C25/8</w:t>
              </w:r>
              <w:r w:rsidR="00742309">
                <w:rPr>
                  <w:rStyle w:val="Hyperlink"/>
                  <w:rFonts w:cs="Calibri"/>
                  <w:sz w:val="20"/>
                  <w:lang w:val="fr-CH"/>
                </w:rPr>
                <w:t>7(Rev.1)</w:t>
              </w:r>
            </w:hyperlink>
          </w:p>
        </w:tc>
      </w:tr>
      <w:tr w:rsidR="00D1465E" w:rsidRPr="001A0F4D" w14:paraId="3982008B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6F8B0DD" w14:textId="26D2FCCE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  <w:r w:rsidRPr="001A0F4D">
              <w:rPr>
                <w:rFonts w:cs="Calibri"/>
                <w:bCs/>
                <w:sz w:val="20"/>
                <w:lang w:val="ru-RU"/>
              </w:rPr>
              <w:t>2.5</w:t>
            </w:r>
          </w:p>
        </w:tc>
        <w:tc>
          <w:tcPr>
            <w:tcW w:w="6712" w:type="dxa"/>
          </w:tcPr>
          <w:p w14:paraId="1DA5FF0E" w14:textId="18FDB94A" w:rsidR="00D1465E" w:rsidRPr="001A0F4D" w:rsidRDefault="00D1465E" w:rsidP="00D1465E">
            <w:pPr>
              <w:spacing w:before="60" w:after="60"/>
              <w:rPr>
                <w:rFonts w:cs="Calibri"/>
                <w:i/>
                <w:iCs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 Управления по вопросам этики</w:t>
            </w:r>
          </w:p>
        </w:tc>
        <w:tc>
          <w:tcPr>
            <w:tcW w:w="1620" w:type="dxa"/>
          </w:tcPr>
          <w:p w14:paraId="04367DBA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94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C25/14</w:t>
              </w:r>
            </w:hyperlink>
          </w:p>
        </w:tc>
      </w:tr>
      <w:tr w:rsidR="00D1465E" w:rsidRPr="001A0F4D" w14:paraId="150E62A3" w14:textId="77777777" w:rsidTr="007E5450">
        <w:trPr>
          <w:jc w:val="center"/>
        </w:trPr>
        <w:tc>
          <w:tcPr>
            <w:tcW w:w="1080" w:type="dxa"/>
          </w:tcPr>
          <w:p w14:paraId="4B5BA245" w14:textId="71911A73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  <w:r w:rsidRPr="001A0F4D">
              <w:rPr>
                <w:rFonts w:cs="Calibri"/>
                <w:bCs/>
                <w:sz w:val="20"/>
                <w:lang w:val="ru-RU"/>
              </w:rPr>
              <w:t>2.6</w:t>
            </w:r>
          </w:p>
        </w:tc>
        <w:tc>
          <w:tcPr>
            <w:tcW w:w="6712" w:type="dxa"/>
          </w:tcPr>
          <w:p w14:paraId="156D1FBD" w14:textId="71ABC7EB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Укрепление системы управления рисками и внутреннего контроля</w:t>
            </w:r>
          </w:p>
        </w:tc>
        <w:tc>
          <w:tcPr>
            <w:tcW w:w="1620" w:type="dxa"/>
          </w:tcPr>
          <w:p w14:paraId="16675401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95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C25/49</w:t>
              </w:r>
            </w:hyperlink>
          </w:p>
        </w:tc>
      </w:tr>
      <w:tr w:rsidR="00D1465E" w:rsidRPr="001A0F4D" w14:paraId="0F6643D8" w14:textId="77777777" w:rsidTr="007E5450">
        <w:trPr>
          <w:jc w:val="center"/>
        </w:trPr>
        <w:tc>
          <w:tcPr>
            <w:tcW w:w="1080" w:type="dxa"/>
          </w:tcPr>
          <w:p w14:paraId="63EACA80" w14:textId="1670ACA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  <w:r w:rsidRPr="001A0F4D">
              <w:rPr>
                <w:rFonts w:cs="Calibri"/>
                <w:bCs/>
                <w:sz w:val="20"/>
                <w:lang w:val="ru-RU"/>
              </w:rPr>
              <w:t>2.7</w:t>
            </w:r>
          </w:p>
        </w:tc>
        <w:tc>
          <w:tcPr>
            <w:tcW w:w="6712" w:type="dxa"/>
          </w:tcPr>
          <w:p w14:paraId="41676EAF" w14:textId="7964C061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Четырнадцатый отчет Независимого консультативного комитета по управлению (IMAC)</w:t>
            </w:r>
          </w:p>
        </w:tc>
        <w:tc>
          <w:tcPr>
            <w:tcW w:w="1620" w:type="dxa"/>
          </w:tcPr>
          <w:p w14:paraId="380E15C7" w14:textId="3EAFDC0C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96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C25/22 + Add.1−3</w:t>
              </w:r>
            </w:hyperlink>
          </w:p>
        </w:tc>
      </w:tr>
      <w:tr w:rsidR="00D1465E" w:rsidRPr="001A0F4D" w14:paraId="0B39A3B4" w14:textId="77777777" w:rsidTr="007E5450">
        <w:trPr>
          <w:jc w:val="center"/>
        </w:trPr>
        <w:tc>
          <w:tcPr>
            <w:tcW w:w="1080" w:type="dxa"/>
          </w:tcPr>
          <w:p w14:paraId="6145730F" w14:textId="011E1D6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  <w:r w:rsidRPr="001A0F4D">
              <w:rPr>
                <w:rFonts w:cs="Calibri"/>
                <w:bCs/>
                <w:sz w:val="20"/>
                <w:lang w:val="ru-RU"/>
              </w:rPr>
              <w:t>2.8</w:t>
            </w: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405BEC21" w14:textId="7B1E9381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Доклады ОИГ по вопросам, касающимся всей системы Организации Объединенных Наций, за </w:t>
            </w:r>
            <w:proofErr w:type="gramStart"/>
            <w:r w:rsidRPr="001A0F4D">
              <w:rPr>
                <w:rFonts w:cs="Calibri"/>
                <w:color w:val="000000"/>
                <w:sz w:val="20"/>
                <w:lang w:val="ru-RU"/>
              </w:rPr>
              <w:t>2023−2024</w:t>
            </w:r>
            <w:proofErr w:type="gramEnd"/>
            <w:r w:rsidRPr="001A0F4D">
              <w:rPr>
                <w:rFonts w:cs="Calibri"/>
                <w:color w:val="000000"/>
                <w:sz w:val="20"/>
                <w:lang w:val="ru-RU"/>
              </w:rPr>
              <w:t> годы и рекомендации директивным органам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217E7420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97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C25/57</w:t>
              </w:r>
            </w:hyperlink>
          </w:p>
        </w:tc>
      </w:tr>
      <w:tr w:rsidR="00D1465E" w:rsidRPr="00742309" w14:paraId="568A3CBB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3D49ED15" w14:textId="77777777" w:rsidR="00D1465E" w:rsidRPr="001A0F4D" w:rsidRDefault="00D1465E" w:rsidP="00D1465E">
            <w:pPr>
              <w:keepNext/>
              <w:keepLines/>
              <w:spacing w:before="60" w:after="60"/>
              <w:jc w:val="center"/>
              <w:rPr>
                <w:rFonts w:cs="Calibri"/>
                <w:b/>
                <w:sz w:val="20"/>
                <w:lang w:val="ru-RU"/>
              </w:rPr>
            </w:pPr>
            <w:r w:rsidRPr="001A0F4D">
              <w:rPr>
                <w:rFonts w:cs="Calibri"/>
                <w:b/>
                <w:sz w:val="20"/>
                <w:lang w:val="ru-RU"/>
              </w:rPr>
              <w:lastRenderedPageBreak/>
              <w:t>ADM 3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58191D69" w14:textId="13D94181" w:rsidR="00D1465E" w:rsidRPr="001A0F4D" w:rsidRDefault="00D1465E" w:rsidP="00D1465E">
            <w:pPr>
              <w:keepNext/>
              <w:keepLines/>
              <w:spacing w:before="60" w:after="60"/>
              <w:rPr>
                <w:rFonts w:cs="Calibri"/>
                <w:b/>
                <w:sz w:val="20"/>
                <w:lang w:val="ru-RU"/>
              </w:rPr>
            </w:pPr>
            <w:r w:rsidRPr="001A0F4D">
              <w:rPr>
                <w:rFonts w:cs="Calibri"/>
                <w:b/>
                <w:bCs/>
                <w:color w:val="000000"/>
                <w:sz w:val="20"/>
                <w:lang w:val="ru-RU"/>
              </w:rPr>
              <w:t>Укрепление организационной эффективности (благоприятная среда, людские ресурсы, ИТ, штаб</w:t>
            </w:r>
            <w:r w:rsidRPr="001A0F4D">
              <w:rPr>
                <w:rFonts w:cs="Calibri"/>
                <w:b/>
                <w:bCs/>
                <w:color w:val="000000"/>
                <w:sz w:val="20"/>
                <w:lang w:val="ru-RU"/>
              </w:rPr>
              <w:noBreakHyphen/>
              <w:t>квартира)</w:t>
            </w:r>
          </w:p>
        </w:tc>
      </w:tr>
      <w:tr w:rsidR="00D1465E" w:rsidRPr="001A0F4D" w14:paraId="1E7CFBED" w14:textId="77777777" w:rsidTr="007E5450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1048A7E1" w14:textId="4335D48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  <w:r w:rsidRPr="001A0F4D">
              <w:rPr>
                <w:rFonts w:cs="Calibri"/>
                <w:bCs/>
                <w:sz w:val="20"/>
                <w:lang w:val="ru-RU"/>
              </w:rPr>
              <w:t>3.1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E5D2353" w14:textId="4DB711E7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 о ходе работы по выполнению Плана трансформации людских ресурсов и Резолюции 48 (</w:t>
            </w:r>
            <w:proofErr w:type="spellStart"/>
            <w:r w:rsidRPr="001A0F4D">
              <w:rPr>
                <w:rFonts w:cs="Calibri"/>
                <w:color w:val="000000"/>
                <w:sz w:val="20"/>
                <w:lang w:val="ru-RU"/>
              </w:rPr>
              <w:t>Пересм</w:t>
            </w:r>
            <w:proofErr w:type="spellEnd"/>
            <w:r w:rsidRPr="001A0F4D">
              <w:rPr>
                <w:rFonts w:cs="Calibri"/>
                <w:color w:val="000000"/>
                <w:sz w:val="20"/>
                <w:lang w:val="ru-RU"/>
              </w:rPr>
              <w:t>. Бухарест, 2022 г.)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6211705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98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C25/66</w:t>
              </w:r>
            </w:hyperlink>
          </w:p>
        </w:tc>
      </w:tr>
      <w:tr w:rsidR="00D1465E" w:rsidRPr="001A0F4D" w14:paraId="4CE55403" w14:textId="77777777" w:rsidTr="0048678F">
        <w:trPr>
          <w:jc w:val="center"/>
        </w:trPr>
        <w:tc>
          <w:tcPr>
            <w:tcW w:w="1080" w:type="dxa"/>
            <w:vMerge/>
          </w:tcPr>
          <w:p w14:paraId="5576B34B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5C92667" w14:textId="3C73714B" w:rsidR="00D1465E" w:rsidRPr="001A0F4D" w:rsidRDefault="00742309" w:rsidP="00D1465E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742309">
              <w:rPr>
                <w:rFonts w:cs="Calibri"/>
                <w:i/>
                <w:iCs/>
                <w:color w:val="000000"/>
                <w:sz w:val="20"/>
                <w:lang w:val="ru-RU"/>
              </w:rPr>
              <w:t xml:space="preserve">Вклад группы стран </w:t>
            </w:r>
            <w:r w:rsidR="00D1465E" w:rsidRPr="001A0F4D">
              <w:rPr>
                <w:rFonts w:cs="Calibri"/>
                <w:color w:val="000000"/>
                <w:sz w:val="20"/>
                <w:lang w:val="ru-RU"/>
              </w:rPr>
              <w:t>– Рекомендации по совершенствованию управления людскими ресурсами в МСЭ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0D3154F" w14:textId="60C04692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99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C25/8</w:t>
              </w:r>
              <w:r w:rsidR="00742309">
                <w:rPr>
                  <w:rStyle w:val="Hyperlink"/>
                  <w:rFonts w:cs="Calibri"/>
                  <w:sz w:val="20"/>
                  <w:lang w:val="fr-CH"/>
                </w:rPr>
                <w:t>5(Rev.1)</w:t>
              </w:r>
            </w:hyperlink>
          </w:p>
        </w:tc>
      </w:tr>
      <w:tr w:rsidR="00D1465E" w:rsidRPr="001A0F4D" w14:paraId="76B93EA5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BD97629" w14:textId="5D634544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  <w:r w:rsidRPr="001A0F4D">
              <w:rPr>
                <w:rFonts w:cs="Calibri"/>
                <w:bCs/>
                <w:sz w:val="20"/>
                <w:lang w:val="ru-RU"/>
              </w:rPr>
              <w:t>3.2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096CC2D" w14:textId="6612EA02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Изменение условий службы в общей системе Организации Объединенных Наций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423A68C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00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C25/23</w:t>
              </w:r>
            </w:hyperlink>
          </w:p>
        </w:tc>
      </w:tr>
      <w:tr w:rsidR="00D1465E" w:rsidRPr="001A0F4D" w14:paraId="18EFDE5D" w14:textId="77777777" w:rsidTr="007E5450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808080"/>
            </w:tcBorders>
          </w:tcPr>
          <w:p w14:paraId="3BA52E76" w14:textId="77E3CAF4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  <w:r w:rsidRPr="001A0F4D">
              <w:rPr>
                <w:rFonts w:cs="Calibri"/>
                <w:bCs/>
                <w:sz w:val="20"/>
                <w:lang w:val="ru-RU"/>
              </w:rPr>
              <w:t>3.3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AF43BB5" w14:textId="651318D9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Обновленная информация о проекте, связанном с помещениями штаб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noBreakHyphen/>
              <w:t>квартиры Союза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6A37C9A" w14:textId="138ECB5E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01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C25/7(Rev.1)</w:t>
              </w:r>
            </w:hyperlink>
          </w:p>
        </w:tc>
      </w:tr>
      <w:tr w:rsidR="00D1465E" w:rsidRPr="001A0F4D" w14:paraId="38F76F3D" w14:textId="77777777" w:rsidTr="00003051">
        <w:trPr>
          <w:jc w:val="center"/>
        </w:trPr>
        <w:tc>
          <w:tcPr>
            <w:tcW w:w="1080" w:type="dxa"/>
            <w:vMerge/>
          </w:tcPr>
          <w:p w14:paraId="1C98DFF8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FD4FACC" w14:textId="245DF22D" w:rsidR="00D1465E" w:rsidRPr="001A0F4D" w:rsidRDefault="00D1465E" w:rsidP="00D1465E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i/>
                <w:iCs/>
                <w:color w:val="000000"/>
                <w:sz w:val="20"/>
                <w:lang w:val="ru-RU"/>
              </w:rPr>
              <w:t>Вклад Швейцарии</w:t>
            </w:r>
            <w:r w:rsidRPr="001A0F4D">
              <w:rPr>
                <w:rFonts w:cs="Calibri"/>
                <w:color w:val="000000"/>
                <w:sz w:val="20"/>
                <w:lang w:val="ru-RU"/>
              </w:rPr>
              <w:t xml:space="preserve"> − Проект помещений штаб-квартиры Союза – упорядочение основ принятия решений руководящими органами Союза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8A62573" w14:textId="26290612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02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C25/83</w:t>
              </w:r>
            </w:hyperlink>
          </w:p>
        </w:tc>
      </w:tr>
      <w:tr w:rsidR="00D1465E" w:rsidRPr="001A0F4D" w14:paraId="056B31BF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5325506" w14:textId="398B9C51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  <w:r w:rsidRPr="001A0F4D">
              <w:rPr>
                <w:rFonts w:cs="Calibri"/>
                <w:bCs/>
                <w:sz w:val="20"/>
                <w:lang w:val="ru-RU"/>
              </w:rPr>
              <w:t>3.4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6F4ACB5" w14:textId="7F63EDE0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 Консультативной группы Государств-Членов (КГГЧ)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3927A50" w14:textId="434917BE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03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C25/48(Rev.1)</w:t>
              </w:r>
            </w:hyperlink>
          </w:p>
        </w:tc>
      </w:tr>
      <w:tr w:rsidR="00D1465E" w:rsidRPr="001A0F4D" w14:paraId="70CBC9B2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C602853" w14:textId="6D65AD10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  <w:r w:rsidRPr="001A0F4D">
              <w:rPr>
                <w:rFonts w:cs="Calibri"/>
                <w:bCs/>
                <w:sz w:val="20"/>
                <w:lang w:val="ru-RU"/>
              </w:rPr>
              <w:t>3.5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FF80459" w14:textId="0385FB91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Обновление Стратегического плана в отношении комплекса зданий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8CB781D" w14:textId="5FBB06A3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04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C25/6</w:t>
              </w:r>
              <w:r w:rsidR="00742309">
                <w:rPr>
                  <w:rStyle w:val="Hyperlink"/>
                  <w:rFonts w:cs="Calibri"/>
                  <w:sz w:val="20"/>
                  <w:lang w:val="fr-CH"/>
                </w:rPr>
                <w:t>3(Rev.1)</w:t>
              </w:r>
            </w:hyperlink>
          </w:p>
        </w:tc>
      </w:tr>
      <w:tr w:rsidR="00D1465E" w:rsidRPr="001A0F4D" w14:paraId="63BFFEA4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505B7B6" w14:textId="050F12E4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3.6</w:t>
            </w: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765994F" w14:textId="64E93066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Условия обеспечения непрерывности деятельности для собраний МСЭ в </w:t>
            </w:r>
            <w:proofErr w:type="gramStart"/>
            <w:r w:rsidRPr="001A0F4D">
              <w:rPr>
                <w:rFonts w:cs="Calibri"/>
                <w:color w:val="000000"/>
                <w:sz w:val="20"/>
                <w:lang w:val="ru-RU"/>
              </w:rPr>
              <w:t>2028−2029</w:t>
            </w:r>
            <w:proofErr w:type="gramEnd"/>
            <w:r w:rsidRPr="001A0F4D">
              <w:rPr>
                <w:rFonts w:cs="Calibri"/>
                <w:color w:val="000000"/>
                <w:sz w:val="20"/>
                <w:lang w:val="ru-RU"/>
              </w:rPr>
              <w:t> годах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FB73D85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05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C25/60</w:t>
              </w:r>
            </w:hyperlink>
          </w:p>
        </w:tc>
      </w:tr>
      <w:tr w:rsidR="00D1465E" w:rsidRPr="00742309" w14:paraId="213AFFC6" w14:textId="77777777" w:rsidTr="007E5450">
        <w:trPr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5798C600" w14:textId="77777777" w:rsidR="00D1465E" w:rsidRPr="001A0F4D" w:rsidRDefault="00D1465E" w:rsidP="00D1465E">
            <w:pPr>
              <w:keepNext/>
              <w:keepLines/>
              <w:spacing w:before="60" w:after="6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1AF0C179" w14:textId="718AE48B" w:rsidR="00D1465E" w:rsidRPr="001A0F4D" w:rsidRDefault="00D1465E" w:rsidP="00D1465E">
            <w:pPr>
              <w:keepNext/>
              <w:keepLines/>
              <w:spacing w:before="60" w:after="60"/>
              <w:rPr>
                <w:rFonts w:cs="Calibri"/>
                <w:b/>
                <w:sz w:val="20"/>
                <w:lang w:val="ru-RU"/>
              </w:rPr>
            </w:pPr>
            <w:r w:rsidRPr="001A0F4D">
              <w:rPr>
                <w:rFonts w:cs="Calibri"/>
                <w:b/>
                <w:bCs/>
                <w:color w:val="000000"/>
                <w:sz w:val="20"/>
                <w:lang w:val="ru-RU"/>
              </w:rPr>
              <w:t>ДОКУМЕНТЫ ДЛЯ ИНФОРМАЦИИ И ПРОЧИЕ ДОКУМЕНТЫ</w:t>
            </w:r>
          </w:p>
        </w:tc>
      </w:tr>
      <w:tr w:rsidR="00D1465E" w:rsidRPr="001A0F4D" w14:paraId="023783E0" w14:textId="77777777" w:rsidTr="007E5450">
        <w:trPr>
          <w:jc w:val="center"/>
        </w:trPr>
        <w:tc>
          <w:tcPr>
            <w:tcW w:w="1080" w:type="dxa"/>
          </w:tcPr>
          <w:p w14:paraId="6F7306F9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2ADF7991" w14:textId="6AFFBC3B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Последующие меры в связи с рекомендациями судебно-бухгалтерской экспертизы и внутреннего аудита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5A4773EF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06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C25/INF/1</w:t>
              </w:r>
            </w:hyperlink>
          </w:p>
        </w:tc>
      </w:tr>
      <w:tr w:rsidR="00D1465E" w:rsidRPr="001A0F4D" w14:paraId="06B26774" w14:textId="77777777" w:rsidTr="007E5450">
        <w:trPr>
          <w:jc w:val="center"/>
        </w:trPr>
        <w:tc>
          <w:tcPr>
            <w:tcW w:w="1080" w:type="dxa"/>
          </w:tcPr>
          <w:p w14:paraId="26CAD901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4EF3D0C9" w14:textId="1FF7874A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Положение с задолженностями в Союзе, по состоянию на 31 марта 2025 года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7A9D7C31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07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C25/INF/2</w:t>
              </w:r>
            </w:hyperlink>
          </w:p>
        </w:tc>
      </w:tr>
      <w:tr w:rsidR="00D1465E" w:rsidRPr="001A0F4D" w14:paraId="2B075DB1" w14:textId="77777777" w:rsidTr="007E5450">
        <w:trPr>
          <w:jc w:val="center"/>
        </w:trPr>
        <w:tc>
          <w:tcPr>
            <w:tcW w:w="1080" w:type="dxa"/>
          </w:tcPr>
          <w:p w14:paraId="0537862A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3E22B580" w14:textId="46CA78A5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Отчеты, которые требуется представлять в соответствии с Резолюцией 218 (Бухарест, 2022 г.)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5499CAD6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08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C25/INF/3</w:t>
              </w:r>
            </w:hyperlink>
          </w:p>
        </w:tc>
      </w:tr>
      <w:tr w:rsidR="00D1465E" w:rsidRPr="001A0F4D" w14:paraId="37B678C1" w14:textId="77777777" w:rsidTr="007E5450">
        <w:trPr>
          <w:jc w:val="center"/>
        </w:trPr>
        <w:tc>
          <w:tcPr>
            <w:tcW w:w="1080" w:type="dxa"/>
          </w:tcPr>
          <w:p w14:paraId="54A222FF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6B25665A" w14:textId="0A66010F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Ход осуществления проектов, финансируемых Фондом развития информационно-коммуникационных технологий (ФРИКТ)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14D4831C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09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C25/INF/4</w:t>
              </w:r>
            </w:hyperlink>
          </w:p>
        </w:tc>
      </w:tr>
      <w:tr w:rsidR="00D1465E" w:rsidRPr="001A0F4D" w14:paraId="278DFCE8" w14:textId="77777777" w:rsidTr="007E5450">
        <w:trPr>
          <w:jc w:val="center"/>
        </w:trPr>
        <w:tc>
          <w:tcPr>
            <w:tcW w:w="1080" w:type="dxa"/>
          </w:tcPr>
          <w:p w14:paraId="6E4344B3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  <w:tc>
          <w:tcPr>
            <w:tcW w:w="6712" w:type="dxa"/>
          </w:tcPr>
          <w:p w14:paraId="25AF76E6" w14:textId="22057D71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Вклад Совета МСЭ для Политического форума высокого уровня по устойчивому развитию (ПФВУ) 2025 года</w:t>
            </w:r>
          </w:p>
        </w:tc>
        <w:tc>
          <w:tcPr>
            <w:tcW w:w="1620" w:type="dxa"/>
          </w:tcPr>
          <w:p w14:paraId="5771105F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10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C25/INF/5</w:t>
              </w:r>
            </w:hyperlink>
          </w:p>
        </w:tc>
      </w:tr>
      <w:tr w:rsidR="00D1465E" w:rsidRPr="001A0F4D" w14:paraId="3638CE51" w14:textId="77777777" w:rsidTr="007E5450">
        <w:trPr>
          <w:jc w:val="center"/>
        </w:trPr>
        <w:tc>
          <w:tcPr>
            <w:tcW w:w="1080" w:type="dxa"/>
          </w:tcPr>
          <w:p w14:paraId="0D2C1572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  <w:tc>
          <w:tcPr>
            <w:tcW w:w="6712" w:type="dxa"/>
          </w:tcPr>
          <w:p w14:paraId="6F3F5CA0" w14:textId="6B6291F9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Осуществление стратегии МСЭ по мобилизации ресурсов</w:t>
            </w:r>
          </w:p>
        </w:tc>
        <w:tc>
          <w:tcPr>
            <w:tcW w:w="1620" w:type="dxa"/>
          </w:tcPr>
          <w:p w14:paraId="6CD15863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11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C25/INF/6</w:t>
              </w:r>
            </w:hyperlink>
          </w:p>
        </w:tc>
      </w:tr>
      <w:tr w:rsidR="00D1465E" w:rsidRPr="001A0F4D" w14:paraId="3315EBBF" w14:textId="77777777" w:rsidTr="007E5450">
        <w:trPr>
          <w:jc w:val="center"/>
        </w:trPr>
        <w:tc>
          <w:tcPr>
            <w:tcW w:w="1080" w:type="dxa"/>
          </w:tcPr>
          <w:p w14:paraId="3C4FD91C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  <w:tc>
          <w:tcPr>
            <w:tcW w:w="6712" w:type="dxa"/>
          </w:tcPr>
          <w:p w14:paraId="5E48DF49" w14:textId="36F222D6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Проблемы устного перевода на основе ИИ</w:t>
            </w:r>
          </w:p>
        </w:tc>
        <w:tc>
          <w:tcPr>
            <w:tcW w:w="1620" w:type="dxa"/>
          </w:tcPr>
          <w:p w14:paraId="2CAAE4BD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12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C25/INF/7</w:t>
              </w:r>
            </w:hyperlink>
          </w:p>
        </w:tc>
      </w:tr>
      <w:tr w:rsidR="00D1465E" w:rsidRPr="001A0F4D" w14:paraId="66980129" w14:textId="77777777" w:rsidTr="001A0B0F">
        <w:trPr>
          <w:jc w:val="center"/>
        </w:trPr>
        <w:tc>
          <w:tcPr>
            <w:tcW w:w="1080" w:type="dxa"/>
          </w:tcPr>
          <w:p w14:paraId="118A7385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  <w:tc>
          <w:tcPr>
            <w:tcW w:w="6712" w:type="dxa"/>
          </w:tcPr>
          <w:p w14:paraId="077E7C0D" w14:textId="77777777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Сотрудничество с системой Организации Объединенных Наций</w:t>
            </w:r>
          </w:p>
        </w:tc>
        <w:tc>
          <w:tcPr>
            <w:tcW w:w="1620" w:type="dxa"/>
          </w:tcPr>
          <w:p w14:paraId="1A69C42F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13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C25/INF/8</w:t>
              </w:r>
            </w:hyperlink>
          </w:p>
        </w:tc>
      </w:tr>
      <w:tr w:rsidR="00D1465E" w:rsidRPr="001A0F4D" w14:paraId="53752DFC" w14:textId="77777777" w:rsidTr="007E5450">
        <w:trPr>
          <w:jc w:val="center"/>
        </w:trPr>
        <w:tc>
          <w:tcPr>
            <w:tcW w:w="1080" w:type="dxa"/>
          </w:tcPr>
          <w:p w14:paraId="6B01C3FE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  <w:tc>
          <w:tcPr>
            <w:tcW w:w="6712" w:type="dxa"/>
          </w:tcPr>
          <w:p w14:paraId="3DC8DDA9" w14:textId="61948B32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Отчет о доходах по линии добровольных взносов за 2024 год</w:t>
            </w:r>
          </w:p>
        </w:tc>
        <w:tc>
          <w:tcPr>
            <w:tcW w:w="1620" w:type="dxa"/>
          </w:tcPr>
          <w:p w14:paraId="5DEC75EF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14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C25/INF/9</w:t>
              </w:r>
            </w:hyperlink>
          </w:p>
        </w:tc>
      </w:tr>
      <w:tr w:rsidR="00D1465E" w:rsidRPr="001A0F4D" w14:paraId="099BF3C8" w14:textId="77777777" w:rsidTr="007E5450">
        <w:trPr>
          <w:jc w:val="center"/>
        </w:trPr>
        <w:tc>
          <w:tcPr>
            <w:tcW w:w="1080" w:type="dxa"/>
          </w:tcPr>
          <w:p w14:paraId="6A1962F8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  <w:tc>
          <w:tcPr>
            <w:tcW w:w="6712" w:type="dxa"/>
          </w:tcPr>
          <w:p w14:paraId="6AF6A559" w14:textId="19DE9656" w:rsidR="00D1465E" w:rsidRPr="001A0F4D" w:rsidRDefault="00D1465E" w:rsidP="00D1465E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Письмо о намерениях между МСЭ и Индией в отношении перспективного планирования инфраструктуры с использованием цифровых двойников</w:t>
            </w:r>
          </w:p>
        </w:tc>
        <w:tc>
          <w:tcPr>
            <w:tcW w:w="1620" w:type="dxa"/>
          </w:tcPr>
          <w:p w14:paraId="13323EB2" w14:textId="491C5A35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15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C25/INF/11</w:t>
              </w:r>
            </w:hyperlink>
          </w:p>
        </w:tc>
      </w:tr>
      <w:tr w:rsidR="00D1465E" w:rsidRPr="001A0F4D" w14:paraId="79CAFE33" w14:textId="77777777" w:rsidTr="007E5450">
        <w:trPr>
          <w:jc w:val="center"/>
        </w:trPr>
        <w:tc>
          <w:tcPr>
            <w:tcW w:w="1080" w:type="dxa"/>
          </w:tcPr>
          <w:p w14:paraId="727289B3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  <w:tc>
          <w:tcPr>
            <w:tcW w:w="6712" w:type="dxa"/>
          </w:tcPr>
          <w:p w14:paraId="2F1980EE" w14:textId="56213748" w:rsidR="00D1465E" w:rsidRPr="001A0F4D" w:rsidRDefault="00D1465E" w:rsidP="00D1465E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Письмо о намерениях между МСЭ и Индией в отношении стипендий аспирантам для стимулирования цифровых инноваций в области технологий электросвязи</w:t>
            </w:r>
          </w:p>
        </w:tc>
        <w:tc>
          <w:tcPr>
            <w:tcW w:w="1620" w:type="dxa"/>
          </w:tcPr>
          <w:p w14:paraId="0073E954" w14:textId="5FBD6E68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16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C25/INF/12</w:t>
              </w:r>
            </w:hyperlink>
          </w:p>
        </w:tc>
      </w:tr>
      <w:tr w:rsidR="00D1465E" w:rsidRPr="001A0F4D" w14:paraId="700DDA46" w14:textId="77777777" w:rsidTr="007E5450">
        <w:trPr>
          <w:jc w:val="center"/>
        </w:trPr>
        <w:tc>
          <w:tcPr>
            <w:tcW w:w="1080" w:type="dxa"/>
          </w:tcPr>
          <w:p w14:paraId="2C183999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  <w:tc>
          <w:tcPr>
            <w:tcW w:w="6712" w:type="dxa"/>
          </w:tcPr>
          <w:p w14:paraId="38667527" w14:textId="3C03EFAC" w:rsidR="00D1465E" w:rsidRPr="001A0F4D" w:rsidRDefault="00D1465E" w:rsidP="00D1465E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Пакет решений Индии в области цифровой трансформации, предназначенный для развивающихся стран, наименее развитых стран и</w:t>
            </w:r>
            <w:r>
              <w:rPr>
                <w:rFonts w:cs="Calibri"/>
                <w:sz w:val="20"/>
                <w:lang w:val="en-US"/>
              </w:rPr>
              <w:t> </w:t>
            </w:r>
            <w:r w:rsidRPr="001A0F4D">
              <w:rPr>
                <w:rFonts w:cs="Calibri"/>
                <w:sz w:val="20"/>
                <w:lang w:val="ru-RU"/>
              </w:rPr>
              <w:t>малых островных развивающихся государств</w:t>
            </w:r>
          </w:p>
        </w:tc>
        <w:tc>
          <w:tcPr>
            <w:tcW w:w="1620" w:type="dxa"/>
          </w:tcPr>
          <w:p w14:paraId="4DA93973" w14:textId="01416CBE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17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C25/INF/13</w:t>
              </w:r>
            </w:hyperlink>
          </w:p>
        </w:tc>
      </w:tr>
      <w:tr w:rsidR="00D1465E" w:rsidRPr="001A0F4D" w14:paraId="30B14DFB" w14:textId="77777777" w:rsidTr="007E5450">
        <w:trPr>
          <w:jc w:val="center"/>
        </w:trPr>
        <w:tc>
          <w:tcPr>
            <w:tcW w:w="1080" w:type="dxa"/>
          </w:tcPr>
          <w:p w14:paraId="619C1BC3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  <w:tc>
          <w:tcPr>
            <w:tcW w:w="6712" w:type="dxa"/>
          </w:tcPr>
          <w:p w14:paraId="3CE2044C" w14:textId="3B060AF0" w:rsidR="00D1465E" w:rsidRPr="001A0F4D" w:rsidRDefault="00D1465E" w:rsidP="00D1465E">
            <w:pPr>
              <w:spacing w:before="60" w:after="60"/>
              <w:rPr>
                <w:rFonts w:cs="Calibri"/>
                <w:color w:val="000000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Дополнительная информация о Глобальном симпозиуме по стандартам (ГСС-24) и Всемирной ассамблее по стандартизации электросвязи (ВАСЭ</w:t>
            </w:r>
            <w:r>
              <w:rPr>
                <w:rFonts w:cs="Calibri"/>
                <w:sz w:val="20"/>
                <w:lang w:val="ru-RU"/>
              </w:rPr>
              <w:noBreakHyphen/>
            </w:r>
            <w:r w:rsidRPr="001A0F4D">
              <w:rPr>
                <w:rFonts w:cs="Calibri"/>
                <w:sz w:val="20"/>
                <w:lang w:val="ru-RU"/>
              </w:rPr>
              <w:t>24)</w:t>
            </w:r>
          </w:p>
        </w:tc>
        <w:tc>
          <w:tcPr>
            <w:tcW w:w="1620" w:type="dxa"/>
          </w:tcPr>
          <w:p w14:paraId="45CBA622" w14:textId="45F56A26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hyperlink r:id="rId118" w:history="1">
              <w:r w:rsidRPr="001A0F4D">
                <w:rPr>
                  <w:rStyle w:val="Hyperlink"/>
                  <w:rFonts w:cs="Calibri"/>
                  <w:sz w:val="20"/>
                  <w:lang w:val="ru-RU"/>
                </w:rPr>
                <w:t>C25/INF/14</w:t>
              </w:r>
            </w:hyperlink>
          </w:p>
        </w:tc>
      </w:tr>
      <w:tr w:rsidR="00D1465E" w:rsidRPr="001A0F4D" w14:paraId="6D32E7F6" w14:textId="77777777" w:rsidTr="007E5450">
        <w:trPr>
          <w:jc w:val="center"/>
        </w:trPr>
        <w:tc>
          <w:tcPr>
            <w:tcW w:w="1080" w:type="dxa"/>
          </w:tcPr>
          <w:p w14:paraId="48D4537D" w14:textId="77777777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  <w:tc>
          <w:tcPr>
            <w:tcW w:w="6712" w:type="dxa"/>
          </w:tcPr>
          <w:p w14:paraId="1493B0B7" w14:textId="6D83CC28" w:rsidR="00D1465E" w:rsidRPr="001A0F4D" w:rsidRDefault="00D1465E" w:rsidP="00D1465E">
            <w:pPr>
              <w:spacing w:before="60" w:after="60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color w:val="000000"/>
                <w:sz w:val="20"/>
                <w:lang w:val="ru-RU"/>
              </w:rPr>
              <w:t>Заявление Совета персонала</w:t>
            </w:r>
          </w:p>
        </w:tc>
        <w:tc>
          <w:tcPr>
            <w:tcW w:w="1620" w:type="dxa"/>
          </w:tcPr>
          <w:p w14:paraId="00EF08D8" w14:textId="1AACEC6F" w:rsidR="00D1465E" w:rsidRPr="001A0F4D" w:rsidRDefault="00D1465E" w:rsidP="00D1465E">
            <w:pPr>
              <w:spacing w:before="60" w:after="60"/>
              <w:jc w:val="center"/>
              <w:rPr>
                <w:rFonts w:cs="Calibri"/>
                <w:sz w:val="20"/>
                <w:lang w:val="ru-RU"/>
              </w:rPr>
            </w:pPr>
            <w:r w:rsidRPr="001A0F4D">
              <w:rPr>
                <w:rFonts w:cs="Calibri"/>
                <w:sz w:val="20"/>
                <w:lang w:val="ru-RU"/>
              </w:rPr>
              <w:t>−</w:t>
            </w:r>
          </w:p>
        </w:tc>
      </w:tr>
    </w:tbl>
    <w:p w14:paraId="4B1818AA" w14:textId="77777777" w:rsidR="00796BD3" w:rsidRPr="001A0F4D" w:rsidRDefault="00C462C5" w:rsidP="00D1465E">
      <w:pPr>
        <w:spacing w:before="720"/>
        <w:jc w:val="center"/>
        <w:rPr>
          <w:lang w:val="ru-RU"/>
        </w:rPr>
      </w:pPr>
      <w:r w:rsidRPr="001A0F4D">
        <w:rPr>
          <w:lang w:val="ru-RU"/>
        </w:rPr>
        <w:t>______________</w:t>
      </w:r>
    </w:p>
    <w:sectPr w:rsidR="00796BD3" w:rsidRPr="001A0F4D" w:rsidSect="00796BD3">
      <w:headerReference w:type="even" r:id="rId119"/>
      <w:headerReference w:type="default" r:id="rId120"/>
      <w:footerReference w:type="even" r:id="rId121"/>
      <w:footerReference w:type="default" r:id="rId122"/>
      <w:headerReference w:type="first" r:id="rId123"/>
      <w:footerReference w:type="first" r:id="rId12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B761D" w14:textId="77777777" w:rsidR="000D0601" w:rsidRDefault="000D0601">
      <w:r>
        <w:separator/>
      </w:r>
    </w:p>
  </w:endnote>
  <w:endnote w:type="continuationSeparator" w:id="0">
    <w:p w14:paraId="28D71A55" w14:textId="77777777" w:rsidR="000D0601" w:rsidRDefault="000D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698E6" w14:textId="77777777" w:rsidR="003D0241" w:rsidRDefault="003D0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4071908" w14:textId="77777777" w:rsidTr="00E31DCE">
      <w:trPr>
        <w:jc w:val="center"/>
      </w:trPr>
      <w:tc>
        <w:tcPr>
          <w:tcW w:w="1803" w:type="dxa"/>
          <w:vAlign w:val="center"/>
        </w:tcPr>
        <w:p w14:paraId="54E1EF73" w14:textId="0E026EC3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7AAC034A" w14:textId="03794D84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5F4870">
            <w:rPr>
              <w:bCs/>
              <w:lang w:val="ru-RU"/>
            </w:rPr>
            <w:t>1</w:t>
          </w:r>
          <w:r w:rsidR="0023463C">
            <w:rPr>
              <w:bCs/>
              <w:lang w:val="en-US"/>
            </w:rPr>
            <w:t>(Rev.</w:t>
          </w:r>
          <w:r w:rsidR="00E352BA">
            <w:rPr>
              <w:bCs/>
              <w:lang w:val="en-US"/>
            </w:rPr>
            <w:t>3</w:t>
          </w:r>
          <w:r w:rsidR="0023463C">
            <w:rPr>
              <w:bCs/>
              <w:lang w:val="en-US"/>
            </w:rPr>
            <w:t>)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F581828" w14:textId="77777777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BBEFA15" w14:textId="77777777" w:rsidTr="00E31DCE">
      <w:trPr>
        <w:jc w:val="center"/>
      </w:trPr>
      <w:tc>
        <w:tcPr>
          <w:tcW w:w="1803" w:type="dxa"/>
          <w:vAlign w:val="center"/>
        </w:tcPr>
        <w:p w14:paraId="3D3E6CEB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1EE53F6D" w14:textId="2982A5F6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90553F">
            <w:rPr>
              <w:bCs/>
              <w:lang w:val="ru-RU"/>
            </w:rPr>
            <w:t>1</w:t>
          </w:r>
          <w:r w:rsidR="0023463C">
            <w:rPr>
              <w:bCs/>
              <w:lang w:val="ru-RU"/>
            </w:rPr>
            <w:t>(</w:t>
          </w:r>
          <w:r w:rsidR="0023463C">
            <w:rPr>
              <w:bCs/>
              <w:lang w:val="en-US"/>
            </w:rPr>
            <w:t>Rev.</w:t>
          </w:r>
          <w:r w:rsidR="00E352BA">
            <w:rPr>
              <w:bCs/>
              <w:lang w:val="en-US"/>
            </w:rPr>
            <w:t>3</w:t>
          </w:r>
          <w:r w:rsidR="0023463C">
            <w:rPr>
              <w:bCs/>
              <w:lang w:val="ru-RU"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88CEE64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ACB28" w14:textId="77777777" w:rsidR="000D0601" w:rsidRDefault="000D0601">
      <w:r>
        <w:t>____________________</w:t>
      </w:r>
    </w:p>
  </w:footnote>
  <w:footnote w:type="continuationSeparator" w:id="0">
    <w:p w14:paraId="5D39C7E8" w14:textId="77777777" w:rsidR="000D0601" w:rsidRDefault="000D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6A92B" w14:textId="77777777" w:rsidR="003D0241" w:rsidRDefault="003D0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03CE3" w14:textId="77777777" w:rsidR="003D0241" w:rsidRDefault="003D02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4BD00566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383D1CD6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038C0137" wp14:editId="2D17561A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1B880261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66C02CF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4EE2FB" wp14:editId="3466B896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72CAC7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9E"/>
    <w:rsid w:val="00005BE0"/>
    <w:rsid w:val="00013114"/>
    <w:rsid w:val="0002183E"/>
    <w:rsid w:val="000326CD"/>
    <w:rsid w:val="000569B4"/>
    <w:rsid w:val="0006007D"/>
    <w:rsid w:val="00062A6A"/>
    <w:rsid w:val="00070851"/>
    <w:rsid w:val="00080E82"/>
    <w:rsid w:val="000B2DE7"/>
    <w:rsid w:val="000B450B"/>
    <w:rsid w:val="000D0601"/>
    <w:rsid w:val="000E568E"/>
    <w:rsid w:val="001022CD"/>
    <w:rsid w:val="00136444"/>
    <w:rsid w:val="0014229E"/>
    <w:rsid w:val="0014734F"/>
    <w:rsid w:val="00156890"/>
    <w:rsid w:val="0015710D"/>
    <w:rsid w:val="00163A32"/>
    <w:rsid w:val="00165D06"/>
    <w:rsid w:val="00184255"/>
    <w:rsid w:val="0018473C"/>
    <w:rsid w:val="00192B41"/>
    <w:rsid w:val="001A0F4D"/>
    <w:rsid w:val="001B7B09"/>
    <w:rsid w:val="001E6719"/>
    <w:rsid w:val="001E7F50"/>
    <w:rsid w:val="00225368"/>
    <w:rsid w:val="00227FF0"/>
    <w:rsid w:val="0023463C"/>
    <w:rsid w:val="00291EB6"/>
    <w:rsid w:val="002C3F32"/>
    <w:rsid w:val="002D2F57"/>
    <w:rsid w:val="002D48C5"/>
    <w:rsid w:val="0033025A"/>
    <w:rsid w:val="00345D2A"/>
    <w:rsid w:val="00365C87"/>
    <w:rsid w:val="003D0241"/>
    <w:rsid w:val="003D45C5"/>
    <w:rsid w:val="003D4FF5"/>
    <w:rsid w:val="003F099E"/>
    <w:rsid w:val="003F235E"/>
    <w:rsid w:val="00401FD7"/>
    <w:rsid w:val="004023E0"/>
    <w:rsid w:val="00403DD8"/>
    <w:rsid w:val="00411DB6"/>
    <w:rsid w:val="0042351E"/>
    <w:rsid w:val="0044212E"/>
    <w:rsid w:val="00442515"/>
    <w:rsid w:val="0045686C"/>
    <w:rsid w:val="004918C4"/>
    <w:rsid w:val="00497703"/>
    <w:rsid w:val="004A0374"/>
    <w:rsid w:val="004A1E0C"/>
    <w:rsid w:val="004A45B5"/>
    <w:rsid w:val="004D0129"/>
    <w:rsid w:val="00507EDA"/>
    <w:rsid w:val="00515795"/>
    <w:rsid w:val="00551ED8"/>
    <w:rsid w:val="00580BD3"/>
    <w:rsid w:val="005A64D5"/>
    <w:rsid w:val="005B3DEC"/>
    <w:rsid w:val="005D1DA5"/>
    <w:rsid w:val="005E2784"/>
    <w:rsid w:val="005F4870"/>
    <w:rsid w:val="00601994"/>
    <w:rsid w:val="006339AE"/>
    <w:rsid w:val="00660449"/>
    <w:rsid w:val="00672F8A"/>
    <w:rsid w:val="006E2D42"/>
    <w:rsid w:val="00703676"/>
    <w:rsid w:val="00707304"/>
    <w:rsid w:val="00732269"/>
    <w:rsid w:val="00742309"/>
    <w:rsid w:val="00762555"/>
    <w:rsid w:val="0077110E"/>
    <w:rsid w:val="00785ABD"/>
    <w:rsid w:val="00796BD3"/>
    <w:rsid w:val="007A2DD4"/>
    <w:rsid w:val="007D38B5"/>
    <w:rsid w:val="007E7EA0"/>
    <w:rsid w:val="007F1C75"/>
    <w:rsid w:val="00807255"/>
    <w:rsid w:val="0081023E"/>
    <w:rsid w:val="008173AA"/>
    <w:rsid w:val="00840A14"/>
    <w:rsid w:val="00881C8A"/>
    <w:rsid w:val="008A7D24"/>
    <w:rsid w:val="008B1949"/>
    <w:rsid w:val="008B5FBE"/>
    <w:rsid w:val="008B62B4"/>
    <w:rsid w:val="008D2D7B"/>
    <w:rsid w:val="008E0737"/>
    <w:rsid w:val="008E6FA0"/>
    <w:rsid w:val="008E70F8"/>
    <w:rsid w:val="008F7C2C"/>
    <w:rsid w:val="00904658"/>
    <w:rsid w:val="009049BC"/>
    <w:rsid w:val="0090553F"/>
    <w:rsid w:val="00940E96"/>
    <w:rsid w:val="00950A82"/>
    <w:rsid w:val="009707E5"/>
    <w:rsid w:val="00987AC6"/>
    <w:rsid w:val="009A5F83"/>
    <w:rsid w:val="009B0BAE"/>
    <w:rsid w:val="009C1C89"/>
    <w:rsid w:val="009D0461"/>
    <w:rsid w:val="009F3448"/>
    <w:rsid w:val="009F7B47"/>
    <w:rsid w:val="00A01CF9"/>
    <w:rsid w:val="00A20B63"/>
    <w:rsid w:val="00A27F03"/>
    <w:rsid w:val="00A71773"/>
    <w:rsid w:val="00AE2C85"/>
    <w:rsid w:val="00B0107F"/>
    <w:rsid w:val="00B12A37"/>
    <w:rsid w:val="00B41837"/>
    <w:rsid w:val="00B63EF2"/>
    <w:rsid w:val="00BA7D89"/>
    <w:rsid w:val="00BC0D39"/>
    <w:rsid w:val="00BC7BC0"/>
    <w:rsid w:val="00BD57B7"/>
    <w:rsid w:val="00BE63E2"/>
    <w:rsid w:val="00C3624C"/>
    <w:rsid w:val="00C462C5"/>
    <w:rsid w:val="00CD2009"/>
    <w:rsid w:val="00CF629C"/>
    <w:rsid w:val="00D02A98"/>
    <w:rsid w:val="00D1465E"/>
    <w:rsid w:val="00D631AA"/>
    <w:rsid w:val="00D92EEA"/>
    <w:rsid w:val="00DA5D4E"/>
    <w:rsid w:val="00DA770A"/>
    <w:rsid w:val="00DB3986"/>
    <w:rsid w:val="00DB4ACE"/>
    <w:rsid w:val="00E05752"/>
    <w:rsid w:val="00E17684"/>
    <w:rsid w:val="00E176BA"/>
    <w:rsid w:val="00E352BA"/>
    <w:rsid w:val="00E423EC"/>
    <w:rsid w:val="00E55121"/>
    <w:rsid w:val="00EB4FCB"/>
    <w:rsid w:val="00EB69EC"/>
    <w:rsid w:val="00EC6BC5"/>
    <w:rsid w:val="00EE369E"/>
    <w:rsid w:val="00F348D0"/>
    <w:rsid w:val="00F35898"/>
    <w:rsid w:val="00F5225B"/>
    <w:rsid w:val="00F74E36"/>
    <w:rsid w:val="00F902F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251EB9"/>
  <w15:docId w15:val="{FD758974-81B8-47E4-B499-EEFD3541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3D4FF5"/>
    <w:pPr>
      <w:framePr w:hSpace="180" w:wrap="around" w:hAnchor="page" w:x="1821" w:y="2317"/>
      <w:spacing w:before="120" w:after="160"/>
      <w:jc w:val="left"/>
    </w:pPr>
    <w:rPr>
      <w:caps w:val="0"/>
      <w:sz w:val="32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1364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52BA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5-CL-C-0081/en" TargetMode="External"/><Relationship Id="rId117" Type="http://schemas.openxmlformats.org/officeDocument/2006/relationships/hyperlink" Target="https://www.itu.int/md/S25-CL-INF-0013/en" TargetMode="External"/><Relationship Id="rId21" Type="http://schemas.openxmlformats.org/officeDocument/2006/relationships/hyperlink" Target="https://www.itu.int/md/S25-CL-C-0080/en" TargetMode="External"/><Relationship Id="rId42" Type="http://schemas.openxmlformats.org/officeDocument/2006/relationships/hyperlink" Target="https://www.itu.int/md/S25-CL-C-0024/en" TargetMode="External"/><Relationship Id="rId47" Type="http://schemas.openxmlformats.org/officeDocument/2006/relationships/hyperlink" Target="https://www.itu.int/md/S25-CL-C-0079/en" TargetMode="External"/><Relationship Id="rId63" Type="http://schemas.openxmlformats.org/officeDocument/2006/relationships/hyperlink" Target="https://www.itu.int/md/S25-CL-C-0093/en" TargetMode="External"/><Relationship Id="rId68" Type="http://schemas.openxmlformats.org/officeDocument/2006/relationships/hyperlink" Target="https://www.itu.int/md/S25-CL-C-0013/en" TargetMode="External"/><Relationship Id="rId84" Type="http://schemas.openxmlformats.org/officeDocument/2006/relationships/hyperlink" Target="https://www.itu.int/md/S25-CL-C-0054/en" TargetMode="External"/><Relationship Id="rId89" Type="http://schemas.openxmlformats.org/officeDocument/2006/relationships/hyperlink" Target="https://www.itu.int/md/S25-CL-C-0042/en" TargetMode="External"/><Relationship Id="rId112" Type="http://schemas.openxmlformats.org/officeDocument/2006/relationships/hyperlink" Target="https://www.itu.int/md/S25-CL-INF-0007/en" TargetMode="External"/><Relationship Id="rId16" Type="http://schemas.openxmlformats.org/officeDocument/2006/relationships/hyperlink" Target="https://www.itu.int/md/S25-CL-C-0026/en" TargetMode="External"/><Relationship Id="rId107" Type="http://schemas.openxmlformats.org/officeDocument/2006/relationships/hyperlink" Target="https://www.itu.int/md/S25-CL-INF-0002/en" TargetMode="External"/><Relationship Id="rId11" Type="http://schemas.openxmlformats.org/officeDocument/2006/relationships/hyperlink" Target="https://www.itu.int/md/S25-CL-C-0025/en" TargetMode="External"/><Relationship Id="rId32" Type="http://schemas.openxmlformats.org/officeDocument/2006/relationships/hyperlink" Target="https://www.itu.int/md/S25-CL-C-0056/en" TargetMode="External"/><Relationship Id="rId37" Type="http://schemas.openxmlformats.org/officeDocument/2006/relationships/hyperlink" Target="https://www.itu.int/md/S25-CL-C-0100/en" TargetMode="External"/><Relationship Id="rId53" Type="http://schemas.openxmlformats.org/officeDocument/2006/relationships/hyperlink" Target="https://www.itu.int/md/S25-CL-C-0077/en" TargetMode="External"/><Relationship Id="rId58" Type="http://schemas.openxmlformats.org/officeDocument/2006/relationships/hyperlink" Target="https://www.itu.int/md/S25-CL-C-0090/en" TargetMode="External"/><Relationship Id="rId74" Type="http://schemas.openxmlformats.org/officeDocument/2006/relationships/hyperlink" Target="https://www.itu.int/md/S25-CL-C-0074/en" TargetMode="External"/><Relationship Id="rId79" Type="http://schemas.openxmlformats.org/officeDocument/2006/relationships/hyperlink" Target="https://www.itu.int/md/S25-CL-C-0075/en" TargetMode="External"/><Relationship Id="rId102" Type="http://schemas.openxmlformats.org/officeDocument/2006/relationships/hyperlink" Target="https://www.itu.int/md/S25-CL-C-0083/en" TargetMode="External"/><Relationship Id="rId123" Type="http://schemas.openxmlformats.org/officeDocument/2006/relationships/header" Target="header3.xml"/><Relationship Id="rId5" Type="http://schemas.openxmlformats.org/officeDocument/2006/relationships/footnotes" Target="footnotes.xml"/><Relationship Id="rId90" Type="http://schemas.openxmlformats.org/officeDocument/2006/relationships/hyperlink" Target="https://www.itu.int/md/S25-CL-C-0044/en" TargetMode="External"/><Relationship Id="rId95" Type="http://schemas.openxmlformats.org/officeDocument/2006/relationships/hyperlink" Target="https://www.itu.int/md/S25-CL-C-0049/en" TargetMode="External"/><Relationship Id="rId22" Type="http://schemas.openxmlformats.org/officeDocument/2006/relationships/hyperlink" Target="https://www.itu.int/md/S25-CL-C-0053/en" TargetMode="External"/><Relationship Id="rId27" Type="http://schemas.openxmlformats.org/officeDocument/2006/relationships/hyperlink" Target="https://www.itu.int/md/S25-CL-C-0006/en" TargetMode="External"/><Relationship Id="rId43" Type="http://schemas.openxmlformats.org/officeDocument/2006/relationships/hyperlink" Target="https://www.itu.int/md/S25-CL-C-0030/en" TargetMode="External"/><Relationship Id="rId48" Type="http://schemas.openxmlformats.org/officeDocument/2006/relationships/hyperlink" Target="https://www.itu.int/md/S25-CL-C-0091/en" TargetMode="External"/><Relationship Id="rId64" Type="http://schemas.openxmlformats.org/officeDocument/2006/relationships/hyperlink" Target="https://www.itu.int/md/S25-CL-C-0094/en" TargetMode="External"/><Relationship Id="rId69" Type="http://schemas.openxmlformats.org/officeDocument/2006/relationships/hyperlink" Target="https://www.itu.int/md/S25-CL-C-0010/en" TargetMode="External"/><Relationship Id="rId113" Type="http://schemas.openxmlformats.org/officeDocument/2006/relationships/hyperlink" Target="https://www.itu.int/md/S25-CL-INF-0008/en" TargetMode="External"/><Relationship Id="rId118" Type="http://schemas.openxmlformats.org/officeDocument/2006/relationships/hyperlink" Target="https://www.itu.int/md/S25-CL-INF-0014/en" TargetMode="External"/><Relationship Id="rId80" Type="http://schemas.openxmlformats.org/officeDocument/2006/relationships/hyperlink" Target="https://www.itu.int/md/S25-CL-C-0095/en" TargetMode="External"/><Relationship Id="rId85" Type="http://schemas.openxmlformats.org/officeDocument/2006/relationships/hyperlink" Target="https://www.itu.int/md/S25-CL-C-0065/en" TargetMode="External"/><Relationship Id="rId12" Type="http://schemas.openxmlformats.org/officeDocument/2006/relationships/hyperlink" Target="https://www.itu.int/md/S25-CL-C-0015/en" TargetMode="External"/><Relationship Id="rId17" Type="http://schemas.openxmlformats.org/officeDocument/2006/relationships/hyperlink" Target="https://www.itu.int/md/S25-CL-C-0092/en" TargetMode="External"/><Relationship Id="rId33" Type="http://schemas.openxmlformats.org/officeDocument/2006/relationships/hyperlink" Target="https://www.itu.int/md/S25-CL-C-0096/en" TargetMode="External"/><Relationship Id="rId38" Type="http://schemas.openxmlformats.org/officeDocument/2006/relationships/hyperlink" Target="https://www.itu.int/md/S25-CL-C-0068/en" TargetMode="External"/><Relationship Id="rId59" Type="http://schemas.openxmlformats.org/officeDocument/2006/relationships/hyperlink" Target="https://www.itu.int/md/S25-CL-C-0050/en" TargetMode="External"/><Relationship Id="rId103" Type="http://schemas.openxmlformats.org/officeDocument/2006/relationships/hyperlink" Target="https://www.itu.int/md/S25-CL-C-0048/en" TargetMode="External"/><Relationship Id="rId108" Type="http://schemas.openxmlformats.org/officeDocument/2006/relationships/hyperlink" Target="https://www.itu.int/md/S25-CL-INF-0003/en" TargetMode="External"/><Relationship Id="rId124" Type="http://schemas.openxmlformats.org/officeDocument/2006/relationships/footer" Target="footer3.xml"/><Relationship Id="rId54" Type="http://schemas.openxmlformats.org/officeDocument/2006/relationships/hyperlink" Target="https://www.itu.int/md/S25-CL-C-0002/en" TargetMode="External"/><Relationship Id="rId70" Type="http://schemas.openxmlformats.org/officeDocument/2006/relationships/hyperlink" Target="https://www.itu.int/md/S25-CL-C-0016/en" TargetMode="External"/><Relationship Id="rId75" Type="http://schemas.openxmlformats.org/officeDocument/2006/relationships/hyperlink" Target="https://www.itu.int/md/S25-CL-C-0009/en" TargetMode="External"/><Relationship Id="rId91" Type="http://schemas.openxmlformats.org/officeDocument/2006/relationships/hyperlink" Target="https://www.itu.int/md/S25-CL-C-0039/en" TargetMode="External"/><Relationship Id="rId96" Type="http://schemas.openxmlformats.org/officeDocument/2006/relationships/hyperlink" Target="https://www.itu.int/md/S25-CL-C-0022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itu.int/md/S25-CL-C-0052/en" TargetMode="External"/><Relationship Id="rId28" Type="http://schemas.openxmlformats.org/officeDocument/2006/relationships/hyperlink" Target="https://www.itu.int/md/S25-CL-C-0032/en" TargetMode="External"/><Relationship Id="rId49" Type="http://schemas.openxmlformats.org/officeDocument/2006/relationships/hyperlink" Target="https://www.itu.int/md/S25-CL-C-0058/en" TargetMode="External"/><Relationship Id="rId114" Type="http://schemas.openxmlformats.org/officeDocument/2006/relationships/hyperlink" Target="https://www.itu.int/md/S25-CL-INF-0009/en" TargetMode="External"/><Relationship Id="rId119" Type="http://schemas.openxmlformats.org/officeDocument/2006/relationships/header" Target="header1.xml"/><Relationship Id="rId44" Type="http://schemas.openxmlformats.org/officeDocument/2006/relationships/hyperlink" Target="https://www.itu.int/md/S25-CL-C-0005/en" TargetMode="External"/><Relationship Id="rId60" Type="http://schemas.openxmlformats.org/officeDocument/2006/relationships/hyperlink" Target="https://www.itu.int/md/S25-CL-C-0084/en" TargetMode="External"/><Relationship Id="rId65" Type="http://schemas.openxmlformats.org/officeDocument/2006/relationships/hyperlink" Target="https://www.itu.int/md/S25-CL-C-0062/en" TargetMode="External"/><Relationship Id="rId81" Type="http://schemas.openxmlformats.org/officeDocument/2006/relationships/hyperlink" Target="https://www.itu.int/md/S25-CL-C-0038/en" TargetMode="External"/><Relationship Id="rId86" Type="http://schemas.openxmlformats.org/officeDocument/2006/relationships/hyperlink" Target="https://www.itu.int/md/S25-CL-C-0020/en" TargetMode="External"/><Relationship Id="rId13" Type="http://schemas.openxmlformats.org/officeDocument/2006/relationships/hyperlink" Target="https://www.itu.int/md/S25-CL-C-0012/en" TargetMode="External"/><Relationship Id="rId18" Type="http://schemas.openxmlformats.org/officeDocument/2006/relationships/hyperlink" Target="https://www.itu.int/md/S25-CL-C-0031/en" TargetMode="External"/><Relationship Id="rId39" Type="http://schemas.openxmlformats.org/officeDocument/2006/relationships/hyperlink" Target="https://www.itu.int/md/S25-CL-C-0071/en" TargetMode="External"/><Relationship Id="rId109" Type="http://schemas.openxmlformats.org/officeDocument/2006/relationships/hyperlink" Target="https://www.itu.int/md/S25-CL-INF-0004/en" TargetMode="External"/><Relationship Id="rId34" Type="http://schemas.openxmlformats.org/officeDocument/2006/relationships/hyperlink" Target="https://www.itu.int/md/S25-CL-C-0017/en" TargetMode="External"/><Relationship Id="rId50" Type="http://schemas.openxmlformats.org/officeDocument/2006/relationships/hyperlink" Target="https://www.itu.int/md/S25-CL-C-0019/en" TargetMode="External"/><Relationship Id="rId55" Type="http://schemas.openxmlformats.org/officeDocument/2006/relationships/hyperlink" Target="https://www.itu.int/md/S25-CL-C-0037/en" TargetMode="External"/><Relationship Id="rId76" Type="http://schemas.openxmlformats.org/officeDocument/2006/relationships/hyperlink" Target="https://www.itu.int/md/S25-CL-C-0059/en" TargetMode="External"/><Relationship Id="rId97" Type="http://schemas.openxmlformats.org/officeDocument/2006/relationships/hyperlink" Target="https://www.itu.int/md/S25-CL-C-0057/en" TargetMode="External"/><Relationship Id="rId104" Type="http://schemas.openxmlformats.org/officeDocument/2006/relationships/hyperlink" Target="https://www.itu.int/md/S25-CL-C-0063/en" TargetMode="External"/><Relationship Id="rId120" Type="http://schemas.openxmlformats.org/officeDocument/2006/relationships/header" Target="header2.xml"/><Relationship Id="rId125" Type="http://schemas.openxmlformats.org/officeDocument/2006/relationships/fontTable" Target="fontTable.xml"/><Relationship Id="rId7" Type="http://schemas.openxmlformats.org/officeDocument/2006/relationships/hyperlink" Target="https://www.itu.int/md/S25-CL-C-0035/en" TargetMode="External"/><Relationship Id="rId71" Type="http://schemas.openxmlformats.org/officeDocument/2006/relationships/hyperlink" Target="https://www.itu.int/md/S25-CL-C-0082/en" TargetMode="External"/><Relationship Id="rId92" Type="http://schemas.openxmlformats.org/officeDocument/2006/relationships/hyperlink" Target="https://www.itu.int/md/S25-CL-C-0099/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S25-CL-C-0070/en" TargetMode="External"/><Relationship Id="rId24" Type="http://schemas.openxmlformats.org/officeDocument/2006/relationships/hyperlink" Target="https://www.itu.int/md/S25-CL-C-0033/en" TargetMode="External"/><Relationship Id="rId40" Type="http://schemas.openxmlformats.org/officeDocument/2006/relationships/hyperlink" Target="https://www.itu.int/md/S25-CL-C-0072/en" TargetMode="External"/><Relationship Id="rId45" Type="http://schemas.openxmlformats.org/officeDocument/2006/relationships/hyperlink" Target="https://www.itu.int/md/S25-CL-C-0004/en" TargetMode="External"/><Relationship Id="rId66" Type="http://schemas.openxmlformats.org/officeDocument/2006/relationships/hyperlink" Target="https://www.itu.int/md/S25-CL-C-0086/en" TargetMode="External"/><Relationship Id="rId87" Type="http://schemas.openxmlformats.org/officeDocument/2006/relationships/hyperlink" Target="https://www.itu.int/md/S25-CL-C-0040/en" TargetMode="External"/><Relationship Id="rId110" Type="http://schemas.openxmlformats.org/officeDocument/2006/relationships/hyperlink" Target="https://www.itu.int/md/S25-CL-INF-0005/en" TargetMode="External"/><Relationship Id="rId115" Type="http://schemas.openxmlformats.org/officeDocument/2006/relationships/hyperlink" Target="https://www.itu.int/md/S25-CL-INF-0011/en" TargetMode="External"/><Relationship Id="rId61" Type="http://schemas.openxmlformats.org/officeDocument/2006/relationships/hyperlink" Target="https://www.itu.int/md/S25-CL-C-0069/en" TargetMode="External"/><Relationship Id="rId82" Type="http://schemas.openxmlformats.org/officeDocument/2006/relationships/hyperlink" Target="https://www.itu.int/md/S25-CL-C-0034/en" TargetMode="External"/><Relationship Id="rId19" Type="http://schemas.openxmlformats.org/officeDocument/2006/relationships/hyperlink" Target="https://www.itu.int/md/S25-CL-C-0008/en" TargetMode="External"/><Relationship Id="rId14" Type="http://schemas.openxmlformats.org/officeDocument/2006/relationships/hyperlink" Target="https://www.itu.int/md/S25-CL-C-0078/en" TargetMode="External"/><Relationship Id="rId30" Type="http://schemas.openxmlformats.org/officeDocument/2006/relationships/hyperlink" Target="https://www.itu.int/md/S25-CL-C-0097/en" TargetMode="External"/><Relationship Id="rId35" Type="http://schemas.openxmlformats.org/officeDocument/2006/relationships/hyperlink" Target="https://www.itu.int/md/S25-CL-C-0076/en" TargetMode="External"/><Relationship Id="rId56" Type="http://schemas.openxmlformats.org/officeDocument/2006/relationships/hyperlink" Target="https://www.itu.int/md/S25-CL-C-0003/en" TargetMode="External"/><Relationship Id="rId77" Type="http://schemas.openxmlformats.org/officeDocument/2006/relationships/hyperlink" Target="https://www.itu.int/md/S25-CL-C-0011/en" TargetMode="External"/><Relationship Id="rId100" Type="http://schemas.openxmlformats.org/officeDocument/2006/relationships/hyperlink" Target="https://www.itu.int/md/S25-CL-C-0023/en" TargetMode="External"/><Relationship Id="rId105" Type="http://schemas.openxmlformats.org/officeDocument/2006/relationships/hyperlink" Target="https://www.itu.int/md/S25-CL-C-0060/en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ww.itu.int/md/S25-CL-C-0055/en" TargetMode="External"/><Relationship Id="rId51" Type="http://schemas.openxmlformats.org/officeDocument/2006/relationships/hyperlink" Target="https://www.itu.int/md/S25-CL-C-0073/en" TargetMode="External"/><Relationship Id="rId72" Type="http://schemas.openxmlformats.org/officeDocument/2006/relationships/hyperlink" Target="https://www.itu.int/md/S25-CL-C-0098/en" TargetMode="External"/><Relationship Id="rId93" Type="http://schemas.openxmlformats.org/officeDocument/2006/relationships/hyperlink" Target="https://www.itu.int/md/S25-CL-C-0087/en" TargetMode="External"/><Relationship Id="rId98" Type="http://schemas.openxmlformats.org/officeDocument/2006/relationships/hyperlink" Target="https://www.itu.int/md/S25-CL-C-0066/en" TargetMode="External"/><Relationship Id="rId121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hyperlink" Target="https://www.itu.int/md/S25-CL-C-0018/en" TargetMode="External"/><Relationship Id="rId46" Type="http://schemas.openxmlformats.org/officeDocument/2006/relationships/hyperlink" Target="https://www.itu.int/md/S25-CL-C-0029/en" TargetMode="External"/><Relationship Id="rId67" Type="http://schemas.openxmlformats.org/officeDocument/2006/relationships/hyperlink" Target="https://www.itu.int/md/S25-CL-C-0043/en" TargetMode="External"/><Relationship Id="rId116" Type="http://schemas.openxmlformats.org/officeDocument/2006/relationships/hyperlink" Target="https://www.itu.int/md/S25-CL-INF-0012/en" TargetMode="External"/><Relationship Id="rId20" Type="http://schemas.openxmlformats.org/officeDocument/2006/relationships/hyperlink" Target="https://www.itu.int/md/S25-CL-C-0061/en" TargetMode="External"/><Relationship Id="rId41" Type="http://schemas.openxmlformats.org/officeDocument/2006/relationships/hyperlink" Target="https://www.itu.int/md/S25-CL-C-0045/en" TargetMode="External"/><Relationship Id="rId62" Type="http://schemas.openxmlformats.org/officeDocument/2006/relationships/hyperlink" Target="https://www.itu.int/md/S25-CL-C-0088/en" TargetMode="External"/><Relationship Id="rId83" Type="http://schemas.openxmlformats.org/officeDocument/2006/relationships/hyperlink" Target="https://www.itu.int/md/S25-CL-C-0046/en" TargetMode="External"/><Relationship Id="rId88" Type="http://schemas.openxmlformats.org/officeDocument/2006/relationships/hyperlink" Target="https://www.itu.int/md/S25-CL-C-0041/en" TargetMode="External"/><Relationship Id="rId111" Type="http://schemas.openxmlformats.org/officeDocument/2006/relationships/hyperlink" Target="https://www.itu.int/md/S25-CL-INF-0006/en" TargetMode="External"/><Relationship Id="rId15" Type="http://schemas.openxmlformats.org/officeDocument/2006/relationships/hyperlink" Target="https://www.itu.int/md/S25-CL-C-0051/en" TargetMode="External"/><Relationship Id="rId36" Type="http://schemas.openxmlformats.org/officeDocument/2006/relationships/hyperlink" Target="https://www.itu.int/md/S25-CL-C-0089/en" TargetMode="External"/><Relationship Id="rId57" Type="http://schemas.openxmlformats.org/officeDocument/2006/relationships/hyperlink" Target="https://www.itu.int/md/S25-CL-C-0067/en" TargetMode="External"/><Relationship Id="rId106" Type="http://schemas.openxmlformats.org/officeDocument/2006/relationships/hyperlink" Target="https://www.itu.int/md/S25-CL-INF-0001/en" TargetMode="External"/><Relationship Id="rId10" Type="http://schemas.openxmlformats.org/officeDocument/2006/relationships/hyperlink" Target="https://www.itu.int/md/S25-CL-C-0028/en" TargetMode="External"/><Relationship Id="rId31" Type="http://schemas.openxmlformats.org/officeDocument/2006/relationships/hyperlink" Target="https://www.itu.int/md/S25-CL-C-0036/en" TargetMode="External"/><Relationship Id="rId52" Type="http://schemas.openxmlformats.org/officeDocument/2006/relationships/hyperlink" Target="https://www.itu.int/md/S25-CL-C-0021/en" TargetMode="External"/><Relationship Id="rId73" Type="http://schemas.openxmlformats.org/officeDocument/2006/relationships/hyperlink" Target="https://www.itu.int/md/S25-CL-C-0064/en" TargetMode="External"/><Relationship Id="rId78" Type="http://schemas.openxmlformats.org/officeDocument/2006/relationships/hyperlink" Target="https://www.itu.int/md/S25-CL-C-0047/en" TargetMode="External"/><Relationship Id="rId94" Type="http://schemas.openxmlformats.org/officeDocument/2006/relationships/hyperlink" Target="https://www.itu.int/md/S25-CL-C-0014/en" TargetMode="External"/><Relationship Id="rId99" Type="http://schemas.openxmlformats.org/officeDocument/2006/relationships/hyperlink" Target="https://www.itu.int/md/S25-CL-C-0085/en" TargetMode="External"/><Relationship Id="rId101" Type="http://schemas.openxmlformats.org/officeDocument/2006/relationships/hyperlink" Target="https://www.itu.int/md/S25-CL-C-0007/en" TargetMode="External"/><Relationship Id="rId12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5-CL-C-0027/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1657</Words>
  <Characters>17452</Characters>
  <Application>Microsoft Office Word</Application>
  <DocSecurity>0</DocSecurity>
  <Lines>145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19071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of the Standing Committee on Administration and Management (SC-ADM)</dc:title>
  <dc:subject>ITU Council 2025</dc:subject>
  <cp:keywords>C2025, C25, Council-25</cp:keywords>
  <dc:description>Revision 3</dc:description>
  <cp:lastPrinted>2006-03-28T16:12:00Z</cp:lastPrinted>
  <dcterms:created xsi:type="dcterms:W3CDTF">2025-06-16T16:23:00Z</dcterms:created>
  <dcterms:modified xsi:type="dcterms:W3CDTF">2025-06-16T16:23:00Z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