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BB5E51" w14:paraId="7E5B575C" w14:textId="77777777" w:rsidTr="00836F07">
        <w:trPr>
          <w:cantSplit/>
          <w:trHeight w:val="23"/>
        </w:trPr>
        <w:tc>
          <w:tcPr>
            <w:tcW w:w="3969" w:type="dxa"/>
            <w:vMerge w:val="restart"/>
            <w:tcMar>
              <w:left w:w="0" w:type="dxa"/>
            </w:tcMar>
          </w:tcPr>
          <w:p w14:paraId="50CBCF50" w14:textId="6BDBD4CA" w:rsidR="00D72F49" w:rsidRPr="00416CDC" w:rsidRDefault="00D72F49" w:rsidP="009E55AD">
            <w:pPr>
              <w:tabs>
                <w:tab w:val="left" w:pos="851"/>
              </w:tabs>
              <w:spacing w:before="0" w:line="240" w:lineRule="atLeast"/>
              <w:rPr>
                <w:rStyle w:val="Emphasis"/>
              </w:rPr>
            </w:pPr>
          </w:p>
        </w:tc>
        <w:tc>
          <w:tcPr>
            <w:tcW w:w="5245" w:type="dxa"/>
          </w:tcPr>
          <w:p w14:paraId="35DD1AD6" w14:textId="58D971D6" w:rsidR="00D72F49" w:rsidRPr="00BB5E51" w:rsidRDefault="00D72F49" w:rsidP="009E55AD">
            <w:pPr>
              <w:tabs>
                <w:tab w:val="left" w:pos="851"/>
              </w:tabs>
              <w:spacing w:before="0" w:line="240" w:lineRule="atLeast"/>
              <w:jc w:val="right"/>
              <w:rPr>
                <w:b/>
              </w:rPr>
            </w:pPr>
            <w:r w:rsidRPr="00BB5E51">
              <w:rPr>
                <w:b/>
              </w:rPr>
              <w:t xml:space="preserve">Document </w:t>
            </w:r>
            <w:proofErr w:type="spellStart"/>
            <w:r w:rsidRPr="00BB5E51">
              <w:rPr>
                <w:b/>
              </w:rPr>
              <w:t>C2</w:t>
            </w:r>
            <w:r w:rsidR="00FC6D7D" w:rsidRPr="00BB5E51">
              <w:rPr>
                <w:b/>
              </w:rPr>
              <w:t>5</w:t>
            </w:r>
            <w:proofErr w:type="spellEnd"/>
            <w:r w:rsidRPr="00BB5E51">
              <w:rPr>
                <w:b/>
              </w:rPr>
              <w:t>/</w:t>
            </w:r>
            <w:r w:rsidR="00836F07" w:rsidRPr="00BB5E51">
              <w:rPr>
                <w:b/>
              </w:rPr>
              <w:t>1</w:t>
            </w:r>
            <w:r w:rsidRPr="00BB5E51">
              <w:rPr>
                <w:b/>
              </w:rPr>
              <w:t>-F</w:t>
            </w:r>
          </w:p>
        </w:tc>
      </w:tr>
      <w:tr w:rsidR="00D72F49" w:rsidRPr="00BB5E51" w14:paraId="3B26568D" w14:textId="77777777" w:rsidTr="00836F07">
        <w:trPr>
          <w:cantSplit/>
        </w:trPr>
        <w:tc>
          <w:tcPr>
            <w:tcW w:w="3969" w:type="dxa"/>
            <w:vMerge/>
          </w:tcPr>
          <w:p w14:paraId="1133598A" w14:textId="77777777" w:rsidR="00D72F49" w:rsidRPr="00BB5E51" w:rsidRDefault="00D72F49" w:rsidP="009E55AD">
            <w:pPr>
              <w:tabs>
                <w:tab w:val="left" w:pos="851"/>
              </w:tabs>
              <w:spacing w:line="240" w:lineRule="atLeast"/>
              <w:rPr>
                <w:b/>
              </w:rPr>
            </w:pPr>
          </w:p>
        </w:tc>
        <w:tc>
          <w:tcPr>
            <w:tcW w:w="5245" w:type="dxa"/>
          </w:tcPr>
          <w:p w14:paraId="79FEB302" w14:textId="7EBC75A7" w:rsidR="00D72F49" w:rsidRPr="00BB5E51" w:rsidRDefault="00094932" w:rsidP="009E55AD">
            <w:pPr>
              <w:tabs>
                <w:tab w:val="left" w:pos="851"/>
              </w:tabs>
              <w:spacing w:before="0"/>
              <w:jc w:val="right"/>
              <w:rPr>
                <w:b/>
              </w:rPr>
            </w:pPr>
            <w:r w:rsidRPr="00BB5E51">
              <w:rPr>
                <w:b/>
              </w:rPr>
              <w:t>22 mai</w:t>
            </w:r>
            <w:r w:rsidR="00836F07" w:rsidRPr="00BB5E51">
              <w:rPr>
                <w:b/>
              </w:rPr>
              <w:t xml:space="preserve"> 2025</w:t>
            </w:r>
          </w:p>
        </w:tc>
      </w:tr>
      <w:tr w:rsidR="00D72F49" w:rsidRPr="00BB5E51" w14:paraId="14A49A21" w14:textId="77777777" w:rsidTr="00836F07">
        <w:trPr>
          <w:cantSplit/>
          <w:trHeight w:val="23"/>
        </w:trPr>
        <w:tc>
          <w:tcPr>
            <w:tcW w:w="3969" w:type="dxa"/>
            <w:vMerge/>
          </w:tcPr>
          <w:p w14:paraId="48D33EC2" w14:textId="77777777" w:rsidR="00D72F49" w:rsidRPr="00BB5E51" w:rsidRDefault="00D72F49" w:rsidP="009E55AD">
            <w:pPr>
              <w:tabs>
                <w:tab w:val="left" w:pos="851"/>
              </w:tabs>
              <w:spacing w:line="240" w:lineRule="atLeast"/>
              <w:rPr>
                <w:b/>
              </w:rPr>
            </w:pPr>
          </w:p>
        </w:tc>
        <w:tc>
          <w:tcPr>
            <w:tcW w:w="5245" w:type="dxa"/>
          </w:tcPr>
          <w:p w14:paraId="6B1B62A7" w14:textId="77777777" w:rsidR="00D72F49" w:rsidRPr="00BB5E51" w:rsidRDefault="00D72F49" w:rsidP="009E55AD">
            <w:pPr>
              <w:tabs>
                <w:tab w:val="left" w:pos="851"/>
              </w:tabs>
              <w:spacing w:before="0" w:line="240" w:lineRule="atLeast"/>
              <w:jc w:val="right"/>
              <w:rPr>
                <w:b/>
              </w:rPr>
            </w:pPr>
            <w:r w:rsidRPr="00BB5E51">
              <w:rPr>
                <w:b/>
              </w:rPr>
              <w:t>Original: anglais</w:t>
            </w:r>
          </w:p>
        </w:tc>
      </w:tr>
      <w:tr w:rsidR="00D72F49" w:rsidRPr="00BB5E51" w14:paraId="2C51CF99" w14:textId="77777777" w:rsidTr="00836F07">
        <w:trPr>
          <w:cantSplit/>
          <w:trHeight w:val="23"/>
        </w:trPr>
        <w:tc>
          <w:tcPr>
            <w:tcW w:w="3969" w:type="dxa"/>
          </w:tcPr>
          <w:p w14:paraId="09B9A867" w14:textId="77777777" w:rsidR="00D72F49" w:rsidRPr="00BB5E51" w:rsidRDefault="00D72F49" w:rsidP="009E55AD">
            <w:pPr>
              <w:tabs>
                <w:tab w:val="left" w:pos="851"/>
              </w:tabs>
              <w:spacing w:line="240" w:lineRule="atLeast"/>
              <w:rPr>
                <w:b/>
              </w:rPr>
            </w:pPr>
          </w:p>
        </w:tc>
        <w:tc>
          <w:tcPr>
            <w:tcW w:w="5245" w:type="dxa"/>
          </w:tcPr>
          <w:p w14:paraId="327E24AD" w14:textId="77777777" w:rsidR="00D72F49" w:rsidRPr="00BB5E51" w:rsidRDefault="00D72F49" w:rsidP="009E55AD">
            <w:pPr>
              <w:tabs>
                <w:tab w:val="left" w:pos="851"/>
              </w:tabs>
              <w:spacing w:before="0" w:line="240" w:lineRule="atLeast"/>
              <w:jc w:val="right"/>
              <w:rPr>
                <w:b/>
              </w:rPr>
            </w:pPr>
          </w:p>
        </w:tc>
      </w:tr>
      <w:tr w:rsidR="00D72F49" w:rsidRPr="00BB5E51" w14:paraId="6927F93E" w14:textId="77777777" w:rsidTr="00836F07">
        <w:trPr>
          <w:cantSplit/>
        </w:trPr>
        <w:tc>
          <w:tcPr>
            <w:tcW w:w="9214" w:type="dxa"/>
            <w:gridSpan w:val="2"/>
            <w:tcMar>
              <w:left w:w="0" w:type="dxa"/>
            </w:tcMar>
          </w:tcPr>
          <w:p w14:paraId="5995F6C0" w14:textId="4F707D6B" w:rsidR="00D72F49" w:rsidRPr="00BB5E51" w:rsidRDefault="00836F07" w:rsidP="009E55AD">
            <w:pPr>
              <w:pStyle w:val="Source"/>
              <w:jc w:val="left"/>
              <w:rPr>
                <w:sz w:val="34"/>
                <w:szCs w:val="34"/>
              </w:rPr>
            </w:pPr>
            <w:r w:rsidRPr="00BB5E51">
              <w:rPr>
                <w:rFonts w:cstheme="minorHAnsi"/>
                <w:color w:val="000000"/>
                <w:sz w:val="34"/>
                <w:szCs w:val="34"/>
              </w:rPr>
              <w:t>Note</w:t>
            </w:r>
            <w:r w:rsidR="00D72F49" w:rsidRPr="00BB5E51">
              <w:rPr>
                <w:rFonts w:cstheme="minorHAnsi"/>
                <w:color w:val="000000"/>
                <w:sz w:val="34"/>
                <w:szCs w:val="34"/>
              </w:rPr>
              <w:t xml:space="preserve"> </w:t>
            </w:r>
            <w:r w:rsidR="00E95647" w:rsidRPr="00BB5E51">
              <w:rPr>
                <w:rFonts w:cstheme="minorHAnsi"/>
                <w:color w:val="000000"/>
                <w:sz w:val="34"/>
                <w:szCs w:val="34"/>
              </w:rPr>
              <w:t xml:space="preserve">de la </w:t>
            </w:r>
            <w:r w:rsidR="00D72F49" w:rsidRPr="00BB5E51">
              <w:rPr>
                <w:rFonts w:cstheme="minorHAnsi"/>
                <w:color w:val="000000"/>
                <w:sz w:val="34"/>
                <w:szCs w:val="34"/>
              </w:rPr>
              <w:t>Secrétaire général</w:t>
            </w:r>
            <w:r w:rsidR="00E95647" w:rsidRPr="00BB5E51">
              <w:rPr>
                <w:rFonts w:cstheme="minorHAnsi"/>
                <w:color w:val="000000"/>
                <w:sz w:val="34"/>
                <w:szCs w:val="34"/>
              </w:rPr>
              <w:t>e</w:t>
            </w:r>
          </w:p>
        </w:tc>
      </w:tr>
      <w:tr w:rsidR="00836F07" w:rsidRPr="00BB5E51" w14:paraId="172825C7" w14:textId="77777777" w:rsidTr="00836F07">
        <w:trPr>
          <w:cantSplit/>
          <w:trHeight w:val="612"/>
        </w:trPr>
        <w:tc>
          <w:tcPr>
            <w:tcW w:w="9214" w:type="dxa"/>
            <w:gridSpan w:val="2"/>
            <w:tcMar>
              <w:left w:w="0" w:type="dxa"/>
            </w:tcMar>
          </w:tcPr>
          <w:p w14:paraId="3D91A307" w14:textId="50CBD953" w:rsidR="00836F07" w:rsidRPr="00BB5E51" w:rsidRDefault="00F76A94" w:rsidP="009E55AD">
            <w:pPr>
              <w:pStyle w:val="Subtitle"/>
              <w:framePr w:hSpace="0" w:wrap="auto" w:hAnchor="text" w:xAlign="left" w:yAlign="inline"/>
              <w:rPr>
                <w:sz w:val="32"/>
                <w:szCs w:val="32"/>
                <w:lang w:val="fr-FR"/>
              </w:rPr>
            </w:pPr>
            <w:r w:rsidRPr="00BB5E51">
              <w:rPr>
                <w:rFonts w:cstheme="minorHAnsi"/>
                <w:sz w:val="32"/>
                <w:szCs w:val="32"/>
                <w:lang w:val="fr-FR"/>
              </w:rPr>
              <w:t>PROJET D'ORDRE DU JOUR DE LA SESSION DE 2025 DU CONSEIL</w:t>
            </w:r>
          </w:p>
        </w:tc>
      </w:tr>
    </w:tbl>
    <w:p w14:paraId="0A10A89E" w14:textId="717794B8" w:rsidR="00A51849" w:rsidRPr="00BB5E51" w:rsidRDefault="00A51849" w:rsidP="009E55AD"/>
    <w:tbl>
      <w:tblPr>
        <w:tblW w:w="10146" w:type="dxa"/>
        <w:tblInd w:w="-436" w:type="dxa"/>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Look w:val="0400" w:firstRow="0" w:lastRow="0" w:firstColumn="0" w:lastColumn="0" w:noHBand="0" w:noVBand="1"/>
      </w:tblPr>
      <w:tblGrid>
        <w:gridCol w:w="1546"/>
        <w:gridCol w:w="7097"/>
        <w:gridCol w:w="1503"/>
      </w:tblGrid>
      <w:tr w:rsidR="00836F07" w:rsidRPr="00BB5E51" w14:paraId="1B42F1B7" w14:textId="77777777" w:rsidTr="00366D78">
        <w:trPr>
          <w:tblHeader/>
        </w:trPr>
        <w:tc>
          <w:tcPr>
            <w:tcW w:w="1546" w:type="dxa"/>
            <w:tcBorders>
              <w:top w:val="single" w:sz="8" w:space="0" w:color="000000"/>
              <w:bottom w:val="single" w:sz="4" w:space="0" w:color="808080"/>
              <w:right w:val="single" w:sz="8" w:space="0" w:color="000000"/>
            </w:tcBorders>
            <w:shd w:val="clear" w:color="auto" w:fill="808080"/>
            <w:vAlign w:val="center"/>
          </w:tcPr>
          <w:p w14:paraId="578858BE" w14:textId="77777777" w:rsidR="00836F07" w:rsidRPr="00BB5E51" w:rsidRDefault="00836F07" w:rsidP="009E55AD">
            <w:pPr>
              <w:pStyle w:val="Tablehead"/>
              <w:rPr>
                <w:color w:val="FFFFFF" w:themeColor="background1"/>
              </w:rPr>
            </w:pPr>
            <w:r w:rsidRPr="00BB5E51">
              <w:rPr>
                <w:color w:val="FFFFFF" w:themeColor="background1"/>
              </w:rPr>
              <w:t>Point de l'ordre du jour</w:t>
            </w:r>
          </w:p>
        </w:tc>
        <w:tc>
          <w:tcPr>
            <w:tcW w:w="7097" w:type="dxa"/>
            <w:tcBorders>
              <w:top w:val="single" w:sz="8" w:space="0" w:color="000000"/>
              <w:left w:val="single" w:sz="8" w:space="0" w:color="000000"/>
              <w:bottom w:val="single" w:sz="4" w:space="0" w:color="808080"/>
              <w:right w:val="single" w:sz="8" w:space="0" w:color="000000"/>
            </w:tcBorders>
            <w:shd w:val="clear" w:color="auto" w:fill="808080"/>
            <w:vAlign w:val="center"/>
          </w:tcPr>
          <w:p w14:paraId="24C1585A" w14:textId="77777777" w:rsidR="00836F07" w:rsidRPr="00BB5E51" w:rsidRDefault="00836F07" w:rsidP="009E55AD">
            <w:pPr>
              <w:pStyle w:val="Tablehead"/>
              <w:rPr>
                <w:color w:val="FFFFFF" w:themeColor="background1"/>
              </w:rPr>
            </w:pPr>
            <w:r w:rsidRPr="00BB5E51">
              <w:rPr>
                <w:color w:val="FFFFFF" w:themeColor="background1"/>
              </w:rPr>
              <w:t>Titre</w:t>
            </w:r>
          </w:p>
        </w:tc>
        <w:tc>
          <w:tcPr>
            <w:tcW w:w="1503" w:type="dxa"/>
            <w:tcBorders>
              <w:top w:val="single" w:sz="8" w:space="0" w:color="000000"/>
              <w:left w:val="single" w:sz="8" w:space="0" w:color="000000"/>
              <w:bottom w:val="single" w:sz="4" w:space="0" w:color="808080"/>
              <w:right w:val="single" w:sz="8" w:space="0" w:color="000000"/>
            </w:tcBorders>
            <w:shd w:val="clear" w:color="auto" w:fill="808080"/>
            <w:vAlign w:val="center"/>
          </w:tcPr>
          <w:p w14:paraId="28673AAE" w14:textId="67E56753" w:rsidR="00836F07" w:rsidRPr="00BB5E51" w:rsidRDefault="00836F07" w:rsidP="009E55AD">
            <w:pPr>
              <w:pStyle w:val="Tablehead"/>
              <w:rPr>
                <w:color w:val="FFFFFF" w:themeColor="background1"/>
              </w:rPr>
            </w:pPr>
            <w:r w:rsidRPr="00BB5E51">
              <w:rPr>
                <w:color w:val="FFFFFF" w:themeColor="background1"/>
              </w:rPr>
              <w:t>Document</w:t>
            </w:r>
          </w:p>
        </w:tc>
      </w:tr>
      <w:tr w:rsidR="00BB5E51" w:rsidRPr="00BB5E51" w14:paraId="5AF1E380" w14:textId="77777777" w:rsidTr="00BB5E51">
        <w:trPr>
          <w:trHeight w:val="42"/>
        </w:trPr>
        <w:tc>
          <w:tcPr>
            <w:tcW w:w="1546" w:type="dxa"/>
            <w:tcBorders>
              <w:top w:val="single" w:sz="4" w:space="0" w:color="808080"/>
              <w:bottom w:val="single" w:sz="4" w:space="0" w:color="808080"/>
              <w:right w:val="single" w:sz="4" w:space="0" w:color="808080" w:themeColor="background1" w:themeShade="80"/>
            </w:tcBorders>
            <w:shd w:val="clear" w:color="auto" w:fill="D9D9D9"/>
          </w:tcPr>
          <w:p w14:paraId="723FBE69" w14:textId="77777777" w:rsidR="00BB5E51" w:rsidRPr="00BB5E51" w:rsidRDefault="00BB5E51" w:rsidP="009E55AD">
            <w:pPr>
              <w:pStyle w:val="Tabletext"/>
              <w:spacing w:before="120" w:after="120"/>
              <w:jc w:val="center"/>
              <w:rPr>
                <w:b/>
                <w:bCs/>
              </w:rPr>
            </w:pPr>
            <w:r w:rsidRPr="00BB5E51">
              <w:rPr>
                <w:b/>
                <w:bCs/>
              </w:rPr>
              <w:t>PL 1</w:t>
            </w:r>
          </w:p>
        </w:tc>
        <w:tc>
          <w:tcPr>
            <w:tcW w:w="7097" w:type="dxa"/>
            <w:tcBorders>
              <w:top w:val="single" w:sz="4" w:space="0" w:color="808080"/>
              <w:left w:val="single" w:sz="4" w:space="0" w:color="808080" w:themeColor="background1" w:themeShade="80"/>
              <w:bottom w:val="single" w:sz="4" w:space="0" w:color="808080"/>
              <w:right w:val="single" w:sz="4" w:space="0" w:color="7F7F7F" w:themeColor="text1" w:themeTint="80"/>
            </w:tcBorders>
            <w:shd w:val="clear" w:color="auto" w:fill="D9D9D9"/>
          </w:tcPr>
          <w:p w14:paraId="2A8CB32D" w14:textId="77777777" w:rsidR="00BB5E51" w:rsidRPr="00BB5E51" w:rsidRDefault="00BB5E51" w:rsidP="009E55AD">
            <w:pPr>
              <w:pStyle w:val="Tabletext"/>
              <w:spacing w:before="120" w:after="120"/>
              <w:rPr>
                <w:b/>
                <w:bCs/>
              </w:rPr>
            </w:pPr>
            <w:r w:rsidRPr="00BB5E51">
              <w:rPr>
                <w:b/>
                <w:bCs/>
              </w:rPr>
              <w:t>Faire en sorte que l'UIT soit en adéquation avec sa mission</w:t>
            </w:r>
          </w:p>
        </w:tc>
        <w:tc>
          <w:tcPr>
            <w:tcW w:w="1503" w:type="dxa"/>
            <w:tcBorders>
              <w:top w:val="single" w:sz="4" w:space="0" w:color="808080"/>
              <w:left w:val="single" w:sz="4" w:space="0" w:color="7F7F7F" w:themeColor="text1" w:themeTint="80"/>
              <w:bottom w:val="single" w:sz="4" w:space="0" w:color="808080"/>
              <w:right w:val="single" w:sz="8" w:space="0" w:color="auto"/>
            </w:tcBorders>
            <w:shd w:val="clear" w:color="auto" w:fill="D9D9D9"/>
          </w:tcPr>
          <w:p w14:paraId="3E659AD6" w14:textId="546B118A" w:rsidR="00BB5E51" w:rsidRPr="00BB5E51" w:rsidRDefault="00BB5E51" w:rsidP="009E55AD">
            <w:pPr>
              <w:pStyle w:val="Tabletext"/>
              <w:spacing w:before="120" w:after="120"/>
              <w:rPr>
                <w:b/>
                <w:bCs/>
              </w:rPr>
            </w:pPr>
          </w:p>
        </w:tc>
      </w:tr>
      <w:tr w:rsidR="00836F07" w:rsidRPr="00BB5E51" w14:paraId="30B39E7F" w14:textId="77777777" w:rsidTr="009711C2">
        <w:trPr>
          <w:trHeight w:val="142"/>
          <w:tblHeader/>
        </w:trPr>
        <w:tc>
          <w:tcPr>
            <w:tcW w:w="1546" w:type="dxa"/>
            <w:tcBorders>
              <w:top w:val="single" w:sz="4" w:space="0" w:color="808080"/>
            </w:tcBorders>
          </w:tcPr>
          <w:p w14:paraId="0CB18496" w14:textId="1EFA8540" w:rsidR="00836F07" w:rsidRPr="00BB5E51" w:rsidRDefault="00836F07" w:rsidP="009E55AD">
            <w:pPr>
              <w:pStyle w:val="Tabletext"/>
              <w:jc w:val="center"/>
            </w:pPr>
          </w:p>
        </w:tc>
        <w:tc>
          <w:tcPr>
            <w:tcW w:w="7097" w:type="dxa"/>
            <w:tcBorders>
              <w:top w:val="single" w:sz="4" w:space="0" w:color="808080"/>
              <w:left w:val="nil"/>
              <w:bottom w:val="single" w:sz="4" w:space="0" w:color="808080"/>
              <w:right w:val="single" w:sz="4" w:space="0" w:color="808080"/>
            </w:tcBorders>
            <w:shd w:val="clear" w:color="auto" w:fill="auto"/>
          </w:tcPr>
          <w:p w14:paraId="1138353A" w14:textId="77777777" w:rsidR="00836F07" w:rsidRPr="00BB5E51" w:rsidRDefault="00836F07" w:rsidP="009E55AD">
            <w:pPr>
              <w:pStyle w:val="Tabletext"/>
            </w:pPr>
            <w:r w:rsidRPr="00BB5E51">
              <w:t>État de l'Union</w:t>
            </w:r>
          </w:p>
        </w:tc>
        <w:tc>
          <w:tcPr>
            <w:tcW w:w="1503" w:type="dxa"/>
            <w:tcBorders>
              <w:top w:val="single" w:sz="4" w:space="0" w:color="808080"/>
              <w:left w:val="nil"/>
              <w:bottom w:val="single" w:sz="4" w:space="0" w:color="808080"/>
              <w:right w:val="single" w:sz="8" w:space="0" w:color="auto"/>
            </w:tcBorders>
          </w:tcPr>
          <w:p w14:paraId="345EB788" w14:textId="77777777" w:rsidR="00836F07" w:rsidRPr="00BB5E51" w:rsidRDefault="00836F07" w:rsidP="009E55AD">
            <w:pPr>
              <w:pStyle w:val="Tabletext"/>
              <w:jc w:val="center"/>
            </w:pPr>
            <w:r w:rsidRPr="00BB5E51">
              <w:t>–</w:t>
            </w:r>
          </w:p>
        </w:tc>
      </w:tr>
      <w:tr w:rsidR="00836F07" w:rsidRPr="00BB5E51" w14:paraId="4B94C129" w14:textId="77777777" w:rsidTr="009711C2">
        <w:trPr>
          <w:tblHeader/>
        </w:trPr>
        <w:tc>
          <w:tcPr>
            <w:tcW w:w="1546" w:type="dxa"/>
          </w:tcPr>
          <w:p w14:paraId="75D4298D" w14:textId="0BD6AC37" w:rsidR="00836F07" w:rsidRPr="00BB5E51" w:rsidRDefault="00836F07" w:rsidP="009E55AD">
            <w:pPr>
              <w:pStyle w:val="Tabletext"/>
              <w:jc w:val="center"/>
            </w:pPr>
          </w:p>
        </w:tc>
        <w:tc>
          <w:tcPr>
            <w:tcW w:w="7097" w:type="dxa"/>
            <w:tcBorders>
              <w:top w:val="single" w:sz="4" w:space="0" w:color="808080"/>
              <w:left w:val="nil"/>
              <w:bottom w:val="single" w:sz="4" w:space="0" w:color="808080"/>
              <w:right w:val="single" w:sz="4" w:space="0" w:color="808080"/>
            </w:tcBorders>
            <w:shd w:val="clear" w:color="auto" w:fill="auto"/>
          </w:tcPr>
          <w:p w14:paraId="674B07FF" w14:textId="77777777" w:rsidR="00836F07" w:rsidRPr="00BB5E51" w:rsidRDefault="00836F07" w:rsidP="009E55AD">
            <w:pPr>
              <w:pStyle w:val="Tabletext"/>
            </w:pPr>
            <w:r w:rsidRPr="00BB5E51">
              <w:t>Rapport annuel sur la mise en œuvre du Plan stratégique et les activités de l'Union pour 2024</w:t>
            </w:r>
          </w:p>
        </w:tc>
        <w:tc>
          <w:tcPr>
            <w:tcW w:w="1503" w:type="dxa"/>
            <w:tcBorders>
              <w:top w:val="single" w:sz="4" w:space="0" w:color="808080"/>
              <w:left w:val="nil"/>
              <w:bottom w:val="single" w:sz="4" w:space="0" w:color="808080"/>
              <w:right w:val="single" w:sz="8" w:space="0" w:color="auto"/>
            </w:tcBorders>
          </w:tcPr>
          <w:p w14:paraId="447EB28E" w14:textId="77777777" w:rsidR="00836F07" w:rsidRPr="00BB5E51" w:rsidRDefault="00836F07" w:rsidP="009E55AD">
            <w:pPr>
              <w:pStyle w:val="Tabletext"/>
              <w:jc w:val="center"/>
              <w:rPr>
                <w:u w:val="single"/>
              </w:rPr>
            </w:pPr>
            <w:hyperlink r:id="rId6" w:history="1">
              <w:r w:rsidRPr="00BB5E51">
                <w:rPr>
                  <w:rStyle w:val="Hyperlink"/>
                  <w:rFonts w:eastAsia="Times New Roman" w:cs="Times New Roman"/>
                  <w:szCs w:val="20"/>
                </w:rPr>
                <w:t>C25/35</w:t>
              </w:r>
            </w:hyperlink>
          </w:p>
        </w:tc>
      </w:tr>
      <w:tr w:rsidR="00836F07" w:rsidRPr="00BB5E51" w14:paraId="02B3FC36" w14:textId="77777777" w:rsidTr="009711C2">
        <w:tc>
          <w:tcPr>
            <w:tcW w:w="1546" w:type="dxa"/>
          </w:tcPr>
          <w:p w14:paraId="24C317FD" w14:textId="459963CA" w:rsidR="00836F07" w:rsidRPr="00BB5E51" w:rsidRDefault="00836F07" w:rsidP="009E55AD">
            <w:pPr>
              <w:pStyle w:val="Tabletext"/>
              <w:jc w:val="center"/>
            </w:pPr>
          </w:p>
        </w:tc>
        <w:tc>
          <w:tcPr>
            <w:tcW w:w="7097" w:type="dxa"/>
          </w:tcPr>
          <w:p w14:paraId="6B7C136F" w14:textId="77777777" w:rsidR="00836F07" w:rsidRPr="00BB5E51" w:rsidRDefault="00836F07" w:rsidP="009E55AD">
            <w:pPr>
              <w:pStyle w:val="Tabletext"/>
            </w:pPr>
            <w:r w:rsidRPr="00BB5E51">
              <w:t>Point sur l'état d'avancement du processus de transformation de l'UIT et de la feuille de route associée</w:t>
            </w:r>
          </w:p>
        </w:tc>
        <w:tc>
          <w:tcPr>
            <w:tcW w:w="1503" w:type="dxa"/>
            <w:tcBorders>
              <w:right w:val="single" w:sz="8" w:space="0" w:color="auto"/>
            </w:tcBorders>
          </w:tcPr>
          <w:p w14:paraId="120270F4" w14:textId="77777777" w:rsidR="00836F07" w:rsidRPr="00BB5E51" w:rsidDel="00D753F4" w:rsidRDefault="00836F07" w:rsidP="009E55AD">
            <w:pPr>
              <w:pStyle w:val="Tabletext"/>
              <w:jc w:val="center"/>
              <w:rPr>
                <w:u w:val="single"/>
              </w:rPr>
            </w:pPr>
            <w:hyperlink r:id="rId7" w:history="1">
              <w:r w:rsidRPr="00BB5E51">
                <w:rPr>
                  <w:rStyle w:val="Hyperlink"/>
                  <w:rFonts w:eastAsia="Times New Roman" w:cs="Times New Roman"/>
                  <w:szCs w:val="20"/>
                </w:rPr>
                <w:t>C25/55</w:t>
              </w:r>
            </w:hyperlink>
          </w:p>
        </w:tc>
      </w:tr>
      <w:tr w:rsidR="009711C2" w:rsidRPr="00BB5E51" w14:paraId="6E840156" w14:textId="77777777" w:rsidTr="009711C2">
        <w:tc>
          <w:tcPr>
            <w:tcW w:w="1546" w:type="dxa"/>
            <w:tcBorders>
              <w:top w:val="single" w:sz="4" w:space="0" w:color="808080"/>
              <w:bottom w:val="single" w:sz="4" w:space="0" w:color="808080"/>
              <w:right w:val="single" w:sz="4" w:space="0" w:color="808080" w:themeColor="background1" w:themeShade="80"/>
            </w:tcBorders>
            <w:shd w:val="clear" w:color="auto" w:fill="D9D9D9"/>
          </w:tcPr>
          <w:p w14:paraId="4DDF669A" w14:textId="77777777" w:rsidR="009711C2" w:rsidRPr="00BB5E51" w:rsidRDefault="009711C2" w:rsidP="009E55AD">
            <w:pPr>
              <w:pStyle w:val="Tabletext"/>
              <w:spacing w:before="120" w:after="120"/>
              <w:jc w:val="center"/>
              <w:rPr>
                <w:b/>
                <w:bCs/>
              </w:rPr>
            </w:pPr>
            <w:r w:rsidRPr="00BB5E51">
              <w:rPr>
                <w:b/>
                <w:bCs/>
              </w:rPr>
              <w:t>PL 2</w:t>
            </w:r>
          </w:p>
        </w:tc>
        <w:tc>
          <w:tcPr>
            <w:tcW w:w="8600" w:type="dxa"/>
            <w:gridSpan w:val="2"/>
            <w:tcBorders>
              <w:top w:val="single" w:sz="4" w:space="0" w:color="808080"/>
              <w:left w:val="single" w:sz="4" w:space="0" w:color="808080" w:themeColor="background1" w:themeShade="80"/>
              <w:bottom w:val="single" w:sz="4" w:space="0" w:color="808080"/>
              <w:right w:val="single" w:sz="8" w:space="0" w:color="auto"/>
            </w:tcBorders>
            <w:shd w:val="clear" w:color="auto" w:fill="D9D9D9"/>
          </w:tcPr>
          <w:p w14:paraId="7B545D16" w14:textId="453861E5" w:rsidR="009711C2" w:rsidRPr="00BB5E51" w:rsidRDefault="009711C2" w:rsidP="009E55AD">
            <w:pPr>
              <w:pStyle w:val="Tabletext"/>
              <w:spacing w:before="120" w:after="120"/>
              <w:rPr>
                <w:b/>
                <w:bCs/>
              </w:rPr>
            </w:pPr>
            <w:r w:rsidRPr="00BB5E51">
              <w:rPr>
                <w:b/>
                <w:bCs/>
              </w:rPr>
              <w:t>Une UIT unie dans l'action (Politique générale, stratégie et activités)</w:t>
            </w:r>
          </w:p>
        </w:tc>
      </w:tr>
      <w:tr w:rsidR="00836F07" w:rsidRPr="00BB5E51" w14:paraId="0650D409" w14:textId="77777777" w:rsidTr="00366D78">
        <w:tc>
          <w:tcPr>
            <w:tcW w:w="1546" w:type="dxa"/>
            <w:tcBorders>
              <w:top w:val="single" w:sz="4" w:space="0" w:color="808080"/>
            </w:tcBorders>
          </w:tcPr>
          <w:p w14:paraId="59343342" w14:textId="289623DC" w:rsidR="00836F07" w:rsidRPr="00BB5E51" w:rsidRDefault="00836F07" w:rsidP="009E55AD">
            <w:pPr>
              <w:pStyle w:val="Tabletext"/>
              <w:jc w:val="center"/>
            </w:pPr>
          </w:p>
        </w:tc>
        <w:tc>
          <w:tcPr>
            <w:tcW w:w="7097" w:type="dxa"/>
            <w:tcBorders>
              <w:top w:val="single" w:sz="4" w:space="0" w:color="808080"/>
              <w:bottom w:val="single" w:sz="4" w:space="0" w:color="808080"/>
            </w:tcBorders>
          </w:tcPr>
          <w:p w14:paraId="429F3DEC" w14:textId="77777777" w:rsidR="00836F07" w:rsidRPr="00BB5E51" w:rsidRDefault="00836F07" w:rsidP="009E55AD">
            <w:pPr>
              <w:pStyle w:val="Tabletext"/>
            </w:pPr>
            <w:r w:rsidRPr="00BB5E51">
              <w:t>Stratégie de coordination des efforts entre les trois Secteurs de l'Union</w:t>
            </w:r>
          </w:p>
        </w:tc>
        <w:tc>
          <w:tcPr>
            <w:tcW w:w="1503" w:type="dxa"/>
            <w:tcBorders>
              <w:top w:val="single" w:sz="4" w:space="0" w:color="808080"/>
              <w:bottom w:val="single" w:sz="4" w:space="0" w:color="808080"/>
            </w:tcBorders>
          </w:tcPr>
          <w:p w14:paraId="7217637E" w14:textId="77777777" w:rsidR="00836F07" w:rsidRPr="00BB5E51" w:rsidRDefault="00836F07" w:rsidP="009E55AD">
            <w:pPr>
              <w:pStyle w:val="Tabletext"/>
              <w:jc w:val="center"/>
              <w:rPr>
                <w:u w:val="single"/>
              </w:rPr>
            </w:pPr>
            <w:hyperlink r:id="rId8" w:history="1">
              <w:r w:rsidRPr="00BB5E51">
                <w:rPr>
                  <w:rStyle w:val="Hyperlink"/>
                  <w:rFonts w:eastAsia="Times New Roman" w:cs="Times New Roman"/>
                  <w:szCs w:val="20"/>
                </w:rPr>
                <w:t>C25/27</w:t>
              </w:r>
            </w:hyperlink>
          </w:p>
        </w:tc>
      </w:tr>
      <w:tr w:rsidR="00836F07" w:rsidRPr="00BB5E51" w14:paraId="29B6D2A6" w14:textId="77777777" w:rsidTr="00366D78">
        <w:tc>
          <w:tcPr>
            <w:tcW w:w="1546" w:type="dxa"/>
          </w:tcPr>
          <w:p w14:paraId="65E3091A" w14:textId="22EA82D8" w:rsidR="00836F07" w:rsidRPr="00BB5E51" w:rsidRDefault="00836F07" w:rsidP="009E55AD">
            <w:pPr>
              <w:pStyle w:val="Tabletext"/>
              <w:jc w:val="center"/>
            </w:pPr>
          </w:p>
        </w:tc>
        <w:tc>
          <w:tcPr>
            <w:tcW w:w="7097" w:type="dxa"/>
            <w:tcBorders>
              <w:top w:val="single" w:sz="4" w:space="0" w:color="808080"/>
            </w:tcBorders>
          </w:tcPr>
          <w:p w14:paraId="51E10E40" w14:textId="77777777" w:rsidR="00836F07" w:rsidRPr="00BB5E51" w:rsidRDefault="00836F07" w:rsidP="009E55AD">
            <w:pPr>
              <w:pStyle w:val="Tabletext"/>
            </w:pPr>
            <w:r w:rsidRPr="00BB5E51">
              <w:t>Projet de plan opérationnel quadriennal glissant de l'Union pour la période 2026-2029</w:t>
            </w:r>
          </w:p>
        </w:tc>
        <w:tc>
          <w:tcPr>
            <w:tcW w:w="1503" w:type="dxa"/>
            <w:tcBorders>
              <w:top w:val="single" w:sz="4" w:space="0" w:color="808080"/>
            </w:tcBorders>
          </w:tcPr>
          <w:p w14:paraId="41EC84FE" w14:textId="77777777" w:rsidR="00836F07" w:rsidRPr="00BB5E51" w:rsidRDefault="00836F07" w:rsidP="009E55AD">
            <w:pPr>
              <w:pStyle w:val="Tabletext"/>
              <w:jc w:val="center"/>
              <w:rPr>
                <w:u w:val="single"/>
              </w:rPr>
            </w:pPr>
            <w:hyperlink r:id="rId9" w:history="1">
              <w:r w:rsidRPr="00BB5E51">
                <w:rPr>
                  <w:rStyle w:val="Hyperlink"/>
                  <w:rFonts w:eastAsia="Times New Roman" w:cs="Times New Roman"/>
                  <w:szCs w:val="20"/>
                </w:rPr>
                <w:t>C25/28</w:t>
              </w:r>
            </w:hyperlink>
          </w:p>
        </w:tc>
      </w:tr>
      <w:tr w:rsidR="00836F07" w:rsidRPr="00BB5E51" w14:paraId="55FC97FE" w14:textId="77777777" w:rsidTr="00366D78">
        <w:trPr>
          <w:trHeight w:val="75"/>
        </w:trPr>
        <w:tc>
          <w:tcPr>
            <w:tcW w:w="1546" w:type="dxa"/>
          </w:tcPr>
          <w:p w14:paraId="65BC03FE" w14:textId="19AA5CBB" w:rsidR="00836F07" w:rsidRPr="00BB5E51" w:rsidRDefault="00836F07" w:rsidP="009E55AD">
            <w:pPr>
              <w:pStyle w:val="Tabletext"/>
              <w:jc w:val="center"/>
            </w:pPr>
          </w:p>
        </w:tc>
        <w:tc>
          <w:tcPr>
            <w:tcW w:w="7097" w:type="dxa"/>
            <w:tcBorders>
              <w:top w:val="single" w:sz="4" w:space="0" w:color="808080"/>
            </w:tcBorders>
          </w:tcPr>
          <w:p w14:paraId="78F2115E" w14:textId="1F8C0ABF" w:rsidR="00836F07" w:rsidRPr="00BB5E51" w:rsidRDefault="00836F07" w:rsidP="009E55AD">
            <w:pPr>
              <w:pStyle w:val="Tabletext"/>
            </w:pPr>
            <w:r w:rsidRPr="00BB5E51">
              <w:t>Renforce</w:t>
            </w:r>
            <w:r w:rsidR="009E55AD" w:rsidRPr="00BB5E51">
              <w:t>r</w:t>
            </w:r>
            <w:r w:rsidRPr="00BB5E51">
              <w:t xml:space="preserve"> la présence régionale </w:t>
            </w:r>
            <w:r w:rsidR="009E55AD" w:rsidRPr="00BB5E51">
              <w:t>de l'UIT</w:t>
            </w:r>
          </w:p>
        </w:tc>
        <w:tc>
          <w:tcPr>
            <w:tcW w:w="1503" w:type="dxa"/>
            <w:tcBorders>
              <w:top w:val="single" w:sz="4" w:space="0" w:color="808080"/>
            </w:tcBorders>
          </w:tcPr>
          <w:p w14:paraId="79914B24" w14:textId="1FF360D7" w:rsidR="00836F07" w:rsidRPr="00BB5E51" w:rsidRDefault="00836F07" w:rsidP="009E55AD">
            <w:pPr>
              <w:pStyle w:val="Tabletext"/>
              <w:jc w:val="center"/>
              <w:rPr>
                <w:u w:val="single"/>
              </w:rPr>
            </w:pPr>
            <w:hyperlink r:id="rId10" w:history="1">
              <w:r w:rsidRPr="00BB5E51">
                <w:rPr>
                  <w:rStyle w:val="Hyperlink"/>
                  <w:rFonts w:eastAsia="Times New Roman" w:cs="Times New Roman"/>
                  <w:szCs w:val="20"/>
                </w:rPr>
                <w:t>C25/25</w:t>
              </w:r>
            </w:hyperlink>
          </w:p>
        </w:tc>
      </w:tr>
      <w:tr w:rsidR="00836F07" w:rsidRPr="00BB5E51" w14:paraId="2AF1BD2B" w14:textId="77777777" w:rsidTr="00366D78">
        <w:tc>
          <w:tcPr>
            <w:tcW w:w="1546" w:type="dxa"/>
          </w:tcPr>
          <w:p w14:paraId="565FC51D" w14:textId="37B4379E" w:rsidR="00836F07" w:rsidRPr="00BB5E51" w:rsidRDefault="00836F07" w:rsidP="009E55AD">
            <w:pPr>
              <w:pStyle w:val="Tabletext"/>
              <w:jc w:val="center"/>
            </w:pPr>
          </w:p>
        </w:tc>
        <w:tc>
          <w:tcPr>
            <w:tcW w:w="7097" w:type="dxa"/>
            <w:tcBorders>
              <w:top w:val="single" w:sz="4" w:space="0" w:color="808080"/>
            </w:tcBorders>
          </w:tcPr>
          <w:p w14:paraId="3319BB35" w14:textId="77777777" w:rsidR="00836F07" w:rsidRPr="00BB5E51" w:rsidRDefault="00836F07" w:rsidP="009E55AD">
            <w:pPr>
              <w:pStyle w:val="Tabletext"/>
            </w:pPr>
            <w:r w:rsidRPr="00BB5E51">
              <w:t>Rapport du Président du Groupe de travail du Conseil sur la protection en ligne des enfants (GTC</w:t>
            </w:r>
            <w:r w:rsidRPr="00BB5E51">
              <w:noBreakHyphen/>
              <w:t>COP)</w:t>
            </w:r>
          </w:p>
        </w:tc>
        <w:tc>
          <w:tcPr>
            <w:tcW w:w="1503" w:type="dxa"/>
            <w:tcBorders>
              <w:top w:val="single" w:sz="4" w:space="0" w:color="808080"/>
            </w:tcBorders>
          </w:tcPr>
          <w:p w14:paraId="7D2FB9A4" w14:textId="77777777" w:rsidR="00836F07" w:rsidRPr="00BB5E51" w:rsidRDefault="00836F07" w:rsidP="009E55AD">
            <w:pPr>
              <w:pStyle w:val="Tabletext"/>
              <w:jc w:val="center"/>
              <w:rPr>
                <w:u w:val="single"/>
              </w:rPr>
            </w:pPr>
            <w:hyperlink r:id="rId11" w:history="1">
              <w:r w:rsidRPr="00BB5E51">
                <w:rPr>
                  <w:rStyle w:val="Hyperlink"/>
                  <w:rFonts w:eastAsia="Times New Roman" w:cs="Times New Roman"/>
                  <w:szCs w:val="20"/>
                </w:rPr>
                <w:t>C25/15</w:t>
              </w:r>
            </w:hyperlink>
          </w:p>
        </w:tc>
      </w:tr>
      <w:tr w:rsidR="00836F07" w:rsidRPr="00BB5E51" w14:paraId="311F4BDC" w14:textId="77777777" w:rsidTr="00366D78">
        <w:tc>
          <w:tcPr>
            <w:tcW w:w="1546" w:type="dxa"/>
          </w:tcPr>
          <w:p w14:paraId="16F2E660" w14:textId="17C67F65" w:rsidR="00836F07" w:rsidRPr="00BB5E51" w:rsidRDefault="00836F07" w:rsidP="009E55AD">
            <w:pPr>
              <w:pStyle w:val="Tabletext"/>
              <w:jc w:val="center"/>
            </w:pPr>
          </w:p>
        </w:tc>
        <w:tc>
          <w:tcPr>
            <w:tcW w:w="7097" w:type="dxa"/>
            <w:tcBorders>
              <w:top w:val="single" w:sz="4" w:space="0" w:color="808080"/>
            </w:tcBorders>
          </w:tcPr>
          <w:p w14:paraId="7F7CBCD9" w14:textId="77777777" w:rsidR="00836F07" w:rsidRPr="00BB5E51" w:rsidRDefault="00836F07" w:rsidP="009E55AD">
            <w:pPr>
              <w:pStyle w:val="Tabletext"/>
            </w:pPr>
            <w:r w:rsidRPr="00BB5E51">
              <w:t>Rapport de la Présidente du Groupe de travail du Conseil sur l'utilisation des langues (GTC-LANG)</w:t>
            </w:r>
          </w:p>
        </w:tc>
        <w:tc>
          <w:tcPr>
            <w:tcW w:w="1503" w:type="dxa"/>
            <w:tcBorders>
              <w:top w:val="single" w:sz="4" w:space="0" w:color="808080"/>
            </w:tcBorders>
          </w:tcPr>
          <w:p w14:paraId="6F65D813" w14:textId="77777777" w:rsidR="00836F07" w:rsidRPr="00BB5E51" w:rsidRDefault="00836F07" w:rsidP="009E55AD">
            <w:pPr>
              <w:pStyle w:val="Tabletext"/>
              <w:jc w:val="center"/>
              <w:rPr>
                <w:u w:val="single"/>
              </w:rPr>
            </w:pPr>
            <w:hyperlink r:id="rId12" w:history="1">
              <w:r w:rsidRPr="00BB5E51">
                <w:rPr>
                  <w:rStyle w:val="Hyperlink"/>
                  <w:rFonts w:eastAsia="Times New Roman" w:cs="Times New Roman"/>
                  <w:szCs w:val="20"/>
                </w:rPr>
                <w:t>C25/12</w:t>
              </w:r>
            </w:hyperlink>
          </w:p>
        </w:tc>
      </w:tr>
      <w:tr w:rsidR="00836F07" w:rsidRPr="00BB5E51" w14:paraId="5837657B" w14:textId="77777777" w:rsidTr="00366D78">
        <w:tc>
          <w:tcPr>
            <w:tcW w:w="1546" w:type="dxa"/>
          </w:tcPr>
          <w:p w14:paraId="0CEE6AEC" w14:textId="3511F4BF" w:rsidR="00836F07" w:rsidRPr="00BB5E51" w:rsidRDefault="00836F07" w:rsidP="009E55AD">
            <w:pPr>
              <w:pStyle w:val="Tabletext"/>
              <w:jc w:val="center"/>
            </w:pPr>
          </w:p>
        </w:tc>
        <w:tc>
          <w:tcPr>
            <w:tcW w:w="7097" w:type="dxa"/>
            <w:tcBorders>
              <w:top w:val="single" w:sz="4" w:space="0" w:color="808080"/>
            </w:tcBorders>
          </w:tcPr>
          <w:p w14:paraId="31889BFA" w14:textId="77777777" w:rsidR="00836F07" w:rsidRPr="00BB5E51" w:rsidRDefault="00836F07" w:rsidP="009E55AD">
            <w:pPr>
              <w:pStyle w:val="Tabletext"/>
            </w:pPr>
            <w:r w:rsidRPr="00BB5E51">
              <w:t>Rapport du Président du Groupe de travail du Conseil sur les questions de politiques publiques internationales relatives à l'Internet (GTC-Internet)</w:t>
            </w:r>
          </w:p>
        </w:tc>
        <w:tc>
          <w:tcPr>
            <w:tcW w:w="1503" w:type="dxa"/>
            <w:tcBorders>
              <w:top w:val="single" w:sz="4" w:space="0" w:color="808080"/>
            </w:tcBorders>
          </w:tcPr>
          <w:p w14:paraId="60D4A128" w14:textId="77777777" w:rsidR="00836F07" w:rsidRPr="00BB5E51" w:rsidRDefault="00836F07" w:rsidP="009E55AD">
            <w:pPr>
              <w:pStyle w:val="Tabletext"/>
              <w:jc w:val="center"/>
              <w:rPr>
                <w:u w:val="single"/>
              </w:rPr>
            </w:pPr>
            <w:hyperlink r:id="rId13" w:history="1">
              <w:r w:rsidRPr="00BB5E51">
                <w:rPr>
                  <w:rStyle w:val="Hyperlink"/>
                  <w:rFonts w:eastAsia="Times New Roman" w:cs="Times New Roman"/>
                  <w:szCs w:val="20"/>
                </w:rPr>
                <w:t>C25/51</w:t>
              </w:r>
            </w:hyperlink>
          </w:p>
        </w:tc>
      </w:tr>
      <w:tr w:rsidR="00836F07" w:rsidRPr="00BB5E51" w14:paraId="3D4F1A97" w14:textId="77777777" w:rsidTr="00366D78">
        <w:tc>
          <w:tcPr>
            <w:tcW w:w="1546" w:type="dxa"/>
          </w:tcPr>
          <w:p w14:paraId="603CF360" w14:textId="3BF6AB09" w:rsidR="00836F07" w:rsidRPr="00BB5E51" w:rsidRDefault="00836F07" w:rsidP="009E55AD">
            <w:pPr>
              <w:pStyle w:val="Tabletext"/>
              <w:keepNext/>
              <w:keepLines/>
              <w:jc w:val="center"/>
            </w:pPr>
          </w:p>
        </w:tc>
        <w:tc>
          <w:tcPr>
            <w:tcW w:w="7097" w:type="dxa"/>
            <w:tcBorders>
              <w:top w:val="single" w:sz="4" w:space="0" w:color="808080"/>
            </w:tcBorders>
          </w:tcPr>
          <w:p w14:paraId="1D51A5F5" w14:textId="2E16FA3E" w:rsidR="00836F07" w:rsidRPr="00BB5E51" w:rsidRDefault="00836F07" w:rsidP="009E55AD">
            <w:pPr>
              <w:pStyle w:val="Tabletext"/>
              <w:keepNext/>
              <w:keepLines/>
            </w:pPr>
            <w:r w:rsidRPr="00BB5E51">
              <w:t>Rapport d'activité de la Présidente du Groupe d'experts sur le Règlement des télécommunications internationales</w:t>
            </w:r>
          </w:p>
        </w:tc>
        <w:tc>
          <w:tcPr>
            <w:tcW w:w="1503" w:type="dxa"/>
            <w:tcBorders>
              <w:top w:val="single" w:sz="4" w:space="0" w:color="808080"/>
            </w:tcBorders>
          </w:tcPr>
          <w:p w14:paraId="60587A0C" w14:textId="77777777" w:rsidR="00836F07" w:rsidRPr="00BB5E51" w:rsidRDefault="00836F07" w:rsidP="009E55AD">
            <w:pPr>
              <w:pStyle w:val="Tabletext"/>
              <w:keepNext/>
              <w:keepLines/>
              <w:jc w:val="center"/>
              <w:rPr>
                <w:u w:val="single"/>
              </w:rPr>
            </w:pPr>
            <w:hyperlink r:id="rId14" w:history="1">
              <w:r w:rsidRPr="00BB5E51">
                <w:rPr>
                  <w:rStyle w:val="Hyperlink"/>
                  <w:rFonts w:eastAsia="Times New Roman" w:cs="Times New Roman"/>
                  <w:szCs w:val="20"/>
                </w:rPr>
                <w:t>C25/26</w:t>
              </w:r>
            </w:hyperlink>
          </w:p>
        </w:tc>
      </w:tr>
      <w:tr w:rsidR="00836F07" w:rsidRPr="00BB5E51" w14:paraId="436AE9B4" w14:textId="77777777" w:rsidTr="00366D78">
        <w:tc>
          <w:tcPr>
            <w:tcW w:w="1546" w:type="dxa"/>
          </w:tcPr>
          <w:p w14:paraId="12C12647" w14:textId="010C3FC1" w:rsidR="00836F07" w:rsidRPr="00BB5E51" w:rsidRDefault="00836F07" w:rsidP="009E55AD">
            <w:pPr>
              <w:pStyle w:val="Tabletext"/>
              <w:jc w:val="center"/>
            </w:pPr>
          </w:p>
        </w:tc>
        <w:tc>
          <w:tcPr>
            <w:tcW w:w="7097" w:type="dxa"/>
            <w:tcBorders>
              <w:top w:val="single" w:sz="4" w:space="0" w:color="808080"/>
            </w:tcBorders>
          </w:tcPr>
          <w:p w14:paraId="16E63C20" w14:textId="58511A27" w:rsidR="00836F07" w:rsidRPr="00BB5E51" w:rsidRDefault="00836F07" w:rsidP="009E55AD">
            <w:pPr>
              <w:pStyle w:val="Tabletext"/>
            </w:pPr>
            <w:r w:rsidRPr="00BB5E51">
              <w:t>Rapport du Président du Groupe de travail du Conseil chargé d'élaborer le Plan stratégique et le Plan financier pour la période 2028-2031</w:t>
            </w:r>
          </w:p>
        </w:tc>
        <w:tc>
          <w:tcPr>
            <w:tcW w:w="1503" w:type="dxa"/>
            <w:tcBorders>
              <w:top w:val="single" w:sz="4" w:space="0" w:color="808080"/>
            </w:tcBorders>
          </w:tcPr>
          <w:p w14:paraId="199D524C" w14:textId="77777777" w:rsidR="00836F07" w:rsidRPr="00BB5E51" w:rsidRDefault="00836F07" w:rsidP="009E55AD">
            <w:pPr>
              <w:pStyle w:val="Tabletext"/>
              <w:jc w:val="center"/>
            </w:pPr>
            <w:hyperlink r:id="rId15" w:history="1">
              <w:r w:rsidRPr="00BB5E51">
                <w:rPr>
                  <w:rStyle w:val="Hyperlink"/>
                  <w:rFonts w:eastAsia="Times New Roman" w:cs="Times New Roman"/>
                  <w:szCs w:val="20"/>
                </w:rPr>
                <w:t>C25/31</w:t>
              </w:r>
            </w:hyperlink>
          </w:p>
        </w:tc>
      </w:tr>
      <w:tr w:rsidR="00836F07" w:rsidRPr="00BB5E51" w14:paraId="6326AB17" w14:textId="77777777" w:rsidTr="00366D78">
        <w:tc>
          <w:tcPr>
            <w:tcW w:w="1546" w:type="dxa"/>
          </w:tcPr>
          <w:p w14:paraId="77946BCA" w14:textId="4DF68D87" w:rsidR="00836F07" w:rsidRPr="00BB5E51" w:rsidRDefault="00836F07" w:rsidP="009E55AD">
            <w:pPr>
              <w:pStyle w:val="Tabletext"/>
              <w:jc w:val="center"/>
            </w:pPr>
          </w:p>
        </w:tc>
        <w:tc>
          <w:tcPr>
            <w:tcW w:w="7097" w:type="dxa"/>
            <w:tcBorders>
              <w:top w:val="single" w:sz="4" w:space="0" w:color="808080"/>
            </w:tcBorders>
          </w:tcPr>
          <w:p w14:paraId="13F81694" w14:textId="6F2C3FFA" w:rsidR="00836F07" w:rsidRPr="00BB5E51" w:rsidRDefault="00836F07" w:rsidP="009E55AD">
            <w:pPr>
              <w:pStyle w:val="Tabletext"/>
            </w:pPr>
            <w:r w:rsidRPr="00BB5E51">
              <w:t>Rapport de la Présidente du Groupe de travail du Conseil sur le SMSI et les ODD (GTC-SMSI</w:t>
            </w:r>
            <w:r w:rsidR="00AF64A9" w:rsidRPr="00BB5E51">
              <w:t>/</w:t>
            </w:r>
            <w:r w:rsidRPr="00BB5E51">
              <w:t>ODD)</w:t>
            </w:r>
          </w:p>
        </w:tc>
        <w:tc>
          <w:tcPr>
            <w:tcW w:w="1503" w:type="dxa"/>
            <w:tcBorders>
              <w:top w:val="single" w:sz="4" w:space="0" w:color="808080"/>
            </w:tcBorders>
          </w:tcPr>
          <w:p w14:paraId="2F86D859" w14:textId="77777777" w:rsidR="00836F07" w:rsidRPr="00BB5E51" w:rsidRDefault="00836F07" w:rsidP="009E55AD">
            <w:pPr>
              <w:pStyle w:val="Tabletext"/>
              <w:jc w:val="center"/>
              <w:rPr>
                <w:u w:val="single"/>
              </w:rPr>
            </w:pPr>
            <w:hyperlink r:id="rId16" w:history="1">
              <w:r w:rsidRPr="00BB5E51">
                <w:rPr>
                  <w:rStyle w:val="Hyperlink"/>
                  <w:rFonts w:eastAsia="Times New Roman" w:cs="Times New Roman"/>
                  <w:szCs w:val="20"/>
                </w:rPr>
                <w:t>C25/8</w:t>
              </w:r>
            </w:hyperlink>
          </w:p>
        </w:tc>
      </w:tr>
      <w:tr w:rsidR="00836F07" w:rsidRPr="00BB5E51" w14:paraId="5E8E1E02" w14:textId="77777777" w:rsidTr="00366D78">
        <w:tc>
          <w:tcPr>
            <w:tcW w:w="1546" w:type="dxa"/>
          </w:tcPr>
          <w:p w14:paraId="5D7E8C9C" w14:textId="175727F0" w:rsidR="00836F07" w:rsidRPr="00BB5E51" w:rsidRDefault="00836F07" w:rsidP="009E55AD">
            <w:pPr>
              <w:pStyle w:val="Tabletext"/>
              <w:jc w:val="center"/>
            </w:pPr>
          </w:p>
        </w:tc>
        <w:tc>
          <w:tcPr>
            <w:tcW w:w="7097" w:type="dxa"/>
            <w:tcBorders>
              <w:top w:val="single" w:sz="4" w:space="0" w:color="808080"/>
            </w:tcBorders>
          </w:tcPr>
          <w:p w14:paraId="5AE53528" w14:textId="6314703C" w:rsidR="00836F07" w:rsidRPr="00BB5E51" w:rsidRDefault="00836F07" w:rsidP="009E55AD">
            <w:pPr>
              <w:pStyle w:val="Tabletext"/>
            </w:pPr>
            <w:r w:rsidRPr="00BB5E51">
              <w:t>Rapport sur le SMSI+20</w:t>
            </w:r>
            <w:r w:rsidR="00AF64A9" w:rsidRPr="00BB5E51">
              <w:t xml:space="preserve"> sur la c</w:t>
            </w:r>
            <w:r w:rsidRPr="00BB5E51">
              <w:t>ontribution de l'UIT à la mise en œuvre et au suivi des résultats du SMSI et son rôle dans la réalisation des ODD</w:t>
            </w:r>
          </w:p>
        </w:tc>
        <w:tc>
          <w:tcPr>
            <w:tcW w:w="1503" w:type="dxa"/>
            <w:tcBorders>
              <w:top w:val="single" w:sz="4" w:space="0" w:color="808080"/>
            </w:tcBorders>
          </w:tcPr>
          <w:p w14:paraId="26351C5F" w14:textId="77777777" w:rsidR="00836F07" w:rsidRPr="00BB5E51" w:rsidRDefault="00836F07" w:rsidP="009E55AD">
            <w:pPr>
              <w:pStyle w:val="Tabletext"/>
              <w:jc w:val="center"/>
              <w:rPr>
                <w:u w:val="single"/>
              </w:rPr>
            </w:pPr>
            <w:hyperlink r:id="rId17" w:history="1">
              <w:r w:rsidRPr="00BB5E51">
                <w:rPr>
                  <w:rStyle w:val="Hyperlink"/>
                  <w:rFonts w:eastAsia="Times New Roman" w:cs="Times New Roman"/>
                  <w:szCs w:val="20"/>
                </w:rPr>
                <w:t>C25/61</w:t>
              </w:r>
            </w:hyperlink>
          </w:p>
        </w:tc>
      </w:tr>
      <w:tr w:rsidR="00836F07" w:rsidRPr="00BB5E51" w14:paraId="46B63ABA" w14:textId="77777777" w:rsidTr="00366D78">
        <w:tc>
          <w:tcPr>
            <w:tcW w:w="1546" w:type="dxa"/>
          </w:tcPr>
          <w:p w14:paraId="293B98A6" w14:textId="05A3E2C8" w:rsidR="00836F07" w:rsidRPr="00BB5E51" w:rsidRDefault="00836F07" w:rsidP="009E55AD">
            <w:pPr>
              <w:pStyle w:val="Tabletext"/>
              <w:jc w:val="center"/>
            </w:pPr>
          </w:p>
        </w:tc>
        <w:tc>
          <w:tcPr>
            <w:tcW w:w="7097" w:type="dxa"/>
            <w:tcBorders>
              <w:top w:val="single" w:sz="4" w:space="0" w:color="808080"/>
            </w:tcBorders>
          </w:tcPr>
          <w:p w14:paraId="6E5BE1E2" w14:textId="77777777" w:rsidR="00836F07" w:rsidRPr="00BB5E51" w:rsidRDefault="00836F07" w:rsidP="009E55AD">
            <w:pPr>
              <w:pStyle w:val="Tabletext"/>
            </w:pPr>
            <w:r w:rsidRPr="00BB5E51">
              <w:t>Examen du SMSI+20 – Appel à contributions lancé par l'UIT: résumé des communications reçues</w:t>
            </w:r>
          </w:p>
        </w:tc>
        <w:tc>
          <w:tcPr>
            <w:tcW w:w="1503" w:type="dxa"/>
            <w:tcBorders>
              <w:top w:val="single" w:sz="4" w:space="0" w:color="808080"/>
            </w:tcBorders>
          </w:tcPr>
          <w:p w14:paraId="55F5832D" w14:textId="77777777" w:rsidR="00836F07" w:rsidRPr="00BB5E51" w:rsidRDefault="00836F07" w:rsidP="009E55AD">
            <w:pPr>
              <w:pStyle w:val="Tabletext"/>
              <w:jc w:val="center"/>
            </w:pPr>
            <w:hyperlink r:id="rId18" w:history="1">
              <w:r w:rsidRPr="00BB5E51">
                <w:rPr>
                  <w:rStyle w:val="Hyperlink"/>
                  <w:rFonts w:eastAsia="Times New Roman" w:cs="Times New Roman"/>
                  <w:szCs w:val="20"/>
                </w:rPr>
                <w:t>C25/53</w:t>
              </w:r>
            </w:hyperlink>
          </w:p>
        </w:tc>
      </w:tr>
      <w:tr w:rsidR="00836F07" w:rsidRPr="00BB5E51" w14:paraId="22CEB3B6" w14:textId="77777777" w:rsidTr="00366D78">
        <w:tc>
          <w:tcPr>
            <w:tcW w:w="1546" w:type="dxa"/>
          </w:tcPr>
          <w:p w14:paraId="57F7C231" w14:textId="7B3FB5CB" w:rsidR="00836F07" w:rsidRPr="00BB5E51" w:rsidRDefault="00836F07" w:rsidP="009E55AD">
            <w:pPr>
              <w:pStyle w:val="Tabletext"/>
              <w:jc w:val="center"/>
            </w:pPr>
          </w:p>
        </w:tc>
        <w:tc>
          <w:tcPr>
            <w:tcW w:w="7097" w:type="dxa"/>
            <w:tcBorders>
              <w:top w:val="single" w:sz="4" w:space="0" w:color="808080"/>
            </w:tcBorders>
          </w:tcPr>
          <w:p w14:paraId="56E1BCB9" w14:textId="77777777" w:rsidR="00836F07" w:rsidRPr="00BB5E51" w:rsidRDefault="00836F07" w:rsidP="009E55AD">
            <w:pPr>
              <w:pStyle w:val="Tabletext"/>
            </w:pPr>
            <w:r w:rsidRPr="00BB5E51">
              <w:t>Informations actualisées sur le Plan d'action de l'UIT pour la mise en œuvre du Pacte numérique mondial</w:t>
            </w:r>
          </w:p>
        </w:tc>
        <w:tc>
          <w:tcPr>
            <w:tcW w:w="1503" w:type="dxa"/>
            <w:tcBorders>
              <w:top w:val="single" w:sz="4" w:space="0" w:color="808080"/>
            </w:tcBorders>
          </w:tcPr>
          <w:p w14:paraId="2D11E6C4" w14:textId="77777777" w:rsidR="00836F07" w:rsidRPr="00BB5E51" w:rsidRDefault="00836F07" w:rsidP="009E55AD">
            <w:pPr>
              <w:pStyle w:val="Tabletext"/>
              <w:jc w:val="center"/>
            </w:pPr>
            <w:hyperlink r:id="rId19" w:history="1">
              <w:r w:rsidRPr="00BB5E51">
                <w:rPr>
                  <w:rStyle w:val="Hyperlink"/>
                  <w:rFonts w:eastAsia="Times New Roman" w:cs="Times New Roman"/>
                  <w:szCs w:val="20"/>
                </w:rPr>
                <w:t>C25/52</w:t>
              </w:r>
            </w:hyperlink>
          </w:p>
        </w:tc>
      </w:tr>
      <w:tr w:rsidR="00836F07" w:rsidRPr="00BB5E51" w14:paraId="7E040E58" w14:textId="77777777" w:rsidTr="00366D78">
        <w:tc>
          <w:tcPr>
            <w:tcW w:w="1546" w:type="dxa"/>
          </w:tcPr>
          <w:p w14:paraId="6ED12408" w14:textId="562E3437" w:rsidR="00836F07" w:rsidRPr="00BB5E51" w:rsidRDefault="00836F07" w:rsidP="009E55AD">
            <w:pPr>
              <w:pStyle w:val="Tabletext"/>
              <w:jc w:val="center"/>
            </w:pPr>
          </w:p>
        </w:tc>
        <w:tc>
          <w:tcPr>
            <w:tcW w:w="7097" w:type="dxa"/>
            <w:tcBorders>
              <w:top w:val="single" w:sz="4" w:space="0" w:color="808080"/>
            </w:tcBorders>
          </w:tcPr>
          <w:p w14:paraId="68603BB8" w14:textId="438EFF3E" w:rsidR="00836F07" w:rsidRPr="00BB5E51" w:rsidRDefault="00836F07" w:rsidP="009E55AD">
            <w:pPr>
              <w:pStyle w:val="Tabletext"/>
              <w:ind w:right="-45"/>
            </w:pPr>
            <w:r w:rsidRPr="00BB5E51">
              <w:t>Activités de l'UIT relatives à l'Internet</w:t>
            </w:r>
            <w:r w:rsidR="00361ACF" w:rsidRPr="00BB5E51">
              <w:t>:</w:t>
            </w:r>
            <w:r w:rsidRPr="00BB5E51">
              <w:t xml:space="preserve"> Résolutions 101, 102, 133, 180 et 206</w:t>
            </w:r>
          </w:p>
        </w:tc>
        <w:tc>
          <w:tcPr>
            <w:tcW w:w="1503" w:type="dxa"/>
            <w:tcBorders>
              <w:top w:val="single" w:sz="4" w:space="0" w:color="808080"/>
            </w:tcBorders>
          </w:tcPr>
          <w:p w14:paraId="4EDFE293" w14:textId="77777777" w:rsidR="00836F07" w:rsidRPr="00BB5E51" w:rsidRDefault="00836F07" w:rsidP="009E55AD">
            <w:pPr>
              <w:pStyle w:val="Tabletext"/>
              <w:jc w:val="center"/>
              <w:rPr>
                <w:u w:val="single"/>
              </w:rPr>
            </w:pPr>
            <w:hyperlink r:id="rId20" w:history="1">
              <w:r w:rsidRPr="00BB5E51">
                <w:rPr>
                  <w:rStyle w:val="Hyperlink"/>
                  <w:rFonts w:eastAsia="Times New Roman" w:cs="Times New Roman"/>
                  <w:szCs w:val="20"/>
                </w:rPr>
                <w:t>C25/33</w:t>
              </w:r>
            </w:hyperlink>
          </w:p>
        </w:tc>
      </w:tr>
      <w:tr w:rsidR="00836F07" w:rsidRPr="00BB5E51" w14:paraId="7AEA2F2B" w14:textId="77777777" w:rsidTr="00366D78">
        <w:tc>
          <w:tcPr>
            <w:tcW w:w="1546" w:type="dxa"/>
          </w:tcPr>
          <w:p w14:paraId="7CA74A37" w14:textId="45960B68" w:rsidR="00836F07" w:rsidRPr="00BB5E51" w:rsidRDefault="00836F07" w:rsidP="009E55AD">
            <w:pPr>
              <w:pStyle w:val="Tabletext"/>
              <w:jc w:val="center"/>
            </w:pPr>
          </w:p>
        </w:tc>
        <w:tc>
          <w:tcPr>
            <w:tcW w:w="7097" w:type="dxa"/>
            <w:tcBorders>
              <w:top w:val="single" w:sz="4" w:space="0" w:color="808080"/>
            </w:tcBorders>
          </w:tcPr>
          <w:p w14:paraId="38D710C0" w14:textId="5F06F13A" w:rsidR="00836F07" w:rsidRPr="00BB5E51" w:rsidRDefault="00836F07" w:rsidP="009E55AD">
            <w:pPr>
              <w:pStyle w:val="Tabletext"/>
            </w:pPr>
            <w:r w:rsidRPr="00BB5E51">
              <w:t xml:space="preserve">Activités de l'UIT relatives au renforcement du rôle de l'Union dans l'instauration de la confiance et de la sécurité dans l'utilisation des </w:t>
            </w:r>
            <w:r w:rsidR="00361ACF" w:rsidRPr="00BB5E51">
              <w:t>technologies de l'information et de la communication</w:t>
            </w:r>
          </w:p>
        </w:tc>
        <w:tc>
          <w:tcPr>
            <w:tcW w:w="1503" w:type="dxa"/>
            <w:tcBorders>
              <w:top w:val="single" w:sz="4" w:space="0" w:color="808080"/>
            </w:tcBorders>
          </w:tcPr>
          <w:p w14:paraId="2DAA5777" w14:textId="77777777" w:rsidR="00836F07" w:rsidRPr="00BB5E51" w:rsidRDefault="00836F07" w:rsidP="009E55AD">
            <w:pPr>
              <w:pStyle w:val="Tabletext"/>
              <w:jc w:val="center"/>
              <w:rPr>
                <w:u w:val="single"/>
              </w:rPr>
            </w:pPr>
            <w:hyperlink r:id="rId21" w:history="1">
              <w:r w:rsidRPr="00BB5E51">
                <w:rPr>
                  <w:rStyle w:val="Hyperlink"/>
                  <w:rFonts w:eastAsia="Times New Roman" w:cs="Times New Roman"/>
                  <w:szCs w:val="20"/>
                </w:rPr>
                <w:t>C25/18</w:t>
              </w:r>
            </w:hyperlink>
          </w:p>
        </w:tc>
      </w:tr>
      <w:tr w:rsidR="00836F07" w:rsidRPr="00BB5E51" w14:paraId="28F3087B" w14:textId="77777777" w:rsidTr="00366D78">
        <w:tc>
          <w:tcPr>
            <w:tcW w:w="1546" w:type="dxa"/>
          </w:tcPr>
          <w:p w14:paraId="1CC83C76" w14:textId="28405E10" w:rsidR="00836F07" w:rsidRPr="00BB5E51" w:rsidRDefault="00836F07" w:rsidP="009E55AD">
            <w:pPr>
              <w:pStyle w:val="Tabletext"/>
              <w:jc w:val="center"/>
            </w:pPr>
          </w:p>
        </w:tc>
        <w:tc>
          <w:tcPr>
            <w:tcW w:w="7097" w:type="dxa"/>
            <w:tcBorders>
              <w:top w:val="single" w:sz="4" w:space="0" w:color="808080"/>
            </w:tcBorders>
          </w:tcPr>
          <w:p w14:paraId="48C443EC" w14:textId="21AFCF35" w:rsidR="00836F07" w:rsidRPr="00BB5E51" w:rsidRDefault="00836F07" w:rsidP="009E55AD">
            <w:pPr>
              <w:pStyle w:val="Tabletext"/>
            </w:pPr>
            <w:r w:rsidRPr="00BB5E51">
              <w:t xml:space="preserve">Rapport </w:t>
            </w:r>
            <w:r w:rsidR="00361ACF" w:rsidRPr="00BB5E51">
              <w:t xml:space="preserve">concernant </w:t>
            </w:r>
            <w:r w:rsidRPr="00BB5E51">
              <w:t>sur la Résolution 70</w:t>
            </w:r>
            <w:r w:rsidR="00361ACF" w:rsidRPr="00BB5E51">
              <w:t xml:space="preserve"> (Rév. Bucarest, 2022) de la Conférence de plénipotentiaires</w:t>
            </w:r>
          </w:p>
        </w:tc>
        <w:tc>
          <w:tcPr>
            <w:tcW w:w="1503" w:type="dxa"/>
            <w:tcBorders>
              <w:top w:val="single" w:sz="4" w:space="0" w:color="808080"/>
            </w:tcBorders>
          </w:tcPr>
          <w:p w14:paraId="2C6E9265" w14:textId="77777777" w:rsidR="00836F07" w:rsidRPr="00BB5E51" w:rsidRDefault="00836F07" w:rsidP="009E55AD">
            <w:pPr>
              <w:pStyle w:val="Tabletext"/>
              <w:jc w:val="center"/>
              <w:rPr>
                <w:u w:val="single"/>
              </w:rPr>
            </w:pPr>
            <w:hyperlink r:id="rId22" w:history="1">
              <w:r w:rsidRPr="00BB5E51">
                <w:rPr>
                  <w:rStyle w:val="Hyperlink"/>
                  <w:rFonts w:eastAsia="Times New Roman" w:cs="Times New Roman"/>
                  <w:szCs w:val="20"/>
                </w:rPr>
                <w:t>C25/6</w:t>
              </w:r>
            </w:hyperlink>
          </w:p>
        </w:tc>
      </w:tr>
      <w:tr w:rsidR="00836F07" w:rsidRPr="00BB5E51" w14:paraId="57B33B52" w14:textId="77777777" w:rsidTr="00366D78">
        <w:tc>
          <w:tcPr>
            <w:tcW w:w="1546" w:type="dxa"/>
          </w:tcPr>
          <w:p w14:paraId="0E991DB8" w14:textId="48655804" w:rsidR="00836F07" w:rsidRPr="00BB5E51" w:rsidRDefault="00836F07" w:rsidP="009E55AD">
            <w:pPr>
              <w:pStyle w:val="Tabletext"/>
              <w:jc w:val="center"/>
            </w:pPr>
          </w:p>
        </w:tc>
        <w:tc>
          <w:tcPr>
            <w:tcW w:w="7097" w:type="dxa"/>
            <w:tcBorders>
              <w:top w:val="single" w:sz="4" w:space="0" w:color="808080"/>
            </w:tcBorders>
          </w:tcPr>
          <w:p w14:paraId="2315D6D0" w14:textId="77777777" w:rsidR="00836F07" w:rsidRPr="00BB5E51" w:rsidRDefault="00836F07" w:rsidP="009E55AD">
            <w:pPr>
              <w:pStyle w:val="Tabletext"/>
            </w:pPr>
            <w:r w:rsidRPr="00BB5E51">
              <w:t>Participation significative des jeunes et initiatives pour la jeunesse à l'UIT</w:t>
            </w:r>
          </w:p>
        </w:tc>
        <w:tc>
          <w:tcPr>
            <w:tcW w:w="1503" w:type="dxa"/>
            <w:tcBorders>
              <w:top w:val="single" w:sz="4" w:space="0" w:color="808080"/>
            </w:tcBorders>
          </w:tcPr>
          <w:p w14:paraId="17DEC188" w14:textId="77777777" w:rsidR="00836F07" w:rsidRPr="00BB5E51" w:rsidRDefault="00836F07" w:rsidP="009E55AD">
            <w:pPr>
              <w:pStyle w:val="Tabletext"/>
              <w:jc w:val="center"/>
              <w:rPr>
                <w:u w:val="single"/>
              </w:rPr>
            </w:pPr>
            <w:hyperlink r:id="rId23" w:history="1">
              <w:r w:rsidRPr="00BB5E51">
                <w:rPr>
                  <w:rStyle w:val="Hyperlink"/>
                  <w:rFonts w:eastAsia="Times New Roman" w:cs="Times New Roman"/>
                  <w:szCs w:val="20"/>
                </w:rPr>
                <w:t>C25/32</w:t>
              </w:r>
            </w:hyperlink>
          </w:p>
        </w:tc>
      </w:tr>
      <w:tr w:rsidR="00836F07" w:rsidRPr="00BB5E51" w14:paraId="731BF6B2" w14:textId="77777777" w:rsidTr="00366D78">
        <w:tc>
          <w:tcPr>
            <w:tcW w:w="1546" w:type="dxa"/>
          </w:tcPr>
          <w:p w14:paraId="11F7AC7B" w14:textId="72EE60E0" w:rsidR="00836F07" w:rsidRPr="00BB5E51" w:rsidRDefault="00836F07" w:rsidP="009E55AD">
            <w:pPr>
              <w:pStyle w:val="Tabletext"/>
              <w:jc w:val="center"/>
            </w:pPr>
          </w:p>
        </w:tc>
        <w:tc>
          <w:tcPr>
            <w:tcW w:w="7097" w:type="dxa"/>
            <w:tcBorders>
              <w:top w:val="single" w:sz="4" w:space="0" w:color="808080"/>
            </w:tcBorders>
          </w:tcPr>
          <w:p w14:paraId="65A0AF8A" w14:textId="57281B25" w:rsidR="00836F07" w:rsidRPr="00BB5E51" w:rsidRDefault="00836F07" w:rsidP="009E55AD">
            <w:pPr>
              <w:pStyle w:val="Tabletext"/>
            </w:pPr>
            <w:r w:rsidRPr="00BB5E51">
              <w:t xml:space="preserve">Collaboration avec le système des Nations Unies et avec d'autres </w:t>
            </w:r>
            <w:r w:rsidR="0011034C" w:rsidRPr="00BB5E51">
              <w:t>processus</w:t>
            </w:r>
            <w:r w:rsidRPr="00BB5E51">
              <w:t xml:space="preserve"> intergouvernementa</w:t>
            </w:r>
            <w:r w:rsidR="0011034C" w:rsidRPr="00BB5E51">
              <w:t>ux</w:t>
            </w:r>
            <w:r w:rsidRPr="00BB5E51">
              <w:t xml:space="preserve"> internationa</w:t>
            </w:r>
            <w:r w:rsidR="0011034C" w:rsidRPr="00BB5E51">
              <w:t>ux</w:t>
            </w:r>
            <w:r w:rsidRPr="00BB5E51">
              <w:t xml:space="preserve">, </w:t>
            </w:r>
            <w:r w:rsidR="0011034C" w:rsidRPr="00BB5E51">
              <w:t>y compris</w:t>
            </w:r>
            <w:r w:rsidRPr="00BB5E51">
              <w:t xml:space="preserve"> en ce qui concerne la normalisation</w:t>
            </w:r>
          </w:p>
        </w:tc>
        <w:tc>
          <w:tcPr>
            <w:tcW w:w="1503" w:type="dxa"/>
            <w:tcBorders>
              <w:top w:val="single" w:sz="4" w:space="0" w:color="808080"/>
            </w:tcBorders>
          </w:tcPr>
          <w:p w14:paraId="607B3E90" w14:textId="77777777" w:rsidR="00836F07" w:rsidRPr="00BB5E51" w:rsidRDefault="00836F07" w:rsidP="009E55AD">
            <w:pPr>
              <w:pStyle w:val="Tabletext"/>
              <w:jc w:val="center"/>
              <w:rPr>
                <w:u w:val="single"/>
              </w:rPr>
            </w:pPr>
            <w:hyperlink r:id="rId24" w:history="1">
              <w:r w:rsidRPr="00BB5E51">
                <w:rPr>
                  <w:rStyle w:val="Hyperlink"/>
                  <w:rFonts w:eastAsia="Times New Roman" w:cs="Times New Roman"/>
                  <w:szCs w:val="20"/>
                </w:rPr>
                <w:t>C25/70</w:t>
              </w:r>
            </w:hyperlink>
          </w:p>
        </w:tc>
      </w:tr>
      <w:tr w:rsidR="00836F07" w:rsidRPr="00BB5E51" w14:paraId="3E5D06C8" w14:textId="77777777" w:rsidTr="00366D78">
        <w:tc>
          <w:tcPr>
            <w:tcW w:w="1546" w:type="dxa"/>
          </w:tcPr>
          <w:p w14:paraId="6CA643BE" w14:textId="3E075FE5" w:rsidR="00836F07" w:rsidRPr="00BB5E51" w:rsidRDefault="00836F07" w:rsidP="009E55AD">
            <w:pPr>
              <w:pStyle w:val="Tabletext"/>
              <w:jc w:val="center"/>
            </w:pPr>
          </w:p>
        </w:tc>
        <w:tc>
          <w:tcPr>
            <w:tcW w:w="7097" w:type="dxa"/>
            <w:tcBorders>
              <w:top w:val="single" w:sz="4" w:space="0" w:color="808080"/>
            </w:tcBorders>
          </w:tcPr>
          <w:p w14:paraId="4181C908" w14:textId="59B84E65" w:rsidR="00836F07" w:rsidRPr="00BB5E51" w:rsidRDefault="00836F07" w:rsidP="009E55AD">
            <w:pPr>
              <w:pStyle w:val="Tabletext"/>
            </w:pPr>
            <w:r w:rsidRPr="00BB5E51">
              <w:t>Rôle de l'UIT dans la mise en œuvre du Programme "Espace2030" l'espace comme moteur de développement durable</w:t>
            </w:r>
            <w:r w:rsidR="0011034C" w:rsidRPr="00BB5E51">
              <w:t>,</w:t>
            </w:r>
            <w:r w:rsidRPr="00BB5E51">
              <w:t xml:space="preserve"> et dans le processus de suivi et d'examen de ce programme</w:t>
            </w:r>
          </w:p>
        </w:tc>
        <w:tc>
          <w:tcPr>
            <w:tcW w:w="1503" w:type="dxa"/>
            <w:tcBorders>
              <w:top w:val="single" w:sz="4" w:space="0" w:color="808080"/>
            </w:tcBorders>
          </w:tcPr>
          <w:p w14:paraId="2B0A1F3C" w14:textId="77777777" w:rsidR="00836F07" w:rsidRPr="00BB5E51" w:rsidRDefault="00836F07" w:rsidP="009E55AD">
            <w:pPr>
              <w:pStyle w:val="Tabletext"/>
              <w:jc w:val="center"/>
              <w:rPr>
                <w:u w:val="single"/>
              </w:rPr>
            </w:pPr>
            <w:hyperlink r:id="rId25" w:history="1">
              <w:r w:rsidRPr="00BB5E51">
                <w:rPr>
                  <w:rStyle w:val="Hyperlink"/>
                  <w:rFonts w:eastAsia="Times New Roman" w:cs="Times New Roman"/>
                  <w:szCs w:val="20"/>
                </w:rPr>
                <w:t>C25/36</w:t>
              </w:r>
            </w:hyperlink>
          </w:p>
        </w:tc>
      </w:tr>
      <w:tr w:rsidR="004F244B" w:rsidRPr="00BB5E51" w14:paraId="116FB211" w14:textId="77777777" w:rsidTr="00366D78">
        <w:tc>
          <w:tcPr>
            <w:tcW w:w="1546" w:type="dxa"/>
          </w:tcPr>
          <w:p w14:paraId="11D9F329" w14:textId="649FEEA2" w:rsidR="004F244B" w:rsidRPr="00BB5E51" w:rsidRDefault="004F244B" w:rsidP="00B216C1">
            <w:pPr>
              <w:pStyle w:val="Tabletext"/>
              <w:keepNext/>
              <w:keepLines/>
              <w:jc w:val="center"/>
            </w:pPr>
          </w:p>
        </w:tc>
        <w:tc>
          <w:tcPr>
            <w:tcW w:w="7097" w:type="dxa"/>
            <w:tcBorders>
              <w:top w:val="single" w:sz="4" w:space="0" w:color="808080"/>
            </w:tcBorders>
          </w:tcPr>
          <w:p w14:paraId="715230D3" w14:textId="39D93F3B" w:rsidR="004F244B" w:rsidRPr="00BB5E51" w:rsidRDefault="004F244B" w:rsidP="00B216C1">
            <w:pPr>
              <w:pStyle w:val="Tabletext"/>
              <w:keepNext/>
              <w:keepLines/>
            </w:pPr>
            <w:r w:rsidRPr="00BB5E51">
              <w:t xml:space="preserve">Rapport sur la Résolution 214 (Bucarest, 2022) de la </w:t>
            </w:r>
            <w:r w:rsidR="0011034C" w:rsidRPr="00BB5E51">
              <w:t>Conférence de plénipotentiaires –</w:t>
            </w:r>
            <w:r w:rsidRPr="00BB5E51">
              <w:t xml:space="preserve"> Technologies d'intelligence artificielle et télécommunications/technologies de l'information</w:t>
            </w:r>
            <w:r w:rsidR="0011034C" w:rsidRPr="00BB5E51">
              <w:t xml:space="preserve"> </w:t>
            </w:r>
            <w:r w:rsidRPr="00BB5E51">
              <w:t>et de la communication</w:t>
            </w:r>
          </w:p>
        </w:tc>
        <w:tc>
          <w:tcPr>
            <w:tcW w:w="1503" w:type="dxa"/>
            <w:tcBorders>
              <w:top w:val="single" w:sz="4" w:space="0" w:color="808080"/>
            </w:tcBorders>
          </w:tcPr>
          <w:p w14:paraId="7928130C" w14:textId="77777777" w:rsidR="004F244B" w:rsidRPr="00BB5E51" w:rsidRDefault="004F244B" w:rsidP="00B216C1">
            <w:pPr>
              <w:pStyle w:val="Tabletext"/>
              <w:keepNext/>
              <w:keepLines/>
              <w:jc w:val="center"/>
              <w:rPr>
                <w:u w:val="single"/>
              </w:rPr>
            </w:pPr>
            <w:hyperlink r:id="rId26" w:history="1">
              <w:r w:rsidRPr="00BB5E51">
                <w:rPr>
                  <w:rStyle w:val="Hyperlink"/>
                  <w:rFonts w:eastAsia="Times New Roman" w:cs="Times New Roman"/>
                  <w:szCs w:val="20"/>
                </w:rPr>
                <w:t>C25/56</w:t>
              </w:r>
            </w:hyperlink>
          </w:p>
        </w:tc>
      </w:tr>
      <w:tr w:rsidR="004F244B" w:rsidRPr="00BB5E51" w14:paraId="65A9EAF4" w14:textId="77777777" w:rsidTr="00366D78">
        <w:tc>
          <w:tcPr>
            <w:tcW w:w="1546" w:type="dxa"/>
          </w:tcPr>
          <w:p w14:paraId="04268E90" w14:textId="6692A287" w:rsidR="004F244B" w:rsidRPr="00BB5E51" w:rsidRDefault="004F244B" w:rsidP="009E55AD">
            <w:pPr>
              <w:pStyle w:val="Tabletext"/>
              <w:jc w:val="center"/>
            </w:pPr>
          </w:p>
        </w:tc>
        <w:tc>
          <w:tcPr>
            <w:tcW w:w="7097" w:type="dxa"/>
            <w:tcBorders>
              <w:top w:val="single" w:sz="4" w:space="0" w:color="808080"/>
            </w:tcBorders>
          </w:tcPr>
          <w:p w14:paraId="5637D120" w14:textId="77777777" w:rsidR="004F244B" w:rsidRPr="00BB5E51" w:rsidRDefault="004F244B" w:rsidP="009E55AD">
            <w:pPr>
              <w:pStyle w:val="Tabletext"/>
            </w:pPr>
            <w:r w:rsidRPr="00BB5E51">
              <w:t>Journée mondiale des télécommunications et de la société de l'information</w:t>
            </w:r>
          </w:p>
        </w:tc>
        <w:tc>
          <w:tcPr>
            <w:tcW w:w="1503" w:type="dxa"/>
            <w:tcBorders>
              <w:top w:val="single" w:sz="4" w:space="0" w:color="808080"/>
            </w:tcBorders>
          </w:tcPr>
          <w:p w14:paraId="365E95E9" w14:textId="77777777" w:rsidR="004F244B" w:rsidRPr="00BB5E51" w:rsidRDefault="004F244B" w:rsidP="009E55AD">
            <w:pPr>
              <w:pStyle w:val="Tabletext"/>
              <w:jc w:val="center"/>
            </w:pPr>
            <w:hyperlink r:id="rId27" w:history="1">
              <w:r w:rsidRPr="00BB5E51">
                <w:rPr>
                  <w:rStyle w:val="Hyperlink"/>
                  <w:rFonts w:eastAsia="Times New Roman" w:cs="Times New Roman"/>
                  <w:szCs w:val="20"/>
                </w:rPr>
                <w:t>C25/17</w:t>
              </w:r>
            </w:hyperlink>
          </w:p>
        </w:tc>
      </w:tr>
      <w:tr w:rsidR="00836F07" w:rsidRPr="00BB5E51" w14:paraId="3753520C" w14:textId="77777777" w:rsidTr="00366D78">
        <w:tc>
          <w:tcPr>
            <w:tcW w:w="1546" w:type="dxa"/>
          </w:tcPr>
          <w:p w14:paraId="04A2A122" w14:textId="2272018B" w:rsidR="00836F07" w:rsidRPr="00BB5E51" w:rsidRDefault="00836F07" w:rsidP="009E55AD">
            <w:pPr>
              <w:pStyle w:val="Tabletext"/>
              <w:jc w:val="center"/>
            </w:pPr>
          </w:p>
        </w:tc>
        <w:tc>
          <w:tcPr>
            <w:tcW w:w="7097" w:type="dxa"/>
            <w:tcBorders>
              <w:top w:val="single" w:sz="4" w:space="0" w:color="808080"/>
            </w:tcBorders>
          </w:tcPr>
          <w:p w14:paraId="6E0C5783" w14:textId="7BDE8E4B" w:rsidR="00836F07" w:rsidRPr="00BB5E51" w:rsidRDefault="00584652" w:rsidP="009E55AD">
            <w:pPr>
              <w:pStyle w:val="Tabletext"/>
            </w:pPr>
            <w:r w:rsidRPr="00BB5E51">
              <w:t>Point sur la mise en œuvre de</w:t>
            </w:r>
            <w:r w:rsidR="00836F07" w:rsidRPr="00BB5E51">
              <w:t xml:space="preserve"> la Résolution 1408 du Conseil de l'UIT sur l'assistance et l'appui à l'Ukraine pour la reconstruction de son secteur des</w:t>
            </w:r>
            <w:r w:rsidRPr="00BB5E51">
              <w:t> </w:t>
            </w:r>
            <w:r w:rsidR="00836F07" w:rsidRPr="00BB5E51">
              <w:t>télécommunications</w:t>
            </w:r>
          </w:p>
        </w:tc>
        <w:tc>
          <w:tcPr>
            <w:tcW w:w="1503" w:type="dxa"/>
            <w:tcBorders>
              <w:top w:val="single" w:sz="4" w:space="0" w:color="808080"/>
            </w:tcBorders>
          </w:tcPr>
          <w:p w14:paraId="6A862556" w14:textId="77777777" w:rsidR="00836F07" w:rsidRPr="00BB5E51" w:rsidRDefault="00836F07" w:rsidP="009E55AD">
            <w:pPr>
              <w:pStyle w:val="Tabletext"/>
              <w:jc w:val="center"/>
              <w:rPr>
                <w:u w:val="single"/>
              </w:rPr>
            </w:pPr>
            <w:hyperlink r:id="rId28" w:history="1">
              <w:r w:rsidRPr="00BB5E51">
                <w:rPr>
                  <w:rStyle w:val="Hyperlink"/>
                  <w:rFonts w:eastAsia="Times New Roman" w:cs="Times New Roman"/>
                  <w:szCs w:val="20"/>
                </w:rPr>
                <w:t>C25/68</w:t>
              </w:r>
            </w:hyperlink>
          </w:p>
        </w:tc>
      </w:tr>
      <w:tr w:rsidR="00836F07" w:rsidRPr="00BB5E51" w14:paraId="757B31F5" w14:textId="77777777" w:rsidTr="00366D78">
        <w:tc>
          <w:tcPr>
            <w:tcW w:w="1546" w:type="dxa"/>
          </w:tcPr>
          <w:p w14:paraId="127F6F3A" w14:textId="0AB1E593" w:rsidR="00836F07" w:rsidRPr="00BB5E51" w:rsidRDefault="00836F07" w:rsidP="009E55AD">
            <w:pPr>
              <w:pStyle w:val="Tabletext"/>
              <w:jc w:val="center"/>
            </w:pPr>
          </w:p>
        </w:tc>
        <w:tc>
          <w:tcPr>
            <w:tcW w:w="7097" w:type="dxa"/>
            <w:tcBorders>
              <w:top w:val="single" w:sz="4" w:space="0" w:color="808080"/>
            </w:tcBorders>
          </w:tcPr>
          <w:p w14:paraId="3DDAC7E2" w14:textId="77777777" w:rsidR="00836F07" w:rsidRPr="00BB5E51" w:rsidRDefault="00836F07" w:rsidP="009E55AD">
            <w:pPr>
              <w:pStyle w:val="Tabletext"/>
            </w:pPr>
            <w:r w:rsidRPr="00BB5E51">
              <w:t>Rapport d'activité sur l'assistance et l'appui à la Palestine</w:t>
            </w:r>
          </w:p>
        </w:tc>
        <w:tc>
          <w:tcPr>
            <w:tcW w:w="1503" w:type="dxa"/>
            <w:tcBorders>
              <w:top w:val="single" w:sz="4" w:space="0" w:color="808080"/>
            </w:tcBorders>
          </w:tcPr>
          <w:p w14:paraId="0D32EB57" w14:textId="77777777" w:rsidR="00836F07" w:rsidRPr="00BB5E51" w:rsidRDefault="00836F07" w:rsidP="009E55AD">
            <w:pPr>
              <w:pStyle w:val="Tabletext"/>
              <w:jc w:val="center"/>
              <w:rPr>
                <w:u w:val="single"/>
              </w:rPr>
            </w:pPr>
            <w:hyperlink r:id="rId29" w:history="1">
              <w:r w:rsidRPr="00BB5E51">
                <w:rPr>
                  <w:rStyle w:val="Hyperlink"/>
                  <w:rFonts w:eastAsia="Times New Roman" w:cs="Times New Roman"/>
                  <w:szCs w:val="20"/>
                </w:rPr>
                <w:t>C25/71</w:t>
              </w:r>
            </w:hyperlink>
          </w:p>
        </w:tc>
      </w:tr>
      <w:tr w:rsidR="00836F07" w:rsidRPr="00BB5E51" w14:paraId="03452A60" w14:textId="77777777" w:rsidTr="00366D78">
        <w:tc>
          <w:tcPr>
            <w:tcW w:w="1546" w:type="dxa"/>
          </w:tcPr>
          <w:p w14:paraId="12387D8A" w14:textId="65C0F518" w:rsidR="00836F07" w:rsidRPr="00BB5E51" w:rsidRDefault="00836F07" w:rsidP="009E55AD">
            <w:pPr>
              <w:pStyle w:val="Tabletext"/>
              <w:jc w:val="center"/>
            </w:pPr>
          </w:p>
        </w:tc>
        <w:tc>
          <w:tcPr>
            <w:tcW w:w="7097" w:type="dxa"/>
            <w:tcBorders>
              <w:top w:val="single" w:sz="4" w:space="0" w:color="808080"/>
            </w:tcBorders>
          </w:tcPr>
          <w:p w14:paraId="1C34E297" w14:textId="77777777" w:rsidR="00836F07" w:rsidRPr="00BB5E51" w:rsidRDefault="00836F07" w:rsidP="009E55AD">
            <w:pPr>
              <w:pStyle w:val="Tabletext"/>
            </w:pPr>
            <w:r w:rsidRPr="00BB5E51">
              <w:t>Activités d'appui à la reconstruction des infrastructures dans les pays concernés</w:t>
            </w:r>
          </w:p>
        </w:tc>
        <w:tc>
          <w:tcPr>
            <w:tcW w:w="1503" w:type="dxa"/>
            <w:tcBorders>
              <w:top w:val="single" w:sz="4" w:space="0" w:color="808080"/>
            </w:tcBorders>
          </w:tcPr>
          <w:p w14:paraId="33E56AF6" w14:textId="77777777" w:rsidR="00836F07" w:rsidRPr="00BB5E51" w:rsidRDefault="00836F07" w:rsidP="009E55AD">
            <w:pPr>
              <w:pStyle w:val="Tabletext"/>
              <w:jc w:val="center"/>
            </w:pPr>
            <w:hyperlink r:id="rId30" w:history="1">
              <w:r w:rsidRPr="00BB5E51">
                <w:rPr>
                  <w:rStyle w:val="Hyperlink"/>
                  <w:rFonts w:eastAsia="Times New Roman" w:cs="Times New Roman"/>
                  <w:szCs w:val="20"/>
                </w:rPr>
                <w:t>C25/72</w:t>
              </w:r>
            </w:hyperlink>
          </w:p>
        </w:tc>
      </w:tr>
      <w:tr w:rsidR="00836F07" w:rsidRPr="00BB5E51" w14:paraId="42083B47" w14:textId="77777777" w:rsidTr="00366D78">
        <w:tc>
          <w:tcPr>
            <w:tcW w:w="1546" w:type="dxa"/>
          </w:tcPr>
          <w:p w14:paraId="0F775189" w14:textId="36877881" w:rsidR="00836F07" w:rsidRPr="00BB5E51" w:rsidRDefault="00836F07" w:rsidP="009E55AD">
            <w:pPr>
              <w:pStyle w:val="Tabletext"/>
              <w:jc w:val="center"/>
            </w:pPr>
          </w:p>
        </w:tc>
        <w:tc>
          <w:tcPr>
            <w:tcW w:w="7097" w:type="dxa"/>
            <w:tcBorders>
              <w:top w:val="single" w:sz="4" w:space="0" w:color="808080"/>
            </w:tcBorders>
          </w:tcPr>
          <w:p w14:paraId="6F7FB223" w14:textId="77777777" w:rsidR="00836F07" w:rsidRPr="00BB5E51" w:rsidRDefault="00836F07" w:rsidP="009E55AD">
            <w:pPr>
              <w:pStyle w:val="Tabletext"/>
            </w:pPr>
            <w:r w:rsidRPr="00BB5E51">
              <w:t>Activités de l'UIT relatives à la mise en œuvre de la Résolution 1429 du Conseil</w:t>
            </w:r>
          </w:p>
        </w:tc>
        <w:tc>
          <w:tcPr>
            <w:tcW w:w="1503" w:type="dxa"/>
            <w:tcBorders>
              <w:top w:val="single" w:sz="4" w:space="0" w:color="808080"/>
            </w:tcBorders>
          </w:tcPr>
          <w:p w14:paraId="10E1D07E" w14:textId="77777777" w:rsidR="00836F07" w:rsidRPr="00BB5E51" w:rsidRDefault="00836F07" w:rsidP="009E55AD">
            <w:pPr>
              <w:pStyle w:val="Tabletext"/>
              <w:jc w:val="center"/>
              <w:rPr>
                <w:u w:val="single"/>
              </w:rPr>
            </w:pPr>
            <w:hyperlink r:id="rId31" w:history="1">
              <w:r w:rsidRPr="00BB5E51">
                <w:rPr>
                  <w:rStyle w:val="Hyperlink"/>
                  <w:rFonts w:eastAsia="Times New Roman" w:cs="Times New Roman"/>
                  <w:szCs w:val="20"/>
                </w:rPr>
                <w:t>C25/45</w:t>
              </w:r>
            </w:hyperlink>
          </w:p>
        </w:tc>
      </w:tr>
      <w:tr w:rsidR="00836F07" w:rsidRPr="00BB5E51" w14:paraId="34AECE6F" w14:textId="77777777" w:rsidTr="009711C2">
        <w:tc>
          <w:tcPr>
            <w:tcW w:w="1546" w:type="dxa"/>
          </w:tcPr>
          <w:p w14:paraId="50D6F3E6" w14:textId="0626BE17" w:rsidR="00836F07" w:rsidRPr="00BB5E51" w:rsidRDefault="00836F07" w:rsidP="009E55AD">
            <w:pPr>
              <w:pStyle w:val="Tabletext"/>
              <w:jc w:val="center"/>
            </w:pPr>
          </w:p>
        </w:tc>
        <w:tc>
          <w:tcPr>
            <w:tcW w:w="7097" w:type="dxa"/>
            <w:tcBorders>
              <w:top w:val="single" w:sz="4" w:space="0" w:color="808080"/>
            </w:tcBorders>
          </w:tcPr>
          <w:p w14:paraId="6157A7FA" w14:textId="77777777" w:rsidR="00836F07" w:rsidRPr="00BB5E51" w:rsidRDefault="00836F07" w:rsidP="009E55AD">
            <w:pPr>
              <w:pStyle w:val="Tabletext"/>
            </w:pPr>
            <w:r w:rsidRPr="00BB5E51">
              <w:t>Rapport de la Commission permanente de l'administration et de la gestion</w:t>
            </w:r>
          </w:p>
        </w:tc>
        <w:tc>
          <w:tcPr>
            <w:tcW w:w="1503" w:type="dxa"/>
            <w:tcBorders>
              <w:top w:val="single" w:sz="4" w:space="0" w:color="808080"/>
              <w:right w:val="single" w:sz="8" w:space="0" w:color="auto"/>
            </w:tcBorders>
          </w:tcPr>
          <w:p w14:paraId="7AD41176" w14:textId="77777777" w:rsidR="00836F07" w:rsidRPr="00BB5E51" w:rsidRDefault="00836F07" w:rsidP="009E55AD">
            <w:pPr>
              <w:pStyle w:val="Tabletext"/>
              <w:jc w:val="center"/>
            </w:pPr>
            <w:r w:rsidRPr="00BB5E51">
              <w:t>–</w:t>
            </w:r>
          </w:p>
        </w:tc>
      </w:tr>
      <w:tr w:rsidR="00366D78" w:rsidRPr="00BB5E51" w14:paraId="05D46A84" w14:textId="77777777" w:rsidTr="009711C2">
        <w:tc>
          <w:tcPr>
            <w:tcW w:w="1546" w:type="dxa"/>
            <w:tcBorders>
              <w:top w:val="single" w:sz="4" w:space="0" w:color="808080"/>
              <w:bottom w:val="single" w:sz="4" w:space="0" w:color="808080"/>
              <w:right w:val="single" w:sz="4" w:space="0" w:color="808080" w:themeColor="background1" w:themeShade="80"/>
            </w:tcBorders>
            <w:shd w:val="clear" w:color="auto" w:fill="D9D9D9"/>
          </w:tcPr>
          <w:p w14:paraId="313247D3" w14:textId="77777777" w:rsidR="00366D78" w:rsidRPr="00BB5E51" w:rsidRDefault="00366D78" w:rsidP="009E55AD">
            <w:pPr>
              <w:pStyle w:val="Tabletext"/>
              <w:spacing w:before="120" w:after="120"/>
              <w:jc w:val="center"/>
              <w:rPr>
                <w:b/>
                <w:bCs/>
              </w:rPr>
            </w:pPr>
            <w:r w:rsidRPr="00BB5E51">
              <w:rPr>
                <w:b/>
                <w:bCs/>
              </w:rPr>
              <w:t>PL 3</w:t>
            </w:r>
          </w:p>
        </w:tc>
        <w:tc>
          <w:tcPr>
            <w:tcW w:w="8600" w:type="dxa"/>
            <w:gridSpan w:val="2"/>
            <w:tcBorders>
              <w:top w:val="single" w:sz="4" w:space="0" w:color="808080"/>
              <w:left w:val="single" w:sz="4" w:space="0" w:color="808080" w:themeColor="background1" w:themeShade="80"/>
              <w:bottom w:val="single" w:sz="4" w:space="0" w:color="808080"/>
              <w:right w:val="single" w:sz="8" w:space="0" w:color="auto"/>
            </w:tcBorders>
            <w:shd w:val="clear" w:color="auto" w:fill="D9D9D9"/>
          </w:tcPr>
          <w:p w14:paraId="4A60FCF0" w14:textId="5E065532" w:rsidR="00366D78" w:rsidRPr="00BB5E51" w:rsidRDefault="00366D78" w:rsidP="009E55AD">
            <w:pPr>
              <w:pStyle w:val="Tabletext"/>
              <w:spacing w:before="120" w:after="120"/>
              <w:rPr>
                <w:b/>
                <w:bCs/>
              </w:rPr>
            </w:pPr>
            <w:r w:rsidRPr="00BB5E51">
              <w:rPr>
                <w:b/>
                <w:bCs/>
              </w:rPr>
              <w:t>Amélioration de la gouvernance (questions relatives aux conférences statutaires, aux assemblées, au Conseil et aux groupes de travail du Conseil de l'UIT, RRB)</w:t>
            </w:r>
          </w:p>
        </w:tc>
      </w:tr>
      <w:tr w:rsidR="00836F07" w:rsidRPr="00BB5E51" w14:paraId="499980D5" w14:textId="77777777" w:rsidTr="00366D78">
        <w:tc>
          <w:tcPr>
            <w:tcW w:w="1546" w:type="dxa"/>
            <w:tcBorders>
              <w:top w:val="single" w:sz="4" w:space="0" w:color="808080"/>
            </w:tcBorders>
          </w:tcPr>
          <w:p w14:paraId="41070FF0" w14:textId="09AC0243" w:rsidR="00836F07" w:rsidRPr="00BB5E51" w:rsidDel="00712592" w:rsidRDefault="00836F07" w:rsidP="009E55AD">
            <w:pPr>
              <w:pStyle w:val="Tabletext"/>
              <w:jc w:val="center"/>
            </w:pPr>
          </w:p>
        </w:tc>
        <w:tc>
          <w:tcPr>
            <w:tcW w:w="7097" w:type="dxa"/>
            <w:tcBorders>
              <w:top w:val="single" w:sz="4" w:space="0" w:color="808080"/>
            </w:tcBorders>
          </w:tcPr>
          <w:p w14:paraId="46FB36B0" w14:textId="1A04B84A" w:rsidR="00836F07" w:rsidRPr="00BB5E51" w:rsidRDefault="00836F07" w:rsidP="009E55AD">
            <w:pPr>
              <w:pStyle w:val="Tabletext"/>
            </w:pPr>
            <w:r w:rsidRPr="00BB5E51">
              <w:t xml:space="preserve">Rapport sur le Colloque mondial sur la normalisation (GSS-24) et </w:t>
            </w:r>
            <w:r w:rsidR="009C2657" w:rsidRPr="00BB5E51">
              <w:t xml:space="preserve">sur </w:t>
            </w:r>
            <w:r w:rsidRPr="00BB5E51">
              <w:t>l'Assemblée mondiale de normalisation des télécommunications (AMNT-24)</w:t>
            </w:r>
          </w:p>
        </w:tc>
        <w:tc>
          <w:tcPr>
            <w:tcW w:w="1503" w:type="dxa"/>
            <w:tcBorders>
              <w:top w:val="single" w:sz="4" w:space="0" w:color="808080"/>
            </w:tcBorders>
          </w:tcPr>
          <w:p w14:paraId="2E6DE93C" w14:textId="77777777" w:rsidR="00836F07" w:rsidRPr="00BB5E51" w:rsidRDefault="00836F07" w:rsidP="009E55AD">
            <w:pPr>
              <w:pStyle w:val="Tabletext"/>
              <w:jc w:val="center"/>
              <w:rPr>
                <w:u w:val="single"/>
              </w:rPr>
            </w:pPr>
            <w:hyperlink r:id="rId32" w:history="1">
              <w:r w:rsidRPr="00BB5E51">
                <w:rPr>
                  <w:rStyle w:val="Hyperlink"/>
                  <w:rFonts w:eastAsia="Times New Roman" w:cs="Times New Roman"/>
                  <w:szCs w:val="20"/>
                </w:rPr>
                <w:t>C25/24</w:t>
              </w:r>
            </w:hyperlink>
          </w:p>
        </w:tc>
      </w:tr>
      <w:tr w:rsidR="00836F07" w:rsidRPr="00BB5E51" w14:paraId="18D7C170" w14:textId="77777777" w:rsidTr="00366D78">
        <w:tc>
          <w:tcPr>
            <w:tcW w:w="1546" w:type="dxa"/>
          </w:tcPr>
          <w:p w14:paraId="20F043A6" w14:textId="26DF6E87" w:rsidR="00836F07" w:rsidRPr="00BB5E51" w:rsidRDefault="00836F07" w:rsidP="009E55AD">
            <w:pPr>
              <w:pStyle w:val="Tabletext"/>
              <w:jc w:val="center"/>
            </w:pPr>
          </w:p>
        </w:tc>
        <w:tc>
          <w:tcPr>
            <w:tcW w:w="7097" w:type="dxa"/>
          </w:tcPr>
          <w:p w14:paraId="3C5FE9BB" w14:textId="77777777" w:rsidR="00836F07" w:rsidRPr="00BB5E51" w:rsidRDefault="00836F07" w:rsidP="009E55AD">
            <w:pPr>
              <w:pStyle w:val="Tabletext"/>
            </w:pPr>
            <w:r w:rsidRPr="00BB5E51">
              <w:t>Rapport sur les travaux préparatoires en vue de la Conférence mondiale de développement des télécommunications de 2025</w:t>
            </w:r>
          </w:p>
        </w:tc>
        <w:tc>
          <w:tcPr>
            <w:tcW w:w="1503" w:type="dxa"/>
          </w:tcPr>
          <w:p w14:paraId="46968E23" w14:textId="77777777" w:rsidR="00836F07" w:rsidRPr="00BB5E51" w:rsidRDefault="00836F07" w:rsidP="009E55AD">
            <w:pPr>
              <w:pStyle w:val="Tabletext"/>
              <w:jc w:val="center"/>
              <w:rPr>
                <w:u w:val="single"/>
              </w:rPr>
            </w:pPr>
            <w:hyperlink r:id="rId33" w:history="1">
              <w:r w:rsidRPr="00BB5E51">
                <w:rPr>
                  <w:rStyle w:val="Hyperlink"/>
                  <w:rFonts w:eastAsia="Times New Roman" w:cs="Times New Roman"/>
                  <w:szCs w:val="20"/>
                </w:rPr>
                <w:t>C25/30</w:t>
              </w:r>
            </w:hyperlink>
          </w:p>
        </w:tc>
      </w:tr>
      <w:tr w:rsidR="00836F07" w:rsidRPr="00BB5E51" w14:paraId="1EB8F39E" w14:textId="77777777" w:rsidTr="00366D78">
        <w:tc>
          <w:tcPr>
            <w:tcW w:w="1546" w:type="dxa"/>
          </w:tcPr>
          <w:p w14:paraId="2824AEAB" w14:textId="17230021" w:rsidR="00836F07" w:rsidRPr="00BB5E51" w:rsidRDefault="00836F07" w:rsidP="009E55AD">
            <w:pPr>
              <w:pStyle w:val="Tabletext"/>
              <w:jc w:val="center"/>
            </w:pPr>
          </w:p>
        </w:tc>
        <w:tc>
          <w:tcPr>
            <w:tcW w:w="7097" w:type="dxa"/>
          </w:tcPr>
          <w:p w14:paraId="224DACD1" w14:textId="77777777" w:rsidR="00836F07" w:rsidRPr="00BB5E51" w:rsidRDefault="00836F07" w:rsidP="009E55AD">
            <w:pPr>
              <w:pStyle w:val="Tabletext"/>
            </w:pPr>
            <w:r w:rsidRPr="00BB5E51">
              <w:t>Travaux préparatoires en vue du Forum mondial des politiques de télécommunication et des technologies de l'information et des communications de 2026 (FMPT-26)</w:t>
            </w:r>
          </w:p>
        </w:tc>
        <w:tc>
          <w:tcPr>
            <w:tcW w:w="1503" w:type="dxa"/>
          </w:tcPr>
          <w:p w14:paraId="18EB8779" w14:textId="77777777" w:rsidR="00836F07" w:rsidRPr="00BB5E51" w:rsidRDefault="00836F07" w:rsidP="009E55AD">
            <w:pPr>
              <w:pStyle w:val="Tabletext"/>
              <w:jc w:val="center"/>
              <w:rPr>
                <w:u w:val="single"/>
              </w:rPr>
            </w:pPr>
            <w:hyperlink r:id="rId34" w:history="1">
              <w:r w:rsidRPr="00BB5E51">
                <w:rPr>
                  <w:rStyle w:val="Hyperlink"/>
                  <w:rFonts w:eastAsia="Times New Roman" w:cs="Times New Roman"/>
                  <w:szCs w:val="20"/>
                </w:rPr>
                <w:t>C25/5</w:t>
              </w:r>
            </w:hyperlink>
          </w:p>
        </w:tc>
      </w:tr>
      <w:tr w:rsidR="00836F07" w:rsidRPr="00BB5E51" w14:paraId="65C790C8" w14:textId="77777777" w:rsidTr="00366D78">
        <w:tc>
          <w:tcPr>
            <w:tcW w:w="1546" w:type="dxa"/>
          </w:tcPr>
          <w:p w14:paraId="3866B2E4" w14:textId="34C8AF0E" w:rsidR="00836F07" w:rsidRPr="00BB5E51" w:rsidRDefault="00836F07" w:rsidP="009E55AD">
            <w:pPr>
              <w:pStyle w:val="Tabletext"/>
              <w:jc w:val="center"/>
            </w:pPr>
          </w:p>
        </w:tc>
        <w:tc>
          <w:tcPr>
            <w:tcW w:w="7097" w:type="dxa"/>
          </w:tcPr>
          <w:p w14:paraId="56E99B09" w14:textId="4EA36B20" w:rsidR="00836F07" w:rsidRPr="00BB5E51" w:rsidRDefault="00836F07" w:rsidP="009E55AD">
            <w:pPr>
              <w:pStyle w:val="Tabletext"/>
            </w:pPr>
            <w:r w:rsidRPr="00BB5E51">
              <w:t>Travaux préparatoires en vue de la Conférence de plénipotentiaires de 2026</w:t>
            </w:r>
          </w:p>
        </w:tc>
        <w:tc>
          <w:tcPr>
            <w:tcW w:w="1503" w:type="dxa"/>
          </w:tcPr>
          <w:p w14:paraId="5AED89AD" w14:textId="77777777" w:rsidR="00836F07" w:rsidRPr="00BB5E51" w:rsidDel="00BF346B" w:rsidRDefault="00836F07" w:rsidP="009E55AD">
            <w:pPr>
              <w:pStyle w:val="Tabletext"/>
              <w:jc w:val="center"/>
              <w:rPr>
                <w:u w:val="single"/>
              </w:rPr>
            </w:pPr>
            <w:hyperlink r:id="rId35" w:history="1">
              <w:r w:rsidRPr="00BB5E51">
                <w:rPr>
                  <w:rStyle w:val="Hyperlink"/>
                  <w:rFonts w:eastAsia="Times New Roman" w:cs="Times New Roman"/>
                  <w:szCs w:val="20"/>
                </w:rPr>
                <w:t>C25/4</w:t>
              </w:r>
            </w:hyperlink>
          </w:p>
        </w:tc>
      </w:tr>
      <w:tr w:rsidR="004F244B" w:rsidRPr="00BB5E51" w14:paraId="122A5E7B" w14:textId="77777777" w:rsidTr="00366D78">
        <w:tc>
          <w:tcPr>
            <w:tcW w:w="1546" w:type="dxa"/>
          </w:tcPr>
          <w:p w14:paraId="340A27D1" w14:textId="11F0875A" w:rsidR="004F244B" w:rsidRPr="00BB5E51" w:rsidRDefault="004F244B" w:rsidP="00B216C1">
            <w:pPr>
              <w:pStyle w:val="Tabletext"/>
              <w:keepNext/>
              <w:keepLines/>
              <w:jc w:val="center"/>
            </w:pPr>
          </w:p>
        </w:tc>
        <w:tc>
          <w:tcPr>
            <w:tcW w:w="7097" w:type="dxa"/>
          </w:tcPr>
          <w:p w14:paraId="04A64AA1" w14:textId="77777777" w:rsidR="004F244B" w:rsidRPr="00BB5E51" w:rsidRDefault="004F244B" w:rsidP="00B216C1">
            <w:pPr>
              <w:pStyle w:val="Tabletext"/>
              <w:keepNext/>
              <w:keepLines/>
            </w:pPr>
            <w:r w:rsidRPr="00BB5E51">
              <w:t>Lignes directrices relatives à l'harmonisation des Résolutions et des Décisions de la Conférence de plénipotentiaires</w:t>
            </w:r>
          </w:p>
        </w:tc>
        <w:tc>
          <w:tcPr>
            <w:tcW w:w="1503" w:type="dxa"/>
          </w:tcPr>
          <w:p w14:paraId="7A89C3D3" w14:textId="77777777" w:rsidR="004F244B" w:rsidRPr="00BB5E51" w:rsidRDefault="004F244B" w:rsidP="00B216C1">
            <w:pPr>
              <w:pStyle w:val="Tabletext"/>
              <w:keepNext/>
              <w:keepLines/>
              <w:jc w:val="center"/>
            </w:pPr>
            <w:hyperlink r:id="rId36" w:history="1">
              <w:r w:rsidRPr="00BB5E51">
                <w:rPr>
                  <w:rStyle w:val="Hyperlink"/>
                  <w:rFonts w:eastAsia="Times New Roman" w:cs="Times New Roman"/>
                  <w:szCs w:val="20"/>
                </w:rPr>
                <w:t>C25/29</w:t>
              </w:r>
            </w:hyperlink>
          </w:p>
        </w:tc>
      </w:tr>
      <w:tr w:rsidR="00836F07" w:rsidRPr="00BB5E51" w14:paraId="44A58BD6" w14:textId="77777777" w:rsidTr="00366D78">
        <w:tc>
          <w:tcPr>
            <w:tcW w:w="1546" w:type="dxa"/>
          </w:tcPr>
          <w:p w14:paraId="5524FA55" w14:textId="53854450" w:rsidR="00836F07" w:rsidRPr="00BB5E51" w:rsidRDefault="00836F07" w:rsidP="009E55AD">
            <w:pPr>
              <w:pStyle w:val="Tabletext"/>
              <w:jc w:val="center"/>
            </w:pPr>
          </w:p>
        </w:tc>
        <w:tc>
          <w:tcPr>
            <w:tcW w:w="7097" w:type="dxa"/>
          </w:tcPr>
          <w:p w14:paraId="06A478D5" w14:textId="77777777" w:rsidR="00836F07" w:rsidRPr="00BB5E51" w:rsidRDefault="00836F07" w:rsidP="009E55AD">
            <w:pPr>
              <w:pStyle w:val="Tabletext"/>
            </w:pPr>
            <w:r w:rsidRPr="00BB5E51">
              <w:t>Rapport sur les lieux proposés pour l'AR-27, la CMR-27 et la RPC31-1</w:t>
            </w:r>
          </w:p>
        </w:tc>
        <w:tc>
          <w:tcPr>
            <w:tcW w:w="1503" w:type="dxa"/>
          </w:tcPr>
          <w:p w14:paraId="6EBC30B5" w14:textId="77777777" w:rsidR="00836F07" w:rsidRPr="00BB5E51" w:rsidRDefault="00836F07" w:rsidP="009E55AD">
            <w:pPr>
              <w:pStyle w:val="Tabletext"/>
              <w:jc w:val="center"/>
            </w:pPr>
            <w:hyperlink r:id="rId37" w:history="1">
              <w:r w:rsidRPr="00BB5E51">
                <w:rPr>
                  <w:rStyle w:val="Hyperlink"/>
                  <w:rFonts w:eastAsia="Times New Roman" w:cs="Times New Roman"/>
                  <w:szCs w:val="20"/>
                </w:rPr>
                <w:t>C25/58</w:t>
              </w:r>
            </w:hyperlink>
          </w:p>
        </w:tc>
      </w:tr>
      <w:tr w:rsidR="00836F07" w:rsidRPr="00BB5E51" w14:paraId="4CFC237F" w14:textId="77777777" w:rsidTr="00366D78">
        <w:tc>
          <w:tcPr>
            <w:tcW w:w="1546" w:type="dxa"/>
          </w:tcPr>
          <w:p w14:paraId="1DF262CB" w14:textId="3A9A88E1" w:rsidR="00836F07" w:rsidRPr="00BB5E51" w:rsidRDefault="00836F07" w:rsidP="009E55AD">
            <w:pPr>
              <w:pStyle w:val="Tabletext"/>
              <w:jc w:val="center"/>
            </w:pPr>
          </w:p>
        </w:tc>
        <w:tc>
          <w:tcPr>
            <w:tcW w:w="7097" w:type="dxa"/>
          </w:tcPr>
          <w:p w14:paraId="76C4B53F" w14:textId="7EF27E35" w:rsidR="00836F07" w:rsidRPr="00BB5E51" w:rsidRDefault="00836F07" w:rsidP="009E55AD">
            <w:pPr>
              <w:pStyle w:val="Tabletext"/>
            </w:pPr>
            <w:r w:rsidRPr="00BB5E51">
              <w:t>Lettre de l'Administration de l'Inde concernant la Conférence de plénipotentiaires de 2030</w:t>
            </w:r>
          </w:p>
        </w:tc>
        <w:tc>
          <w:tcPr>
            <w:tcW w:w="1503" w:type="dxa"/>
          </w:tcPr>
          <w:p w14:paraId="736A383B" w14:textId="77777777" w:rsidR="00836F07" w:rsidRPr="00BB5E51" w:rsidRDefault="00836F07" w:rsidP="009E55AD">
            <w:pPr>
              <w:pStyle w:val="Tabletext"/>
              <w:jc w:val="center"/>
            </w:pPr>
            <w:hyperlink r:id="rId38" w:history="1">
              <w:r w:rsidRPr="00BB5E51">
                <w:rPr>
                  <w:rStyle w:val="Hyperlink"/>
                  <w:rFonts w:eastAsia="Times New Roman" w:cs="Times New Roman"/>
                  <w:szCs w:val="20"/>
                </w:rPr>
                <w:t>C25/19</w:t>
              </w:r>
            </w:hyperlink>
          </w:p>
        </w:tc>
      </w:tr>
      <w:tr w:rsidR="004F244B" w:rsidRPr="00BB5E51" w14:paraId="50C5CE32" w14:textId="77777777" w:rsidTr="00366D78">
        <w:tc>
          <w:tcPr>
            <w:tcW w:w="1546" w:type="dxa"/>
          </w:tcPr>
          <w:p w14:paraId="7FEAA6E9" w14:textId="5581F515" w:rsidR="004F244B" w:rsidRPr="00BB5E51" w:rsidRDefault="004F244B" w:rsidP="009E55AD">
            <w:pPr>
              <w:pStyle w:val="Tabletext"/>
              <w:jc w:val="center"/>
            </w:pPr>
          </w:p>
        </w:tc>
        <w:tc>
          <w:tcPr>
            <w:tcW w:w="7097" w:type="dxa"/>
          </w:tcPr>
          <w:p w14:paraId="6812286F" w14:textId="77777777" w:rsidR="004F244B" w:rsidRPr="00BB5E51" w:rsidRDefault="004F244B" w:rsidP="009E55AD">
            <w:pPr>
              <w:pStyle w:val="Tabletext"/>
            </w:pPr>
            <w:r w:rsidRPr="00BB5E51">
              <w:t>Liste des Présidents et Vice-Présidents des Groupes de travail du Conseil et des Groupes d'experts</w:t>
            </w:r>
          </w:p>
        </w:tc>
        <w:tc>
          <w:tcPr>
            <w:tcW w:w="1503" w:type="dxa"/>
          </w:tcPr>
          <w:p w14:paraId="1BA62AD4" w14:textId="77777777" w:rsidR="004F244B" w:rsidRPr="00BB5E51" w:rsidRDefault="004F244B" w:rsidP="009E55AD">
            <w:pPr>
              <w:pStyle w:val="Tabletext"/>
              <w:jc w:val="center"/>
              <w:rPr>
                <w:u w:val="single"/>
              </w:rPr>
            </w:pPr>
            <w:hyperlink r:id="rId39" w:history="1">
              <w:r w:rsidRPr="00BB5E51">
                <w:rPr>
                  <w:rStyle w:val="Hyperlink"/>
                  <w:rFonts w:eastAsia="Times New Roman" w:cs="Times New Roman"/>
                  <w:szCs w:val="20"/>
                </w:rPr>
                <w:t>C25/21</w:t>
              </w:r>
            </w:hyperlink>
          </w:p>
        </w:tc>
      </w:tr>
      <w:tr w:rsidR="00836F07" w:rsidRPr="00BB5E51" w14:paraId="2EFD7292" w14:textId="77777777" w:rsidTr="00366D78">
        <w:tc>
          <w:tcPr>
            <w:tcW w:w="1546" w:type="dxa"/>
          </w:tcPr>
          <w:p w14:paraId="7A10E00B" w14:textId="75A3FC32" w:rsidR="00836F07" w:rsidRPr="00BB5E51" w:rsidRDefault="00836F07" w:rsidP="009E55AD">
            <w:pPr>
              <w:pStyle w:val="Tabletext"/>
              <w:jc w:val="center"/>
            </w:pPr>
          </w:p>
        </w:tc>
        <w:tc>
          <w:tcPr>
            <w:tcW w:w="7097" w:type="dxa"/>
          </w:tcPr>
          <w:p w14:paraId="7470072B" w14:textId="77777777" w:rsidR="00836F07" w:rsidRPr="00BB5E51" w:rsidRDefault="00836F07" w:rsidP="009E55AD">
            <w:pPr>
              <w:pStyle w:val="Tabletext"/>
            </w:pPr>
            <w:r w:rsidRPr="00BB5E51">
              <w:t>Dates et durée proposées pour les sessions de 2026, 2027 et 2028 du Conseil et dates proposées pour les séries de réunions des Groupes de travail du Conseil et des Groupes d'experts pour la même période</w:t>
            </w:r>
          </w:p>
        </w:tc>
        <w:tc>
          <w:tcPr>
            <w:tcW w:w="1503" w:type="dxa"/>
          </w:tcPr>
          <w:p w14:paraId="08D00286" w14:textId="77777777" w:rsidR="00836F07" w:rsidRPr="00BB5E51" w:rsidRDefault="00836F07" w:rsidP="009E55AD">
            <w:pPr>
              <w:pStyle w:val="Tabletext"/>
              <w:jc w:val="center"/>
              <w:rPr>
                <w:u w:val="single"/>
              </w:rPr>
            </w:pPr>
            <w:hyperlink r:id="rId40" w:history="1">
              <w:r w:rsidRPr="00BB5E51">
                <w:rPr>
                  <w:rStyle w:val="Hyperlink"/>
                  <w:rFonts w:eastAsia="Times New Roman" w:cs="Times New Roman"/>
                  <w:szCs w:val="20"/>
                </w:rPr>
                <w:t>C25/2</w:t>
              </w:r>
            </w:hyperlink>
          </w:p>
        </w:tc>
      </w:tr>
      <w:tr w:rsidR="00836F07" w:rsidRPr="00BB5E51" w14:paraId="32FAAC9B" w14:textId="77777777" w:rsidTr="00366D78">
        <w:tc>
          <w:tcPr>
            <w:tcW w:w="1546" w:type="dxa"/>
          </w:tcPr>
          <w:p w14:paraId="4C21251A" w14:textId="2F0EF4A3" w:rsidR="00836F07" w:rsidRPr="00BB5E51" w:rsidRDefault="00836F07" w:rsidP="009E55AD">
            <w:pPr>
              <w:pStyle w:val="Tabletext"/>
              <w:jc w:val="center"/>
            </w:pPr>
          </w:p>
        </w:tc>
        <w:tc>
          <w:tcPr>
            <w:tcW w:w="7097" w:type="dxa"/>
          </w:tcPr>
          <w:p w14:paraId="2E993D06" w14:textId="34F3A85A" w:rsidR="00836F07" w:rsidRPr="00BB5E51" w:rsidRDefault="00836F07" w:rsidP="009E55AD">
            <w:pPr>
              <w:pStyle w:val="Tabletext"/>
            </w:pPr>
            <w:r w:rsidRPr="00BB5E51">
              <w:t>Calendrier des conférences, assemblées et réunions futures de l'Union</w:t>
            </w:r>
            <w:r w:rsidR="00C26A14" w:rsidRPr="00BB5E51">
              <w:t xml:space="preserve"> pour la période </w:t>
            </w:r>
            <w:r w:rsidRPr="00BB5E51">
              <w:t>2025-2028</w:t>
            </w:r>
          </w:p>
        </w:tc>
        <w:tc>
          <w:tcPr>
            <w:tcW w:w="1503" w:type="dxa"/>
          </w:tcPr>
          <w:p w14:paraId="47C6DC35" w14:textId="77777777" w:rsidR="00836F07" w:rsidRPr="00BB5E51" w:rsidRDefault="00836F07" w:rsidP="009E55AD">
            <w:pPr>
              <w:pStyle w:val="Tabletext"/>
              <w:jc w:val="center"/>
              <w:rPr>
                <w:u w:val="single"/>
              </w:rPr>
            </w:pPr>
            <w:hyperlink r:id="rId41" w:history="1">
              <w:r w:rsidRPr="00BB5E51">
                <w:rPr>
                  <w:rStyle w:val="Hyperlink"/>
                  <w:rFonts w:eastAsia="Times New Roman" w:cs="Times New Roman"/>
                  <w:szCs w:val="20"/>
                </w:rPr>
                <w:t>C25/37</w:t>
              </w:r>
            </w:hyperlink>
          </w:p>
        </w:tc>
      </w:tr>
      <w:tr w:rsidR="00836F07" w:rsidRPr="00BB5E51" w14:paraId="20507F66" w14:textId="77777777" w:rsidTr="00366D78">
        <w:tc>
          <w:tcPr>
            <w:tcW w:w="1546" w:type="dxa"/>
          </w:tcPr>
          <w:p w14:paraId="55BC777F" w14:textId="6BCBEF66" w:rsidR="00836F07" w:rsidRPr="00BB5E51" w:rsidRDefault="00836F07" w:rsidP="009E55AD">
            <w:pPr>
              <w:pStyle w:val="Tabletext"/>
              <w:jc w:val="center"/>
            </w:pPr>
          </w:p>
        </w:tc>
        <w:tc>
          <w:tcPr>
            <w:tcW w:w="7097" w:type="dxa"/>
          </w:tcPr>
          <w:p w14:paraId="6F29B2AE" w14:textId="2FBB48B7" w:rsidR="00836F07" w:rsidRPr="00BB5E51" w:rsidRDefault="00836F07" w:rsidP="009E55AD">
            <w:pPr>
              <w:pStyle w:val="Tabletext"/>
            </w:pPr>
            <w:r w:rsidRPr="00BB5E51">
              <w:t>Résolutions et Décisions du Conseil devenues caduques</w:t>
            </w:r>
          </w:p>
        </w:tc>
        <w:tc>
          <w:tcPr>
            <w:tcW w:w="1503" w:type="dxa"/>
          </w:tcPr>
          <w:p w14:paraId="2DB8A9A2" w14:textId="77777777" w:rsidR="00836F07" w:rsidRPr="00BB5E51" w:rsidRDefault="00836F07" w:rsidP="009E55AD">
            <w:pPr>
              <w:pStyle w:val="Tabletext"/>
              <w:jc w:val="center"/>
              <w:rPr>
                <w:u w:val="single"/>
              </w:rPr>
            </w:pPr>
            <w:hyperlink r:id="rId42" w:history="1">
              <w:r w:rsidRPr="00BB5E51">
                <w:rPr>
                  <w:rStyle w:val="Hyperlink"/>
                  <w:rFonts w:eastAsia="Times New Roman" w:cs="Times New Roman"/>
                  <w:szCs w:val="20"/>
                </w:rPr>
                <w:t>C25/3</w:t>
              </w:r>
            </w:hyperlink>
          </w:p>
        </w:tc>
      </w:tr>
      <w:tr w:rsidR="00366D78" w:rsidRPr="00BB5E51" w14:paraId="61B50034" w14:textId="77777777" w:rsidTr="009711C2">
        <w:tc>
          <w:tcPr>
            <w:tcW w:w="1546" w:type="dxa"/>
            <w:tcBorders>
              <w:top w:val="single" w:sz="4" w:space="0" w:color="808080"/>
              <w:bottom w:val="single" w:sz="4" w:space="0" w:color="808080"/>
              <w:right w:val="single" w:sz="4" w:space="0" w:color="808080" w:themeColor="background1" w:themeShade="80"/>
            </w:tcBorders>
            <w:shd w:val="clear" w:color="auto" w:fill="D9D9D9"/>
          </w:tcPr>
          <w:p w14:paraId="4B3433D6" w14:textId="77777777" w:rsidR="00366D78" w:rsidRPr="00BB5E51" w:rsidRDefault="00366D78" w:rsidP="009E55AD">
            <w:pPr>
              <w:pStyle w:val="Tabletext"/>
              <w:spacing w:before="120" w:after="120"/>
              <w:jc w:val="center"/>
              <w:rPr>
                <w:b/>
                <w:bCs/>
              </w:rPr>
            </w:pPr>
            <w:r w:rsidRPr="00BB5E51">
              <w:rPr>
                <w:b/>
                <w:bCs/>
              </w:rPr>
              <w:t>ADM 1</w:t>
            </w:r>
          </w:p>
        </w:tc>
        <w:tc>
          <w:tcPr>
            <w:tcW w:w="8600" w:type="dxa"/>
            <w:gridSpan w:val="2"/>
            <w:tcBorders>
              <w:top w:val="single" w:sz="4" w:space="0" w:color="808080"/>
              <w:left w:val="single" w:sz="4" w:space="0" w:color="808080" w:themeColor="background1" w:themeShade="80"/>
              <w:bottom w:val="single" w:sz="4" w:space="0" w:color="808080"/>
              <w:right w:val="single" w:sz="8" w:space="0" w:color="auto"/>
            </w:tcBorders>
            <w:shd w:val="clear" w:color="auto" w:fill="D9D9D9"/>
          </w:tcPr>
          <w:p w14:paraId="480ACF06" w14:textId="6E41EEFD" w:rsidR="00366D78" w:rsidRPr="00BB5E51" w:rsidRDefault="00366D78" w:rsidP="009E55AD">
            <w:pPr>
              <w:pStyle w:val="Tabletext"/>
              <w:spacing w:before="120" w:after="120"/>
              <w:rPr>
                <w:b/>
                <w:bCs/>
              </w:rPr>
            </w:pPr>
            <w:r w:rsidRPr="00BB5E51">
              <w:rPr>
                <w:b/>
                <w:bCs/>
              </w:rPr>
              <w:t>Renforcement de l'excellence dans l'organisation (Budget et finance)</w:t>
            </w:r>
          </w:p>
        </w:tc>
      </w:tr>
      <w:tr w:rsidR="004F244B" w:rsidRPr="00BB5E51" w14:paraId="1C8CA999" w14:textId="77777777" w:rsidTr="00366D78">
        <w:tc>
          <w:tcPr>
            <w:tcW w:w="1546" w:type="dxa"/>
            <w:tcBorders>
              <w:top w:val="single" w:sz="4" w:space="0" w:color="808080"/>
            </w:tcBorders>
          </w:tcPr>
          <w:p w14:paraId="77D5C1B9" w14:textId="2D417320" w:rsidR="004F244B" w:rsidRPr="00BB5E51" w:rsidRDefault="004F244B" w:rsidP="009E55AD">
            <w:pPr>
              <w:pStyle w:val="Tabletext"/>
              <w:jc w:val="center"/>
            </w:pPr>
          </w:p>
        </w:tc>
        <w:tc>
          <w:tcPr>
            <w:tcW w:w="7097" w:type="dxa"/>
            <w:tcBorders>
              <w:top w:val="single" w:sz="4" w:space="0" w:color="808080"/>
            </w:tcBorders>
          </w:tcPr>
          <w:p w14:paraId="5E75D98E" w14:textId="77777777" w:rsidR="004F244B" w:rsidRPr="00BB5E51" w:rsidRDefault="004F244B" w:rsidP="009E55AD">
            <w:pPr>
              <w:pStyle w:val="Tabletext"/>
            </w:pPr>
            <w:r w:rsidRPr="00BB5E51">
              <w:t>Mise en œuvre de la stratégie de mobilisation des ressources de l'UIT</w:t>
            </w:r>
          </w:p>
        </w:tc>
        <w:tc>
          <w:tcPr>
            <w:tcW w:w="1503" w:type="dxa"/>
            <w:tcBorders>
              <w:top w:val="single" w:sz="4" w:space="0" w:color="808080"/>
            </w:tcBorders>
          </w:tcPr>
          <w:p w14:paraId="6A280675" w14:textId="77777777" w:rsidR="004F244B" w:rsidRPr="00BB5E51" w:rsidRDefault="004F244B" w:rsidP="009E55AD">
            <w:pPr>
              <w:pStyle w:val="Tabletext"/>
              <w:jc w:val="center"/>
              <w:rPr>
                <w:u w:val="single"/>
              </w:rPr>
            </w:pPr>
            <w:hyperlink r:id="rId43" w:history="1">
              <w:r w:rsidRPr="00BB5E51">
                <w:rPr>
                  <w:rStyle w:val="Hyperlink"/>
                  <w:rFonts w:eastAsia="Times New Roman" w:cs="Times New Roman"/>
                  <w:szCs w:val="20"/>
                </w:rPr>
                <w:t>C25/67</w:t>
              </w:r>
            </w:hyperlink>
          </w:p>
        </w:tc>
      </w:tr>
      <w:tr w:rsidR="00836F07" w:rsidRPr="00BB5E51" w14:paraId="651E4DA2" w14:textId="77777777" w:rsidTr="00366D78">
        <w:tc>
          <w:tcPr>
            <w:tcW w:w="1546" w:type="dxa"/>
            <w:tcBorders>
              <w:top w:val="single" w:sz="4" w:space="0" w:color="808080"/>
            </w:tcBorders>
          </w:tcPr>
          <w:p w14:paraId="47EC49F2" w14:textId="42EA6FFC" w:rsidR="00836F07" w:rsidRPr="00BB5E51" w:rsidRDefault="00836F07" w:rsidP="009E55AD">
            <w:pPr>
              <w:pStyle w:val="Tabletext"/>
              <w:jc w:val="center"/>
            </w:pPr>
          </w:p>
        </w:tc>
        <w:tc>
          <w:tcPr>
            <w:tcW w:w="7097" w:type="dxa"/>
            <w:tcBorders>
              <w:top w:val="single" w:sz="4" w:space="0" w:color="808080"/>
            </w:tcBorders>
          </w:tcPr>
          <w:p w14:paraId="4EDD94E4" w14:textId="10218A0E" w:rsidR="00836F07" w:rsidRPr="00BB5E51" w:rsidRDefault="00836F07" w:rsidP="009E55AD">
            <w:pPr>
              <w:pStyle w:val="Tabletext"/>
            </w:pPr>
            <w:r w:rsidRPr="00BB5E51">
              <w:t>Rapport de la Présidente du Groupe de travail du Conseil sur les ressources financières et les ressources humaines</w:t>
            </w:r>
          </w:p>
        </w:tc>
        <w:tc>
          <w:tcPr>
            <w:tcW w:w="1503" w:type="dxa"/>
            <w:tcBorders>
              <w:top w:val="single" w:sz="4" w:space="0" w:color="808080"/>
            </w:tcBorders>
          </w:tcPr>
          <w:p w14:paraId="25A5CFB6" w14:textId="77777777" w:rsidR="00836F07" w:rsidRPr="00BB5E51" w:rsidRDefault="00836F07" w:rsidP="009E55AD">
            <w:pPr>
              <w:pStyle w:val="Tabletext"/>
              <w:jc w:val="center"/>
            </w:pPr>
            <w:hyperlink r:id="rId44" w:history="1">
              <w:r w:rsidRPr="00BB5E51">
                <w:rPr>
                  <w:rStyle w:val="Hyperlink"/>
                  <w:rFonts w:eastAsia="Times New Roman" w:cs="Times New Roman"/>
                  <w:szCs w:val="20"/>
                </w:rPr>
                <w:t>C25/50</w:t>
              </w:r>
            </w:hyperlink>
          </w:p>
        </w:tc>
      </w:tr>
      <w:tr w:rsidR="004F244B" w:rsidRPr="00BB5E51" w14:paraId="5BFAE084" w14:textId="77777777" w:rsidTr="00366D78">
        <w:tc>
          <w:tcPr>
            <w:tcW w:w="1546" w:type="dxa"/>
            <w:tcBorders>
              <w:top w:val="single" w:sz="4" w:space="0" w:color="808080"/>
            </w:tcBorders>
          </w:tcPr>
          <w:p w14:paraId="56953BDB" w14:textId="36D6FCD3" w:rsidR="004F244B" w:rsidRPr="00BB5E51" w:rsidRDefault="004F244B" w:rsidP="009E55AD">
            <w:pPr>
              <w:pStyle w:val="Tabletext"/>
              <w:jc w:val="center"/>
            </w:pPr>
          </w:p>
        </w:tc>
        <w:tc>
          <w:tcPr>
            <w:tcW w:w="7097" w:type="dxa"/>
            <w:tcBorders>
              <w:top w:val="single" w:sz="4" w:space="0" w:color="808080"/>
            </w:tcBorders>
          </w:tcPr>
          <w:p w14:paraId="36263200" w14:textId="77777777" w:rsidR="004F244B" w:rsidRPr="00BB5E51" w:rsidRDefault="004F244B" w:rsidP="009E55AD">
            <w:pPr>
              <w:pStyle w:val="Tabletext"/>
            </w:pPr>
            <w:r w:rsidRPr="00BB5E51">
              <w:t>Rapport initial sur l'examen de la présence régionale de l'UIT</w:t>
            </w:r>
          </w:p>
        </w:tc>
        <w:tc>
          <w:tcPr>
            <w:tcW w:w="1503" w:type="dxa"/>
            <w:tcBorders>
              <w:top w:val="single" w:sz="4" w:space="0" w:color="808080"/>
            </w:tcBorders>
          </w:tcPr>
          <w:p w14:paraId="725903FC" w14:textId="77777777" w:rsidR="004F244B" w:rsidRPr="00BB5E51" w:rsidRDefault="004F244B" w:rsidP="009E55AD">
            <w:pPr>
              <w:pStyle w:val="Tabletext"/>
              <w:jc w:val="center"/>
            </w:pPr>
            <w:hyperlink r:id="rId45" w:history="1">
              <w:r w:rsidRPr="00BB5E51">
                <w:rPr>
                  <w:rStyle w:val="Hyperlink"/>
                  <w:rFonts w:eastAsia="Times New Roman" w:cs="Times New Roman"/>
                  <w:szCs w:val="20"/>
                </w:rPr>
                <w:t>C25/69</w:t>
              </w:r>
            </w:hyperlink>
          </w:p>
        </w:tc>
      </w:tr>
      <w:tr w:rsidR="004F244B" w:rsidRPr="00BB5E51" w14:paraId="6C655F96" w14:textId="77777777" w:rsidTr="00366D78">
        <w:tc>
          <w:tcPr>
            <w:tcW w:w="1546" w:type="dxa"/>
            <w:tcBorders>
              <w:top w:val="single" w:sz="4" w:space="0" w:color="808080"/>
            </w:tcBorders>
          </w:tcPr>
          <w:p w14:paraId="14996582" w14:textId="70AE022A" w:rsidR="004F244B" w:rsidRPr="00BB5E51" w:rsidRDefault="004F244B" w:rsidP="00B216C1">
            <w:pPr>
              <w:pStyle w:val="Tabletext"/>
              <w:keepNext/>
              <w:keepLines/>
              <w:jc w:val="center"/>
            </w:pPr>
          </w:p>
        </w:tc>
        <w:tc>
          <w:tcPr>
            <w:tcW w:w="7097" w:type="dxa"/>
            <w:tcBorders>
              <w:top w:val="single" w:sz="4" w:space="0" w:color="808080"/>
            </w:tcBorders>
          </w:tcPr>
          <w:p w14:paraId="5BD7F97A" w14:textId="77777777" w:rsidR="004F244B" w:rsidRPr="00BB5E51" w:rsidRDefault="004F244B" w:rsidP="00B216C1">
            <w:pPr>
              <w:pStyle w:val="Tabletext"/>
              <w:keepNext/>
              <w:keepLines/>
            </w:pPr>
            <w:r w:rsidRPr="00BB5E51">
              <w:t>Mesures d'efficience mises en œuvre en 2023 et en 2024 et plans futurs</w:t>
            </w:r>
          </w:p>
        </w:tc>
        <w:tc>
          <w:tcPr>
            <w:tcW w:w="1503" w:type="dxa"/>
            <w:tcBorders>
              <w:top w:val="single" w:sz="4" w:space="0" w:color="808080"/>
            </w:tcBorders>
          </w:tcPr>
          <w:p w14:paraId="078AA194" w14:textId="77777777" w:rsidR="004F244B" w:rsidRPr="00BB5E51" w:rsidRDefault="004F244B" w:rsidP="00B216C1">
            <w:pPr>
              <w:pStyle w:val="Tabletext"/>
              <w:keepNext/>
              <w:keepLines/>
              <w:jc w:val="center"/>
            </w:pPr>
            <w:hyperlink r:id="rId46" w:history="1">
              <w:r w:rsidRPr="00BB5E51">
                <w:rPr>
                  <w:rStyle w:val="Hyperlink"/>
                  <w:rFonts w:eastAsia="Times New Roman" w:cs="Times New Roman"/>
                  <w:szCs w:val="20"/>
                </w:rPr>
                <w:t>C25/62</w:t>
              </w:r>
            </w:hyperlink>
          </w:p>
        </w:tc>
      </w:tr>
      <w:tr w:rsidR="00836F07" w:rsidRPr="00BB5E51" w14:paraId="20B1D1FB" w14:textId="77777777" w:rsidTr="00AA6039">
        <w:tc>
          <w:tcPr>
            <w:tcW w:w="1546" w:type="dxa"/>
            <w:tcBorders>
              <w:top w:val="single" w:sz="4" w:space="0" w:color="808080"/>
            </w:tcBorders>
            <w:shd w:val="clear" w:color="auto" w:fill="auto"/>
          </w:tcPr>
          <w:p w14:paraId="0BBE70CC" w14:textId="5E960B74" w:rsidR="00836F07" w:rsidRPr="00BB5E51" w:rsidRDefault="00836F07" w:rsidP="009E55AD">
            <w:pPr>
              <w:pStyle w:val="Tabletext"/>
              <w:jc w:val="center"/>
            </w:pPr>
          </w:p>
        </w:tc>
        <w:tc>
          <w:tcPr>
            <w:tcW w:w="7097" w:type="dxa"/>
            <w:tcBorders>
              <w:top w:val="single" w:sz="4" w:space="0" w:color="808080"/>
            </w:tcBorders>
            <w:shd w:val="clear" w:color="auto" w:fill="auto"/>
          </w:tcPr>
          <w:p w14:paraId="23F9FEF4" w14:textId="77777777" w:rsidR="00836F07" w:rsidRPr="00BB5E51" w:rsidRDefault="00836F07" w:rsidP="009E55AD">
            <w:pPr>
              <w:pStyle w:val="Tabletext"/>
            </w:pPr>
            <w:r w:rsidRPr="00BB5E51">
              <w:t>Affectation des économies réalisées dans le cadre de l'exécution du budget pour 2024</w:t>
            </w:r>
          </w:p>
        </w:tc>
        <w:tc>
          <w:tcPr>
            <w:tcW w:w="1503" w:type="dxa"/>
            <w:tcBorders>
              <w:top w:val="single" w:sz="4" w:space="0" w:color="808080"/>
            </w:tcBorders>
            <w:shd w:val="clear" w:color="auto" w:fill="auto"/>
          </w:tcPr>
          <w:p w14:paraId="48B69D00" w14:textId="77777777" w:rsidR="00836F07" w:rsidRPr="00BB5E51" w:rsidRDefault="00836F07" w:rsidP="009E55AD">
            <w:pPr>
              <w:pStyle w:val="Tabletext"/>
              <w:jc w:val="center"/>
            </w:pPr>
            <w:hyperlink r:id="rId47" w:history="1">
              <w:r w:rsidRPr="00BB5E51">
                <w:rPr>
                  <w:rStyle w:val="Hyperlink"/>
                  <w:rFonts w:eastAsia="Times New Roman" w:cs="Times New Roman"/>
                  <w:szCs w:val="20"/>
                </w:rPr>
                <w:t>C25/43</w:t>
              </w:r>
            </w:hyperlink>
          </w:p>
        </w:tc>
      </w:tr>
      <w:tr w:rsidR="00836F07" w:rsidRPr="00BB5E51" w14:paraId="7ED5B733" w14:textId="77777777" w:rsidTr="00366D78">
        <w:tc>
          <w:tcPr>
            <w:tcW w:w="1546" w:type="dxa"/>
            <w:tcBorders>
              <w:top w:val="single" w:sz="4" w:space="0" w:color="808080"/>
            </w:tcBorders>
          </w:tcPr>
          <w:p w14:paraId="60D160E0" w14:textId="3D424745" w:rsidR="00836F07" w:rsidRPr="00BB5E51" w:rsidRDefault="00836F07" w:rsidP="009E55AD">
            <w:pPr>
              <w:pStyle w:val="Tabletext"/>
              <w:jc w:val="center"/>
            </w:pPr>
          </w:p>
        </w:tc>
        <w:tc>
          <w:tcPr>
            <w:tcW w:w="7097" w:type="dxa"/>
            <w:tcBorders>
              <w:top w:val="single" w:sz="4" w:space="0" w:color="808080"/>
            </w:tcBorders>
          </w:tcPr>
          <w:p w14:paraId="5B7E5148" w14:textId="77777777" w:rsidR="00836F07" w:rsidRPr="00BB5E51" w:rsidRDefault="00836F07" w:rsidP="009E55AD">
            <w:pPr>
              <w:pStyle w:val="Tabletext"/>
            </w:pPr>
            <w:r w:rsidRPr="00BB5E51">
              <w:t>Rapport de la Commission de contrôle budgétaire de l'Assemblée mondiale de normalisation des télécommunications (AMNT-24)</w:t>
            </w:r>
          </w:p>
        </w:tc>
        <w:tc>
          <w:tcPr>
            <w:tcW w:w="1503" w:type="dxa"/>
            <w:tcBorders>
              <w:top w:val="single" w:sz="4" w:space="0" w:color="808080"/>
            </w:tcBorders>
          </w:tcPr>
          <w:p w14:paraId="1801242E" w14:textId="77777777" w:rsidR="00836F07" w:rsidRPr="00BB5E51" w:rsidRDefault="00836F07" w:rsidP="009E55AD">
            <w:pPr>
              <w:pStyle w:val="Tabletext"/>
              <w:jc w:val="center"/>
            </w:pPr>
            <w:hyperlink r:id="rId48" w:history="1">
              <w:r w:rsidRPr="00BB5E51">
                <w:rPr>
                  <w:rStyle w:val="Hyperlink"/>
                  <w:rFonts w:eastAsia="Times New Roman" w:cs="Times New Roman"/>
                  <w:szCs w:val="20"/>
                </w:rPr>
                <w:t>C25/13</w:t>
              </w:r>
            </w:hyperlink>
          </w:p>
        </w:tc>
      </w:tr>
      <w:tr w:rsidR="00836F07" w:rsidRPr="00BB5E51" w14:paraId="7FAF4704" w14:textId="77777777" w:rsidTr="00366D78">
        <w:tc>
          <w:tcPr>
            <w:tcW w:w="1546" w:type="dxa"/>
            <w:tcBorders>
              <w:top w:val="single" w:sz="4" w:space="0" w:color="808080"/>
            </w:tcBorders>
          </w:tcPr>
          <w:p w14:paraId="67E20C19" w14:textId="32B4EBA6" w:rsidR="00836F07" w:rsidRPr="00BB5E51" w:rsidRDefault="00836F07" w:rsidP="009E55AD">
            <w:pPr>
              <w:pStyle w:val="Tabletext"/>
              <w:jc w:val="center"/>
            </w:pPr>
          </w:p>
        </w:tc>
        <w:tc>
          <w:tcPr>
            <w:tcW w:w="7097" w:type="dxa"/>
            <w:tcBorders>
              <w:top w:val="single" w:sz="4" w:space="0" w:color="808080"/>
            </w:tcBorders>
          </w:tcPr>
          <w:p w14:paraId="65F6FC90" w14:textId="769F81D5" w:rsidR="00836F07" w:rsidRPr="00BB5E51" w:rsidRDefault="00836F07" w:rsidP="009E55AD">
            <w:pPr>
              <w:pStyle w:val="Tabletext"/>
            </w:pPr>
            <w:r w:rsidRPr="00BB5E51">
              <w:t>Rapport final du Groupe d'experts sur la Décision 482</w:t>
            </w:r>
          </w:p>
        </w:tc>
        <w:tc>
          <w:tcPr>
            <w:tcW w:w="1503" w:type="dxa"/>
            <w:tcBorders>
              <w:top w:val="single" w:sz="4" w:space="0" w:color="808080"/>
            </w:tcBorders>
          </w:tcPr>
          <w:p w14:paraId="4F440637" w14:textId="77777777" w:rsidR="00836F07" w:rsidRPr="00BB5E51" w:rsidRDefault="00836F07" w:rsidP="009E55AD">
            <w:pPr>
              <w:pStyle w:val="Tabletext"/>
              <w:jc w:val="center"/>
              <w:rPr>
                <w:u w:val="single"/>
              </w:rPr>
            </w:pPr>
            <w:hyperlink r:id="rId49" w:history="1">
              <w:r w:rsidRPr="00BB5E51">
                <w:rPr>
                  <w:rStyle w:val="Hyperlink"/>
                  <w:rFonts w:eastAsia="Times New Roman" w:cs="Times New Roman"/>
                  <w:szCs w:val="20"/>
                </w:rPr>
                <w:t>C25/10</w:t>
              </w:r>
            </w:hyperlink>
          </w:p>
        </w:tc>
      </w:tr>
      <w:tr w:rsidR="004F244B" w:rsidRPr="00BB5E51" w14:paraId="7D5E2DD4" w14:textId="77777777" w:rsidTr="00366D78">
        <w:tc>
          <w:tcPr>
            <w:tcW w:w="1546" w:type="dxa"/>
            <w:tcBorders>
              <w:top w:val="single" w:sz="4" w:space="0" w:color="808080"/>
            </w:tcBorders>
          </w:tcPr>
          <w:p w14:paraId="024458E5" w14:textId="61C10104" w:rsidR="004F244B" w:rsidRPr="00BB5E51" w:rsidRDefault="004F244B" w:rsidP="009E55AD">
            <w:pPr>
              <w:pStyle w:val="Tabletext"/>
              <w:keepNext/>
              <w:keepLines/>
              <w:jc w:val="center"/>
            </w:pPr>
          </w:p>
        </w:tc>
        <w:tc>
          <w:tcPr>
            <w:tcW w:w="7097" w:type="dxa"/>
            <w:tcBorders>
              <w:top w:val="single" w:sz="4" w:space="0" w:color="808080"/>
            </w:tcBorders>
          </w:tcPr>
          <w:p w14:paraId="13130729" w14:textId="77777777" w:rsidR="004F244B" w:rsidRPr="00BB5E51" w:rsidRDefault="004F244B" w:rsidP="009E55AD">
            <w:pPr>
              <w:pStyle w:val="Tabletext"/>
              <w:keepNext/>
              <w:keepLines/>
            </w:pPr>
            <w:r w:rsidRPr="00BB5E51">
              <w:t>Recouvrement des coûts pour le traitement des fiches de notification des réseaux à satellite</w:t>
            </w:r>
          </w:p>
        </w:tc>
        <w:tc>
          <w:tcPr>
            <w:tcW w:w="1503" w:type="dxa"/>
            <w:tcBorders>
              <w:top w:val="single" w:sz="4" w:space="0" w:color="808080"/>
            </w:tcBorders>
          </w:tcPr>
          <w:p w14:paraId="5C066BB0" w14:textId="77777777" w:rsidR="004F244B" w:rsidRPr="00BB5E51" w:rsidRDefault="004F244B" w:rsidP="009E55AD">
            <w:pPr>
              <w:pStyle w:val="Tabletext"/>
              <w:keepNext/>
              <w:keepLines/>
              <w:jc w:val="center"/>
            </w:pPr>
            <w:hyperlink r:id="rId50" w:history="1">
              <w:r w:rsidRPr="00BB5E51">
                <w:rPr>
                  <w:rStyle w:val="Hyperlink"/>
                  <w:rFonts w:eastAsia="Times New Roman" w:cs="Times New Roman"/>
                  <w:szCs w:val="20"/>
                </w:rPr>
                <w:t>C25/16</w:t>
              </w:r>
            </w:hyperlink>
          </w:p>
        </w:tc>
      </w:tr>
      <w:tr w:rsidR="00836F07" w:rsidRPr="00BB5E51" w14:paraId="1589ED46" w14:textId="77777777" w:rsidTr="00366D78">
        <w:tc>
          <w:tcPr>
            <w:tcW w:w="1546" w:type="dxa"/>
            <w:tcBorders>
              <w:top w:val="single" w:sz="4" w:space="0" w:color="808080"/>
            </w:tcBorders>
          </w:tcPr>
          <w:p w14:paraId="5FEC7419" w14:textId="4450DBC2" w:rsidR="00836F07" w:rsidRPr="00BB5E51" w:rsidRDefault="00836F07" w:rsidP="009E55AD">
            <w:pPr>
              <w:pStyle w:val="Tabletext"/>
              <w:jc w:val="center"/>
            </w:pPr>
          </w:p>
        </w:tc>
        <w:tc>
          <w:tcPr>
            <w:tcW w:w="7097" w:type="dxa"/>
            <w:tcBorders>
              <w:top w:val="single" w:sz="4" w:space="0" w:color="808080"/>
            </w:tcBorders>
          </w:tcPr>
          <w:p w14:paraId="0D2EC5C4" w14:textId="77777777" w:rsidR="00836F07" w:rsidRPr="00BB5E51" w:rsidRDefault="00836F07" w:rsidP="009E55AD">
            <w:pPr>
              <w:pStyle w:val="Tabletext"/>
            </w:pPr>
            <w:r w:rsidRPr="00BB5E51">
              <w:t>Méthode proposée pour le calcul du recouvrement des coûts pour le traitement des fiches de notification des réseaux à satellite</w:t>
            </w:r>
          </w:p>
        </w:tc>
        <w:tc>
          <w:tcPr>
            <w:tcW w:w="1503" w:type="dxa"/>
            <w:tcBorders>
              <w:top w:val="single" w:sz="4" w:space="0" w:color="808080"/>
            </w:tcBorders>
          </w:tcPr>
          <w:p w14:paraId="5665AC25" w14:textId="77777777" w:rsidR="00836F07" w:rsidRPr="00BB5E51" w:rsidRDefault="00836F07" w:rsidP="009E55AD">
            <w:pPr>
              <w:pStyle w:val="Tabletext"/>
              <w:jc w:val="center"/>
            </w:pPr>
            <w:hyperlink r:id="rId51" w:history="1">
              <w:r w:rsidRPr="00BB5E51">
                <w:rPr>
                  <w:rStyle w:val="Hyperlink"/>
                  <w:rFonts w:eastAsia="Times New Roman" w:cs="Times New Roman"/>
                  <w:szCs w:val="20"/>
                </w:rPr>
                <w:t>C25/64</w:t>
              </w:r>
            </w:hyperlink>
          </w:p>
        </w:tc>
      </w:tr>
      <w:tr w:rsidR="00836F07" w:rsidRPr="00BB5E51" w14:paraId="610FCD84" w14:textId="77777777" w:rsidTr="00366D78">
        <w:tc>
          <w:tcPr>
            <w:tcW w:w="1546" w:type="dxa"/>
            <w:tcBorders>
              <w:top w:val="single" w:sz="4" w:space="0" w:color="808080"/>
            </w:tcBorders>
          </w:tcPr>
          <w:p w14:paraId="67604422" w14:textId="6D0B6B21" w:rsidR="00836F07" w:rsidRPr="00BB5E51" w:rsidRDefault="00836F07" w:rsidP="009E55AD">
            <w:pPr>
              <w:pStyle w:val="Tabletext"/>
              <w:jc w:val="center"/>
            </w:pPr>
          </w:p>
        </w:tc>
        <w:tc>
          <w:tcPr>
            <w:tcW w:w="7097" w:type="dxa"/>
            <w:tcBorders>
              <w:top w:val="single" w:sz="4" w:space="0" w:color="808080"/>
            </w:tcBorders>
          </w:tcPr>
          <w:p w14:paraId="7322C4E9" w14:textId="77777777" w:rsidR="00836F07" w:rsidRPr="00BB5E51" w:rsidRDefault="00836F07" w:rsidP="009E55AD">
            <w:pPr>
              <w:pStyle w:val="Tabletext"/>
            </w:pPr>
            <w:r w:rsidRPr="00BB5E51">
              <w:t>Analyse des résultats issus du Groupe d'experts sur la Décision 482</w:t>
            </w:r>
          </w:p>
        </w:tc>
        <w:tc>
          <w:tcPr>
            <w:tcW w:w="1503" w:type="dxa"/>
            <w:tcBorders>
              <w:top w:val="single" w:sz="4" w:space="0" w:color="808080"/>
            </w:tcBorders>
          </w:tcPr>
          <w:p w14:paraId="17E90274" w14:textId="77777777" w:rsidR="00836F07" w:rsidRPr="00BB5E51" w:rsidRDefault="00836F07" w:rsidP="009E55AD">
            <w:pPr>
              <w:pStyle w:val="Tabletext"/>
              <w:jc w:val="center"/>
            </w:pPr>
            <w:hyperlink r:id="rId52" w:history="1">
              <w:r w:rsidRPr="00BB5E51">
                <w:rPr>
                  <w:rStyle w:val="Hyperlink"/>
                  <w:rFonts w:eastAsia="Times New Roman" w:cs="Times New Roman"/>
                  <w:szCs w:val="20"/>
                </w:rPr>
                <w:t>C25/74</w:t>
              </w:r>
            </w:hyperlink>
          </w:p>
        </w:tc>
      </w:tr>
      <w:tr w:rsidR="00836F07" w:rsidRPr="00BB5E51" w14:paraId="13EDD25C" w14:textId="77777777" w:rsidTr="00366D78">
        <w:tc>
          <w:tcPr>
            <w:tcW w:w="1546" w:type="dxa"/>
            <w:tcBorders>
              <w:top w:val="single" w:sz="4" w:space="0" w:color="808080"/>
            </w:tcBorders>
          </w:tcPr>
          <w:p w14:paraId="364C35B1" w14:textId="6A19C008" w:rsidR="00836F07" w:rsidRPr="00BB5E51" w:rsidRDefault="00836F07" w:rsidP="009E55AD">
            <w:pPr>
              <w:pStyle w:val="Tabletext"/>
              <w:jc w:val="center"/>
            </w:pPr>
          </w:p>
        </w:tc>
        <w:tc>
          <w:tcPr>
            <w:tcW w:w="7097" w:type="dxa"/>
            <w:tcBorders>
              <w:top w:val="single" w:sz="4" w:space="0" w:color="808080"/>
            </w:tcBorders>
          </w:tcPr>
          <w:p w14:paraId="24B4A0FE" w14:textId="5D97DA85" w:rsidR="00836F07" w:rsidRPr="00BB5E51" w:rsidRDefault="00836F07" w:rsidP="009E55AD">
            <w:pPr>
              <w:pStyle w:val="Tabletext"/>
            </w:pPr>
            <w:r w:rsidRPr="00BB5E51">
              <w:t>Examen annuel des produits et des charges dans le cadre de la mise en</w:t>
            </w:r>
            <w:r w:rsidR="00366D78" w:rsidRPr="00BB5E51">
              <w:t> </w:t>
            </w:r>
            <w:r w:rsidRPr="00BB5E51">
              <w:t>œuvre du budget 2025</w:t>
            </w:r>
          </w:p>
        </w:tc>
        <w:tc>
          <w:tcPr>
            <w:tcW w:w="1503" w:type="dxa"/>
            <w:tcBorders>
              <w:top w:val="single" w:sz="4" w:space="0" w:color="808080"/>
            </w:tcBorders>
          </w:tcPr>
          <w:p w14:paraId="4090F402" w14:textId="77777777" w:rsidR="00836F07" w:rsidRPr="00BB5E51" w:rsidRDefault="00836F07" w:rsidP="009E55AD">
            <w:pPr>
              <w:pStyle w:val="Tabletext"/>
              <w:jc w:val="center"/>
              <w:rPr>
                <w:u w:val="single"/>
              </w:rPr>
            </w:pPr>
            <w:hyperlink r:id="rId53" w:history="1">
              <w:r w:rsidRPr="00BB5E51">
                <w:rPr>
                  <w:rStyle w:val="Hyperlink"/>
                  <w:rFonts w:eastAsia="Times New Roman" w:cs="Times New Roman"/>
                  <w:szCs w:val="20"/>
                </w:rPr>
                <w:t>C25/9</w:t>
              </w:r>
            </w:hyperlink>
          </w:p>
        </w:tc>
      </w:tr>
      <w:tr w:rsidR="00836F07" w:rsidRPr="00BB5E51" w14:paraId="75EE8473" w14:textId="77777777" w:rsidTr="00366D78">
        <w:tc>
          <w:tcPr>
            <w:tcW w:w="1546" w:type="dxa"/>
            <w:tcBorders>
              <w:top w:val="single" w:sz="4" w:space="0" w:color="808080"/>
            </w:tcBorders>
          </w:tcPr>
          <w:p w14:paraId="25ABE0E6" w14:textId="78E8D43C" w:rsidR="00836F07" w:rsidRPr="00BB5E51" w:rsidRDefault="00836F07" w:rsidP="009E55AD">
            <w:pPr>
              <w:pStyle w:val="Tabletext"/>
              <w:jc w:val="center"/>
            </w:pPr>
          </w:p>
        </w:tc>
        <w:tc>
          <w:tcPr>
            <w:tcW w:w="7097" w:type="dxa"/>
            <w:tcBorders>
              <w:top w:val="single" w:sz="4" w:space="0" w:color="808080"/>
            </w:tcBorders>
          </w:tcPr>
          <w:p w14:paraId="4DDFAA5A" w14:textId="77777777" w:rsidR="00836F07" w:rsidRPr="00BB5E51" w:rsidRDefault="00836F07" w:rsidP="009E55AD">
            <w:pPr>
              <w:pStyle w:val="Tabletext"/>
            </w:pPr>
            <w:r w:rsidRPr="00BB5E51">
              <w:t>Rapport du Groupe consultatif des radiocommunications sur les questions relatives au Conseil</w:t>
            </w:r>
          </w:p>
        </w:tc>
        <w:tc>
          <w:tcPr>
            <w:tcW w:w="1503" w:type="dxa"/>
            <w:tcBorders>
              <w:top w:val="single" w:sz="4" w:space="0" w:color="808080"/>
            </w:tcBorders>
          </w:tcPr>
          <w:p w14:paraId="18970D86" w14:textId="77777777" w:rsidR="00836F07" w:rsidRPr="00BB5E51" w:rsidRDefault="00836F07" w:rsidP="009E55AD">
            <w:pPr>
              <w:pStyle w:val="Tabletext"/>
              <w:jc w:val="center"/>
              <w:rPr>
                <w:u w:val="single"/>
              </w:rPr>
            </w:pPr>
            <w:hyperlink r:id="rId54" w:history="1">
              <w:r w:rsidRPr="00BB5E51">
                <w:rPr>
                  <w:rStyle w:val="Hyperlink"/>
                  <w:rFonts w:eastAsia="Times New Roman" w:cs="Times New Roman"/>
                  <w:szCs w:val="20"/>
                </w:rPr>
                <w:t>C25/59</w:t>
              </w:r>
            </w:hyperlink>
          </w:p>
        </w:tc>
      </w:tr>
      <w:tr w:rsidR="00836F07" w:rsidRPr="00BB5E51" w14:paraId="5734B05F" w14:textId="77777777" w:rsidTr="00366D78">
        <w:tc>
          <w:tcPr>
            <w:tcW w:w="1546" w:type="dxa"/>
            <w:tcBorders>
              <w:top w:val="single" w:sz="4" w:space="0" w:color="808080"/>
            </w:tcBorders>
          </w:tcPr>
          <w:p w14:paraId="5A5C2783" w14:textId="4E784870" w:rsidR="00836F07" w:rsidRPr="00BB5E51" w:rsidRDefault="00836F07" w:rsidP="009E55AD">
            <w:pPr>
              <w:pStyle w:val="Tabletext"/>
              <w:jc w:val="center"/>
            </w:pPr>
          </w:p>
        </w:tc>
        <w:tc>
          <w:tcPr>
            <w:tcW w:w="7097" w:type="dxa"/>
            <w:tcBorders>
              <w:top w:val="single" w:sz="4" w:space="0" w:color="808080"/>
            </w:tcBorders>
          </w:tcPr>
          <w:p w14:paraId="1C64B09F" w14:textId="77777777" w:rsidR="00836F07" w:rsidRPr="00BB5E51" w:rsidRDefault="00836F07" w:rsidP="009E55AD">
            <w:pPr>
              <w:pStyle w:val="Tabletext"/>
            </w:pPr>
            <w:r w:rsidRPr="00BB5E51">
              <w:t>Arriérés et comptes spéciaux d'arriérés</w:t>
            </w:r>
          </w:p>
        </w:tc>
        <w:tc>
          <w:tcPr>
            <w:tcW w:w="1503" w:type="dxa"/>
            <w:tcBorders>
              <w:top w:val="single" w:sz="4" w:space="0" w:color="808080"/>
            </w:tcBorders>
          </w:tcPr>
          <w:p w14:paraId="5DD88A0B" w14:textId="77777777" w:rsidR="00836F07" w:rsidRPr="00BB5E51" w:rsidRDefault="00836F07" w:rsidP="009E55AD">
            <w:pPr>
              <w:pStyle w:val="Tabletext"/>
              <w:jc w:val="center"/>
              <w:rPr>
                <w:u w:val="single"/>
              </w:rPr>
            </w:pPr>
            <w:hyperlink r:id="rId55" w:history="1">
              <w:r w:rsidRPr="00BB5E51">
                <w:rPr>
                  <w:rStyle w:val="Hyperlink"/>
                  <w:rFonts w:eastAsia="Times New Roman" w:cs="Times New Roman"/>
                  <w:szCs w:val="20"/>
                </w:rPr>
                <w:t>C25/11</w:t>
              </w:r>
            </w:hyperlink>
          </w:p>
        </w:tc>
      </w:tr>
      <w:tr w:rsidR="0081457E" w:rsidRPr="00BB5E51" w14:paraId="3B0CBDFF" w14:textId="77777777" w:rsidTr="00366D78">
        <w:tc>
          <w:tcPr>
            <w:tcW w:w="1546" w:type="dxa"/>
            <w:tcBorders>
              <w:top w:val="single" w:sz="4" w:space="0" w:color="808080"/>
            </w:tcBorders>
          </w:tcPr>
          <w:p w14:paraId="1B5F0754" w14:textId="777FCFEB" w:rsidR="0081457E" w:rsidRPr="00BB5E51" w:rsidRDefault="0081457E" w:rsidP="009E55AD">
            <w:pPr>
              <w:pStyle w:val="Tabletext"/>
              <w:jc w:val="center"/>
            </w:pPr>
          </w:p>
        </w:tc>
        <w:tc>
          <w:tcPr>
            <w:tcW w:w="7097" w:type="dxa"/>
            <w:tcBorders>
              <w:top w:val="single" w:sz="4" w:space="0" w:color="808080"/>
            </w:tcBorders>
          </w:tcPr>
          <w:p w14:paraId="27A8DAB0" w14:textId="44462EE6" w:rsidR="0081457E" w:rsidRPr="00BB5E51" w:rsidRDefault="0081457E" w:rsidP="009E55AD">
            <w:pPr>
              <w:pStyle w:val="Tabletext"/>
            </w:pPr>
            <w:r w:rsidRPr="00BB5E51">
              <w:t>Projet de budget biennal de l'Union</w:t>
            </w:r>
            <w:r w:rsidR="00AA6039" w:rsidRPr="00BB5E51">
              <w:t xml:space="preserve"> internationale des télécommunications</w:t>
            </w:r>
            <w:r w:rsidRPr="00BB5E51">
              <w:t xml:space="preserve"> pour 2026-2027</w:t>
            </w:r>
          </w:p>
        </w:tc>
        <w:tc>
          <w:tcPr>
            <w:tcW w:w="1503" w:type="dxa"/>
            <w:tcBorders>
              <w:top w:val="single" w:sz="4" w:space="0" w:color="808080"/>
            </w:tcBorders>
          </w:tcPr>
          <w:p w14:paraId="13DA5C1F" w14:textId="77777777" w:rsidR="0081457E" w:rsidRPr="00BB5E51" w:rsidRDefault="0081457E" w:rsidP="009E55AD">
            <w:pPr>
              <w:pStyle w:val="Tabletext"/>
              <w:jc w:val="center"/>
            </w:pPr>
            <w:hyperlink r:id="rId56" w:history="1">
              <w:r w:rsidRPr="00BB5E51">
                <w:rPr>
                  <w:rStyle w:val="Hyperlink"/>
                  <w:rFonts w:eastAsia="Times New Roman" w:cs="Times New Roman"/>
                  <w:szCs w:val="20"/>
                </w:rPr>
                <w:t>C25/47</w:t>
              </w:r>
            </w:hyperlink>
          </w:p>
        </w:tc>
      </w:tr>
      <w:tr w:rsidR="00836F07" w:rsidRPr="00BB5E51" w14:paraId="5990F267" w14:textId="77777777" w:rsidTr="00366D78">
        <w:tc>
          <w:tcPr>
            <w:tcW w:w="1546" w:type="dxa"/>
            <w:tcBorders>
              <w:top w:val="single" w:sz="4" w:space="0" w:color="808080"/>
            </w:tcBorders>
          </w:tcPr>
          <w:p w14:paraId="0ED87A55" w14:textId="7D586566" w:rsidR="00836F07" w:rsidRPr="00BB5E51" w:rsidRDefault="00836F07" w:rsidP="009E55AD">
            <w:pPr>
              <w:pStyle w:val="Tabletext"/>
              <w:jc w:val="center"/>
            </w:pPr>
          </w:p>
        </w:tc>
        <w:tc>
          <w:tcPr>
            <w:tcW w:w="7097" w:type="dxa"/>
            <w:tcBorders>
              <w:top w:val="single" w:sz="4" w:space="0" w:color="808080"/>
            </w:tcBorders>
          </w:tcPr>
          <w:p w14:paraId="21D9C5BB" w14:textId="77777777" w:rsidR="00836F07" w:rsidRPr="00BB5E51" w:rsidRDefault="00836F07" w:rsidP="009E55AD">
            <w:pPr>
              <w:pStyle w:val="Tabletext"/>
            </w:pPr>
            <w:r w:rsidRPr="00BB5E51">
              <w:t>Rapport d'activité sur la mise en œuvre des Décisions 600 et 601 du Conseil (numéros UIFN et IIN)</w:t>
            </w:r>
          </w:p>
        </w:tc>
        <w:tc>
          <w:tcPr>
            <w:tcW w:w="1503" w:type="dxa"/>
            <w:tcBorders>
              <w:top w:val="single" w:sz="4" w:space="0" w:color="808080"/>
            </w:tcBorders>
          </w:tcPr>
          <w:p w14:paraId="3A8348E9" w14:textId="77777777" w:rsidR="00836F07" w:rsidRPr="00BB5E51" w:rsidRDefault="00836F07" w:rsidP="009E55AD">
            <w:pPr>
              <w:pStyle w:val="Tabletext"/>
              <w:jc w:val="center"/>
              <w:rPr>
                <w:u w:val="single"/>
              </w:rPr>
            </w:pPr>
            <w:hyperlink r:id="rId57" w:history="1">
              <w:r w:rsidRPr="00BB5E51">
                <w:rPr>
                  <w:rStyle w:val="Hyperlink"/>
                  <w:rFonts w:eastAsia="Times New Roman" w:cs="Times New Roman"/>
                  <w:szCs w:val="20"/>
                </w:rPr>
                <w:t>C25/38</w:t>
              </w:r>
            </w:hyperlink>
          </w:p>
        </w:tc>
      </w:tr>
      <w:tr w:rsidR="00836F07" w:rsidRPr="00BB5E51" w14:paraId="07EDBA16" w14:textId="77777777" w:rsidTr="00366D78">
        <w:tc>
          <w:tcPr>
            <w:tcW w:w="1546" w:type="dxa"/>
            <w:tcBorders>
              <w:top w:val="single" w:sz="4" w:space="0" w:color="808080"/>
            </w:tcBorders>
          </w:tcPr>
          <w:p w14:paraId="28B03881" w14:textId="43370426" w:rsidR="00836F07" w:rsidRPr="00BB5E51" w:rsidRDefault="00836F07" w:rsidP="009E55AD">
            <w:pPr>
              <w:pStyle w:val="Tabletext"/>
              <w:jc w:val="center"/>
            </w:pPr>
          </w:p>
        </w:tc>
        <w:tc>
          <w:tcPr>
            <w:tcW w:w="7097" w:type="dxa"/>
            <w:tcBorders>
              <w:top w:val="single" w:sz="4" w:space="0" w:color="808080"/>
            </w:tcBorders>
          </w:tcPr>
          <w:p w14:paraId="0B747399" w14:textId="77777777" w:rsidR="00836F07" w:rsidRPr="00BB5E51" w:rsidRDefault="00836F07" w:rsidP="009E55AD">
            <w:pPr>
              <w:pStyle w:val="Tabletext"/>
            </w:pPr>
            <w:r w:rsidRPr="00BB5E51">
              <w:t>Fonds pour le développement des technologies de l'information et de la communication (FDTIC)</w:t>
            </w:r>
          </w:p>
        </w:tc>
        <w:tc>
          <w:tcPr>
            <w:tcW w:w="1503" w:type="dxa"/>
            <w:tcBorders>
              <w:top w:val="single" w:sz="4" w:space="0" w:color="808080"/>
            </w:tcBorders>
          </w:tcPr>
          <w:p w14:paraId="0D837A0B" w14:textId="77777777" w:rsidR="00836F07" w:rsidRPr="00BB5E51" w:rsidRDefault="00836F07" w:rsidP="009E55AD">
            <w:pPr>
              <w:pStyle w:val="Tabletext"/>
              <w:jc w:val="center"/>
              <w:rPr>
                <w:u w:val="single"/>
              </w:rPr>
            </w:pPr>
            <w:hyperlink r:id="rId58" w:history="1">
              <w:r w:rsidRPr="00BB5E51">
                <w:rPr>
                  <w:rStyle w:val="Hyperlink"/>
                  <w:rFonts w:eastAsia="Times New Roman" w:cs="Times New Roman"/>
                  <w:szCs w:val="20"/>
                </w:rPr>
                <w:t>C25/34</w:t>
              </w:r>
            </w:hyperlink>
          </w:p>
        </w:tc>
      </w:tr>
      <w:tr w:rsidR="00836F07" w:rsidRPr="00BB5E51" w14:paraId="497F0870" w14:textId="77777777" w:rsidTr="00366D78">
        <w:tc>
          <w:tcPr>
            <w:tcW w:w="1546" w:type="dxa"/>
            <w:tcBorders>
              <w:top w:val="single" w:sz="4" w:space="0" w:color="808080"/>
            </w:tcBorders>
          </w:tcPr>
          <w:p w14:paraId="46089969" w14:textId="30A6F6A7" w:rsidR="00836F07" w:rsidRPr="00BB5E51" w:rsidRDefault="00836F07" w:rsidP="009E55AD">
            <w:pPr>
              <w:pStyle w:val="Tabletext"/>
              <w:jc w:val="center"/>
            </w:pPr>
          </w:p>
        </w:tc>
        <w:tc>
          <w:tcPr>
            <w:tcW w:w="7097" w:type="dxa"/>
            <w:tcBorders>
              <w:top w:val="single" w:sz="4" w:space="0" w:color="808080"/>
            </w:tcBorders>
          </w:tcPr>
          <w:p w14:paraId="52F22C8E" w14:textId="77777777" w:rsidR="00836F07" w:rsidRPr="00BB5E51" w:rsidRDefault="00836F07" w:rsidP="009E55AD">
            <w:pPr>
              <w:pStyle w:val="Tabletext"/>
            </w:pPr>
            <w:r w:rsidRPr="00BB5E51">
              <w:t>Passifs de l'assurance maladie après la cessation de service (ASHI)</w:t>
            </w:r>
          </w:p>
        </w:tc>
        <w:tc>
          <w:tcPr>
            <w:tcW w:w="1503" w:type="dxa"/>
            <w:tcBorders>
              <w:top w:val="single" w:sz="4" w:space="0" w:color="808080"/>
            </w:tcBorders>
          </w:tcPr>
          <w:p w14:paraId="2FA43481" w14:textId="77777777" w:rsidR="00836F07" w:rsidRPr="00BB5E51" w:rsidRDefault="00836F07" w:rsidP="009E55AD">
            <w:pPr>
              <w:pStyle w:val="Tabletext"/>
              <w:jc w:val="center"/>
              <w:rPr>
                <w:u w:val="single"/>
              </w:rPr>
            </w:pPr>
            <w:hyperlink r:id="rId59" w:history="1">
              <w:r w:rsidRPr="00BB5E51">
                <w:rPr>
                  <w:rStyle w:val="Hyperlink"/>
                  <w:rFonts w:eastAsia="Times New Roman" w:cs="Times New Roman"/>
                  <w:szCs w:val="20"/>
                </w:rPr>
                <w:t>C25/46</w:t>
              </w:r>
            </w:hyperlink>
          </w:p>
        </w:tc>
      </w:tr>
      <w:tr w:rsidR="00836F07" w:rsidRPr="00BB5E51" w14:paraId="4605BE19" w14:textId="77777777" w:rsidTr="00366D78">
        <w:tc>
          <w:tcPr>
            <w:tcW w:w="1546" w:type="dxa"/>
            <w:tcBorders>
              <w:top w:val="single" w:sz="4" w:space="0" w:color="808080"/>
            </w:tcBorders>
          </w:tcPr>
          <w:p w14:paraId="297386C8" w14:textId="10513E23" w:rsidR="00836F07" w:rsidRPr="00BB5E51" w:rsidRDefault="00836F07" w:rsidP="009E55AD">
            <w:pPr>
              <w:pStyle w:val="Tabletext"/>
              <w:jc w:val="center"/>
            </w:pPr>
          </w:p>
        </w:tc>
        <w:tc>
          <w:tcPr>
            <w:tcW w:w="7097" w:type="dxa"/>
            <w:tcBorders>
              <w:top w:val="single" w:sz="4" w:space="0" w:color="808080"/>
            </w:tcBorders>
          </w:tcPr>
          <w:p w14:paraId="5006752E" w14:textId="77777777" w:rsidR="00836F07" w:rsidRPr="00BB5E51" w:rsidRDefault="00836F07" w:rsidP="009E55AD">
            <w:pPr>
              <w:pStyle w:val="Tabletext"/>
            </w:pPr>
            <w:r w:rsidRPr="00BB5E51">
              <w:t>Montant préliminaire de l'unité contributive</w:t>
            </w:r>
          </w:p>
        </w:tc>
        <w:tc>
          <w:tcPr>
            <w:tcW w:w="1503" w:type="dxa"/>
            <w:tcBorders>
              <w:top w:val="single" w:sz="4" w:space="0" w:color="808080"/>
            </w:tcBorders>
          </w:tcPr>
          <w:p w14:paraId="22CA4D57" w14:textId="77777777" w:rsidR="00836F07" w:rsidRPr="00BB5E51" w:rsidRDefault="00836F07" w:rsidP="009E55AD">
            <w:pPr>
              <w:pStyle w:val="Tabletext"/>
              <w:jc w:val="center"/>
            </w:pPr>
            <w:hyperlink r:id="rId60" w:history="1">
              <w:r w:rsidRPr="00BB5E51">
                <w:rPr>
                  <w:rStyle w:val="Hyperlink"/>
                  <w:rFonts w:eastAsia="Times New Roman" w:cs="Times New Roman"/>
                  <w:szCs w:val="20"/>
                </w:rPr>
                <w:t>C25/54</w:t>
              </w:r>
            </w:hyperlink>
          </w:p>
        </w:tc>
      </w:tr>
      <w:tr w:rsidR="00836F07" w:rsidRPr="00BB5E51" w14:paraId="219A6D54" w14:textId="77777777" w:rsidTr="00366D78">
        <w:tc>
          <w:tcPr>
            <w:tcW w:w="1546" w:type="dxa"/>
            <w:tcBorders>
              <w:top w:val="single" w:sz="4" w:space="0" w:color="808080"/>
            </w:tcBorders>
          </w:tcPr>
          <w:p w14:paraId="655AA776" w14:textId="17C9738C" w:rsidR="00836F07" w:rsidRPr="00BB5E51" w:rsidRDefault="00836F07" w:rsidP="009E55AD">
            <w:pPr>
              <w:pStyle w:val="Tabletext"/>
              <w:jc w:val="center"/>
            </w:pPr>
          </w:p>
        </w:tc>
        <w:tc>
          <w:tcPr>
            <w:tcW w:w="7097" w:type="dxa"/>
            <w:tcBorders>
              <w:top w:val="single" w:sz="4" w:space="0" w:color="808080"/>
            </w:tcBorders>
          </w:tcPr>
          <w:p w14:paraId="61D746A9" w14:textId="77777777" w:rsidR="00836F07" w:rsidRPr="00BB5E51" w:rsidRDefault="00836F07" w:rsidP="009E55AD">
            <w:pPr>
              <w:pStyle w:val="Tabletext"/>
            </w:pPr>
            <w:r w:rsidRPr="00BB5E51">
              <w:t>Nouvelles demandes d'exonération du paiement de droits pour les organisations ayant un caractère international</w:t>
            </w:r>
          </w:p>
        </w:tc>
        <w:tc>
          <w:tcPr>
            <w:tcW w:w="1503" w:type="dxa"/>
            <w:tcBorders>
              <w:top w:val="single" w:sz="4" w:space="0" w:color="808080"/>
            </w:tcBorders>
          </w:tcPr>
          <w:p w14:paraId="1ABEB7B5" w14:textId="77777777" w:rsidR="00836F07" w:rsidRPr="00BB5E51" w:rsidRDefault="00836F07" w:rsidP="009E55AD">
            <w:pPr>
              <w:pStyle w:val="Tabletext"/>
              <w:jc w:val="center"/>
              <w:rPr>
                <w:u w:val="single"/>
              </w:rPr>
            </w:pPr>
            <w:hyperlink r:id="rId61" w:history="1">
              <w:r w:rsidRPr="00BB5E51">
                <w:rPr>
                  <w:rStyle w:val="Hyperlink"/>
                  <w:rFonts w:eastAsia="Times New Roman" w:cs="Times New Roman"/>
                  <w:szCs w:val="20"/>
                </w:rPr>
                <w:t>C25/65</w:t>
              </w:r>
            </w:hyperlink>
          </w:p>
        </w:tc>
      </w:tr>
      <w:tr w:rsidR="00836F07" w:rsidRPr="00BB5E51" w14:paraId="50650C13" w14:textId="77777777" w:rsidTr="00366D78">
        <w:tc>
          <w:tcPr>
            <w:tcW w:w="1546" w:type="dxa"/>
            <w:tcBorders>
              <w:top w:val="single" w:sz="4" w:space="0" w:color="808080"/>
            </w:tcBorders>
          </w:tcPr>
          <w:p w14:paraId="3C60E970" w14:textId="2662897E" w:rsidR="00836F07" w:rsidRPr="00BB5E51" w:rsidRDefault="00836F07" w:rsidP="009E55AD">
            <w:pPr>
              <w:pStyle w:val="Tabletext"/>
              <w:jc w:val="center"/>
            </w:pPr>
          </w:p>
        </w:tc>
        <w:tc>
          <w:tcPr>
            <w:tcW w:w="7097" w:type="dxa"/>
            <w:tcBorders>
              <w:top w:val="single" w:sz="4" w:space="0" w:color="808080"/>
            </w:tcBorders>
          </w:tcPr>
          <w:p w14:paraId="6CE830D2" w14:textId="77777777" w:rsidR="00836F07" w:rsidRPr="00BB5E51" w:rsidRDefault="00836F07" w:rsidP="009E55AD">
            <w:pPr>
              <w:pStyle w:val="Tabletext"/>
            </w:pPr>
            <w:r w:rsidRPr="00BB5E51">
              <w:t>Participation d'autres entités s'occupant de questions de télécommunication aux activités de l'UIT</w:t>
            </w:r>
          </w:p>
        </w:tc>
        <w:tc>
          <w:tcPr>
            <w:tcW w:w="1503" w:type="dxa"/>
            <w:tcBorders>
              <w:top w:val="single" w:sz="4" w:space="0" w:color="808080"/>
            </w:tcBorders>
          </w:tcPr>
          <w:p w14:paraId="22A5DEE7" w14:textId="77777777" w:rsidR="00836F07" w:rsidRPr="00BB5E51" w:rsidDel="00D753F4" w:rsidRDefault="00836F07" w:rsidP="009E55AD">
            <w:pPr>
              <w:pStyle w:val="Tabletext"/>
              <w:jc w:val="center"/>
              <w:rPr>
                <w:u w:val="single"/>
              </w:rPr>
            </w:pPr>
            <w:hyperlink r:id="rId62" w:history="1">
              <w:r w:rsidRPr="00BB5E51">
                <w:rPr>
                  <w:rStyle w:val="Hyperlink"/>
                  <w:rFonts w:eastAsia="Times New Roman" w:cs="Times New Roman"/>
                  <w:szCs w:val="20"/>
                </w:rPr>
                <w:t>C25/20</w:t>
              </w:r>
            </w:hyperlink>
          </w:p>
        </w:tc>
      </w:tr>
      <w:tr w:rsidR="00366D78" w:rsidRPr="00BB5E51" w14:paraId="1ED41D00" w14:textId="77777777" w:rsidTr="009711C2">
        <w:tc>
          <w:tcPr>
            <w:tcW w:w="1546" w:type="dxa"/>
            <w:tcBorders>
              <w:top w:val="single" w:sz="4" w:space="0" w:color="808080"/>
              <w:bottom w:val="single" w:sz="4" w:space="0" w:color="808080"/>
              <w:right w:val="single" w:sz="4" w:space="0" w:color="808080" w:themeColor="background1" w:themeShade="80"/>
            </w:tcBorders>
            <w:shd w:val="clear" w:color="auto" w:fill="D9D9D9"/>
          </w:tcPr>
          <w:p w14:paraId="4F8D0BAB" w14:textId="77777777" w:rsidR="00366D78" w:rsidRPr="00BB5E51" w:rsidRDefault="00366D78" w:rsidP="009E55AD">
            <w:pPr>
              <w:pStyle w:val="Tabletext"/>
              <w:keepNext/>
              <w:keepLines/>
              <w:spacing w:before="120" w:after="120"/>
              <w:jc w:val="center"/>
              <w:rPr>
                <w:b/>
                <w:bCs/>
              </w:rPr>
            </w:pPr>
            <w:r w:rsidRPr="00BB5E51">
              <w:rPr>
                <w:b/>
                <w:bCs/>
              </w:rPr>
              <w:t>ADM 2</w:t>
            </w:r>
          </w:p>
        </w:tc>
        <w:tc>
          <w:tcPr>
            <w:tcW w:w="8600" w:type="dxa"/>
            <w:gridSpan w:val="2"/>
            <w:tcBorders>
              <w:top w:val="single" w:sz="4" w:space="0" w:color="808080"/>
              <w:left w:val="single" w:sz="4" w:space="0" w:color="808080" w:themeColor="background1" w:themeShade="80"/>
              <w:bottom w:val="single" w:sz="4" w:space="0" w:color="808080"/>
              <w:right w:val="single" w:sz="8" w:space="0" w:color="auto"/>
            </w:tcBorders>
            <w:shd w:val="clear" w:color="auto" w:fill="D9D9D9"/>
          </w:tcPr>
          <w:p w14:paraId="7BF27088" w14:textId="3AF10B10" w:rsidR="00366D78" w:rsidRPr="00BB5E51" w:rsidRDefault="00366D78" w:rsidP="009E55AD">
            <w:pPr>
              <w:pStyle w:val="Tabletext"/>
              <w:keepNext/>
              <w:keepLines/>
              <w:spacing w:before="120" w:after="120"/>
            </w:pPr>
            <w:r w:rsidRPr="00BB5E51">
              <w:rPr>
                <w:b/>
                <w:bCs/>
              </w:rPr>
              <w:t>Renforcement de l'excellence dans l'organisation (Responsabilité)</w:t>
            </w:r>
          </w:p>
        </w:tc>
      </w:tr>
      <w:tr w:rsidR="00836F07" w:rsidRPr="00BB5E51" w14:paraId="32D8A359" w14:textId="77777777" w:rsidTr="00366D78">
        <w:tc>
          <w:tcPr>
            <w:tcW w:w="1546" w:type="dxa"/>
            <w:tcBorders>
              <w:top w:val="single" w:sz="4" w:space="0" w:color="808080"/>
            </w:tcBorders>
          </w:tcPr>
          <w:p w14:paraId="4A694BC3" w14:textId="2CA19018" w:rsidR="00836F07" w:rsidRPr="00BB5E51" w:rsidRDefault="00836F07" w:rsidP="009E55AD">
            <w:pPr>
              <w:pStyle w:val="Tabletext"/>
              <w:keepNext/>
              <w:keepLines/>
              <w:jc w:val="center"/>
            </w:pPr>
          </w:p>
        </w:tc>
        <w:tc>
          <w:tcPr>
            <w:tcW w:w="7097" w:type="dxa"/>
            <w:tcBorders>
              <w:top w:val="single" w:sz="4" w:space="0" w:color="808080"/>
            </w:tcBorders>
          </w:tcPr>
          <w:p w14:paraId="448C4B9C" w14:textId="77777777" w:rsidR="00836F07" w:rsidRPr="00BB5E51" w:rsidRDefault="00836F07" w:rsidP="009E55AD">
            <w:pPr>
              <w:pStyle w:val="Tabletext"/>
              <w:keepNext/>
              <w:keepLines/>
            </w:pPr>
            <w:r w:rsidRPr="00BB5E51">
              <w:t>Rapport de gestion financière et états financiers vérifiés pour l'exercice 2024</w:t>
            </w:r>
          </w:p>
        </w:tc>
        <w:tc>
          <w:tcPr>
            <w:tcW w:w="1503" w:type="dxa"/>
            <w:tcBorders>
              <w:top w:val="single" w:sz="4" w:space="0" w:color="808080"/>
            </w:tcBorders>
          </w:tcPr>
          <w:p w14:paraId="553D7C5B" w14:textId="77777777" w:rsidR="00836F07" w:rsidRPr="00BB5E51" w:rsidRDefault="00836F07" w:rsidP="009E55AD">
            <w:pPr>
              <w:pStyle w:val="Tabletext"/>
              <w:keepNext/>
              <w:keepLines/>
              <w:jc w:val="center"/>
              <w:rPr>
                <w:u w:val="single"/>
              </w:rPr>
            </w:pPr>
            <w:hyperlink r:id="rId63" w:history="1">
              <w:r w:rsidRPr="00BB5E51">
                <w:rPr>
                  <w:rStyle w:val="Hyperlink"/>
                  <w:rFonts w:eastAsia="Times New Roman" w:cs="Times New Roman"/>
                  <w:szCs w:val="20"/>
                </w:rPr>
                <w:t>C25/40</w:t>
              </w:r>
            </w:hyperlink>
          </w:p>
        </w:tc>
      </w:tr>
      <w:tr w:rsidR="00836F07" w:rsidRPr="00BB5E51" w14:paraId="05B995BB" w14:textId="77777777" w:rsidTr="00366D78">
        <w:tc>
          <w:tcPr>
            <w:tcW w:w="1546" w:type="dxa"/>
          </w:tcPr>
          <w:p w14:paraId="3BFF6393" w14:textId="4D21B1B3" w:rsidR="00836F07" w:rsidRPr="00BB5E51" w:rsidRDefault="00836F07" w:rsidP="009E55AD">
            <w:pPr>
              <w:pStyle w:val="Tabletext"/>
              <w:keepNext/>
              <w:keepLines/>
              <w:jc w:val="center"/>
            </w:pPr>
          </w:p>
        </w:tc>
        <w:tc>
          <w:tcPr>
            <w:tcW w:w="7097" w:type="dxa"/>
          </w:tcPr>
          <w:p w14:paraId="4F9BDADD" w14:textId="77777777" w:rsidR="00836F07" w:rsidRPr="00BB5E51" w:rsidRDefault="00836F07" w:rsidP="009E55AD">
            <w:pPr>
              <w:pStyle w:val="Tabletext"/>
              <w:keepNext/>
              <w:keepLines/>
            </w:pPr>
            <w:r w:rsidRPr="00BB5E51">
              <w:t>Rapport du Vérificateur extérieur des comptes sur les états financiers vérifiés de l'UIT pour 2024</w:t>
            </w:r>
          </w:p>
        </w:tc>
        <w:tc>
          <w:tcPr>
            <w:tcW w:w="1503" w:type="dxa"/>
          </w:tcPr>
          <w:p w14:paraId="29282FAC" w14:textId="77777777" w:rsidR="00836F07" w:rsidRPr="00BB5E51" w:rsidRDefault="00836F07" w:rsidP="009E55AD">
            <w:pPr>
              <w:pStyle w:val="Tabletext"/>
              <w:keepNext/>
              <w:keepLines/>
              <w:jc w:val="center"/>
              <w:rPr>
                <w:u w:val="single"/>
              </w:rPr>
            </w:pPr>
            <w:hyperlink r:id="rId64" w:history="1">
              <w:r w:rsidRPr="00BB5E51">
                <w:rPr>
                  <w:rStyle w:val="Hyperlink"/>
                  <w:rFonts w:eastAsia="Times New Roman" w:cs="Times New Roman"/>
                  <w:szCs w:val="20"/>
                </w:rPr>
                <w:t>C25/41</w:t>
              </w:r>
            </w:hyperlink>
          </w:p>
        </w:tc>
      </w:tr>
      <w:tr w:rsidR="00836F07" w:rsidRPr="00BB5E51" w14:paraId="25C9CBB5" w14:textId="77777777" w:rsidTr="00F76A94">
        <w:tc>
          <w:tcPr>
            <w:tcW w:w="1546" w:type="dxa"/>
          </w:tcPr>
          <w:p w14:paraId="3BB1DBE9" w14:textId="20AAF6B9" w:rsidR="00836F07" w:rsidRPr="00BB5E51" w:rsidRDefault="00836F07" w:rsidP="009E55AD">
            <w:pPr>
              <w:pStyle w:val="Tabletext"/>
              <w:keepNext/>
              <w:keepLines/>
              <w:jc w:val="center"/>
            </w:pPr>
          </w:p>
        </w:tc>
        <w:tc>
          <w:tcPr>
            <w:tcW w:w="7097" w:type="dxa"/>
            <w:tcBorders>
              <w:bottom w:val="single" w:sz="4" w:space="0" w:color="808080"/>
            </w:tcBorders>
          </w:tcPr>
          <w:p w14:paraId="314E3D3B" w14:textId="77777777" w:rsidR="00836F07" w:rsidRPr="00BB5E51" w:rsidRDefault="00836F07" w:rsidP="009E55AD">
            <w:pPr>
              <w:pStyle w:val="Tabletext"/>
              <w:keepNext/>
              <w:keepLines/>
            </w:pPr>
            <w:r w:rsidRPr="00BB5E51">
              <w:t>Renouvellement du mandat du Vérificateur extérieur des comptes (Bureau national de contrôle des finances publiques du Royaume-Uni) pour une durée de deux ans</w:t>
            </w:r>
          </w:p>
        </w:tc>
        <w:tc>
          <w:tcPr>
            <w:tcW w:w="1503" w:type="dxa"/>
            <w:tcBorders>
              <w:bottom w:val="single" w:sz="4" w:space="0" w:color="808080"/>
            </w:tcBorders>
          </w:tcPr>
          <w:p w14:paraId="218FD421" w14:textId="77777777" w:rsidR="00836F07" w:rsidRPr="00BB5E51" w:rsidRDefault="00836F07" w:rsidP="009E55AD">
            <w:pPr>
              <w:pStyle w:val="Tabletext"/>
              <w:keepNext/>
              <w:keepLines/>
              <w:jc w:val="center"/>
              <w:rPr>
                <w:u w:val="single"/>
              </w:rPr>
            </w:pPr>
            <w:hyperlink r:id="rId65" w:history="1">
              <w:r w:rsidRPr="00BB5E51">
                <w:rPr>
                  <w:rStyle w:val="Hyperlink"/>
                  <w:rFonts w:eastAsia="Times New Roman" w:cs="Times New Roman"/>
                  <w:szCs w:val="20"/>
                </w:rPr>
                <w:t>C25/42</w:t>
              </w:r>
            </w:hyperlink>
          </w:p>
        </w:tc>
      </w:tr>
      <w:tr w:rsidR="0081457E" w:rsidRPr="00BB5E51" w14:paraId="04A7017D" w14:textId="77777777" w:rsidTr="00F76A94">
        <w:tc>
          <w:tcPr>
            <w:tcW w:w="1546" w:type="dxa"/>
            <w:vMerge w:val="restart"/>
          </w:tcPr>
          <w:p w14:paraId="4998B0CD" w14:textId="59C7D0C0" w:rsidR="0081457E" w:rsidRPr="00BB5E51" w:rsidRDefault="0081457E" w:rsidP="009E55AD">
            <w:pPr>
              <w:pStyle w:val="Tabletext"/>
              <w:keepNext/>
              <w:keepLines/>
              <w:jc w:val="center"/>
            </w:pPr>
          </w:p>
        </w:tc>
        <w:tc>
          <w:tcPr>
            <w:tcW w:w="7097" w:type="dxa"/>
            <w:tcBorders>
              <w:top w:val="single" w:sz="4" w:space="0" w:color="808080"/>
              <w:bottom w:val="nil"/>
            </w:tcBorders>
          </w:tcPr>
          <w:p w14:paraId="01C37E58" w14:textId="77777777" w:rsidR="0081457E" w:rsidRPr="00BB5E51" w:rsidDel="00CD62A2" w:rsidRDefault="0081457E" w:rsidP="009E55AD">
            <w:pPr>
              <w:pStyle w:val="Tabletext"/>
              <w:keepNext/>
              <w:keepLines/>
            </w:pPr>
            <w:r w:rsidRPr="00BB5E51">
              <w:t>Rapports de l'Unité du contrôle interne</w:t>
            </w:r>
          </w:p>
        </w:tc>
        <w:tc>
          <w:tcPr>
            <w:tcW w:w="1503" w:type="dxa"/>
            <w:tcBorders>
              <w:top w:val="single" w:sz="4" w:space="0" w:color="808080"/>
              <w:bottom w:val="nil"/>
            </w:tcBorders>
          </w:tcPr>
          <w:p w14:paraId="43D2AF97" w14:textId="77777777" w:rsidR="0081457E" w:rsidRPr="00BB5E51" w:rsidDel="00CD62A2" w:rsidRDefault="0081457E" w:rsidP="009E55AD">
            <w:pPr>
              <w:pStyle w:val="Tabletext"/>
              <w:keepNext/>
              <w:keepLines/>
              <w:jc w:val="center"/>
            </w:pPr>
          </w:p>
        </w:tc>
      </w:tr>
      <w:tr w:rsidR="0081457E" w:rsidRPr="00BB5E51" w14:paraId="1E942820" w14:textId="77777777" w:rsidTr="00F76A94">
        <w:tc>
          <w:tcPr>
            <w:tcW w:w="1546" w:type="dxa"/>
            <w:vMerge/>
          </w:tcPr>
          <w:p w14:paraId="15F0C36C" w14:textId="77777777" w:rsidR="0081457E" w:rsidRPr="00BB5E51" w:rsidRDefault="0081457E" w:rsidP="009E55AD">
            <w:pPr>
              <w:pStyle w:val="Tabletext"/>
              <w:jc w:val="center"/>
            </w:pPr>
          </w:p>
        </w:tc>
        <w:tc>
          <w:tcPr>
            <w:tcW w:w="7097" w:type="dxa"/>
            <w:tcBorders>
              <w:top w:val="nil"/>
              <w:bottom w:val="nil"/>
            </w:tcBorders>
          </w:tcPr>
          <w:p w14:paraId="5085C3C0" w14:textId="518A06E6" w:rsidR="0081457E" w:rsidRPr="00BB5E51" w:rsidRDefault="0081457E" w:rsidP="009E55AD">
            <w:pPr>
              <w:pStyle w:val="Tabletext"/>
              <w:tabs>
                <w:tab w:val="left" w:pos="462"/>
              </w:tabs>
            </w:pPr>
            <w:r w:rsidRPr="00BB5E51">
              <w:t>–</w:t>
            </w:r>
            <w:r w:rsidRPr="00BB5E51">
              <w:tab/>
            </w:r>
            <w:r w:rsidR="00BA1B3A" w:rsidRPr="00BB5E51">
              <w:t>Rapport de la fonction d'audit interne de l'Unité du contrôle interne</w:t>
            </w:r>
          </w:p>
        </w:tc>
        <w:tc>
          <w:tcPr>
            <w:tcW w:w="1503" w:type="dxa"/>
            <w:tcBorders>
              <w:top w:val="nil"/>
              <w:bottom w:val="nil"/>
            </w:tcBorders>
          </w:tcPr>
          <w:p w14:paraId="36B37B76" w14:textId="77777777" w:rsidR="0081457E" w:rsidRPr="00BB5E51" w:rsidRDefault="0081457E" w:rsidP="009E55AD">
            <w:pPr>
              <w:pStyle w:val="Tabletext"/>
              <w:jc w:val="center"/>
              <w:rPr>
                <w:u w:val="single"/>
              </w:rPr>
            </w:pPr>
            <w:hyperlink r:id="rId66" w:history="1">
              <w:r w:rsidRPr="00BB5E51">
                <w:rPr>
                  <w:rStyle w:val="Hyperlink"/>
                  <w:rFonts w:eastAsia="Times New Roman" w:cs="Times New Roman"/>
                  <w:szCs w:val="20"/>
                </w:rPr>
                <w:t>C25/44</w:t>
              </w:r>
            </w:hyperlink>
          </w:p>
        </w:tc>
      </w:tr>
      <w:tr w:rsidR="0081457E" w:rsidRPr="00BB5E51" w14:paraId="20309FB8" w14:textId="77777777" w:rsidTr="00F76A94">
        <w:tc>
          <w:tcPr>
            <w:tcW w:w="1546" w:type="dxa"/>
            <w:vMerge/>
          </w:tcPr>
          <w:p w14:paraId="34D40754" w14:textId="77777777" w:rsidR="0081457E" w:rsidRPr="00BB5E51" w:rsidRDefault="0081457E" w:rsidP="009E55AD">
            <w:pPr>
              <w:pStyle w:val="Tabletext"/>
              <w:jc w:val="center"/>
            </w:pPr>
          </w:p>
        </w:tc>
        <w:tc>
          <w:tcPr>
            <w:tcW w:w="7097" w:type="dxa"/>
            <w:tcBorders>
              <w:top w:val="nil"/>
              <w:bottom w:val="single" w:sz="4" w:space="0" w:color="808080"/>
            </w:tcBorders>
          </w:tcPr>
          <w:p w14:paraId="4529E1BB" w14:textId="414BCF09" w:rsidR="0081457E" w:rsidRPr="00BB5E51" w:rsidRDefault="0081457E" w:rsidP="009E55AD">
            <w:pPr>
              <w:pStyle w:val="Tabletext"/>
              <w:tabs>
                <w:tab w:val="left" w:pos="462"/>
              </w:tabs>
            </w:pPr>
            <w:r w:rsidRPr="00BB5E51">
              <w:t>–</w:t>
            </w:r>
            <w:r w:rsidRPr="00BB5E51">
              <w:tab/>
              <w:t>Rapport de l'Unité du contrôle interne – Fonction d'enquête</w:t>
            </w:r>
          </w:p>
        </w:tc>
        <w:tc>
          <w:tcPr>
            <w:tcW w:w="1503" w:type="dxa"/>
            <w:tcBorders>
              <w:top w:val="nil"/>
              <w:bottom w:val="single" w:sz="4" w:space="0" w:color="808080"/>
            </w:tcBorders>
          </w:tcPr>
          <w:p w14:paraId="72C58FF5" w14:textId="756018A4" w:rsidR="0081457E" w:rsidRPr="00BB5E51" w:rsidRDefault="0081457E" w:rsidP="009E55AD">
            <w:pPr>
              <w:pStyle w:val="Tabletext"/>
              <w:jc w:val="center"/>
              <w:rPr>
                <w:u w:val="single"/>
              </w:rPr>
            </w:pPr>
            <w:hyperlink r:id="rId67" w:history="1">
              <w:r w:rsidRPr="00BB5E51">
                <w:rPr>
                  <w:rStyle w:val="Hyperlink"/>
                  <w:rFonts w:eastAsia="Times New Roman" w:cs="Times New Roman"/>
                  <w:szCs w:val="20"/>
                </w:rPr>
                <w:t>C25/39</w:t>
              </w:r>
            </w:hyperlink>
          </w:p>
        </w:tc>
      </w:tr>
      <w:tr w:rsidR="00836F07" w:rsidRPr="00BB5E51" w14:paraId="64E5F1C2" w14:textId="77777777" w:rsidTr="00F76A94">
        <w:tc>
          <w:tcPr>
            <w:tcW w:w="1546" w:type="dxa"/>
          </w:tcPr>
          <w:p w14:paraId="68B0AF72" w14:textId="61A042C5" w:rsidR="00836F07" w:rsidRPr="00BB5E51" w:rsidRDefault="00836F07" w:rsidP="009E55AD">
            <w:pPr>
              <w:pStyle w:val="Tabletext"/>
              <w:jc w:val="center"/>
            </w:pPr>
          </w:p>
        </w:tc>
        <w:tc>
          <w:tcPr>
            <w:tcW w:w="7097" w:type="dxa"/>
            <w:tcBorders>
              <w:top w:val="single" w:sz="4" w:space="0" w:color="808080"/>
            </w:tcBorders>
          </w:tcPr>
          <w:p w14:paraId="5D47937C" w14:textId="77777777" w:rsidR="00836F07" w:rsidRPr="00BB5E51" w:rsidRDefault="00836F07" w:rsidP="009E55AD">
            <w:pPr>
              <w:pStyle w:val="Tabletext"/>
            </w:pPr>
            <w:r w:rsidRPr="00BB5E51">
              <w:t>Rapport du Bureau de l'éthique</w:t>
            </w:r>
          </w:p>
        </w:tc>
        <w:tc>
          <w:tcPr>
            <w:tcW w:w="1503" w:type="dxa"/>
            <w:tcBorders>
              <w:top w:val="single" w:sz="4" w:space="0" w:color="808080"/>
            </w:tcBorders>
          </w:tcPr>
          <w:p w14:paraId="1DF1EB8B" w14:textId="77777777" w:rsidR="00836F07" w:rsidRPr="00BB5E51" w:rsidRDefault="00836F07" w:rsidP="009E55AD">
            <w:pPr>
              <w:pStyle w:val="Tabletext"/>
              <w:jc w:val="center"/>
              <w:rPr>
                <w:u w:val="single"/>
              </w:rPr>
            </w:pPr>
            <w:hyperlink r:id="rId68" w:history="1">
              <w:r w:rsidRPr="00BB5E51">
                <w:rPr>
                  <w:rStyle w:val="Hyperlink"/>
                  <w:rFonts w:eastAsia="Times New Roman" w:cs="Times New Roman"/>
                  <w:szCs w:val="20"/>
                </w:rPr>
                <w:t>C25/14</w:t>
              </w:r>
            </w:hyperlink>
          </w:p>
        </w:tc>
      </w:tr>
      <w:tr w:rsidR="00836F07" w:rsidRPr="00BB5E51" w14:paraId="6E0D341E" w14:textId="77777777" w:rsidTr="00366D78">
        <w:tc>
          <w:tcPr>
            <w:tcW w:w="1546" w:type="dxa"/>
          </w:tcPr>
          <w:p w14:paraId="64789D81" w14:textId="5C2E646B" w:rsidR="00836F07" w:rsidRPr="00BB5E51" w:rsidRDefault="00836F07" w:rsidP="009E55AD">
            <w:pPr>
              <w:pStyle w:val="Tabletext"/>
              <w:jc w:val="center"/>
            </w:pPr>
          </w:p>
        </w:tc>
        <w:tc>
          <w:tcPr>
            <w:tcW w:w="7097" w:type="dxa"/>
          </w:tcPr>
          <w:p w14:paraId="023F4BA3" w14:textId="77777777" w:rsidR="00836F07" w:rsidRPr="00BB5E51" w:rsidRDefault="00836F07" w:rsidP="009E55AD">
            <w:pPr>
              <w:pStyle w:val="Tabletext"/>
            </w:pPr>
            <w:r w:rsidRPr="00BB5E51">
              <w:t>Renforcement de la gestion des risques et du système de contrôle interne</w:t>
            </w:r>
          </w:p>
        </w:tc>
        <w:tc>
          <w:tcPr>
            <w:tcW w:w="1503" w:type="dxa"/>
          </w:tcPr>
          <w:p w14:paraId="514563A9" w14:textId="77777777" w:rsidR="00836F07" w:rsidRPr="00BB5E51" w:rsidRDefault="00836F07" w:rsidP="009E55AD">
            <w:pPr>
              <w:pStyle w:val="Tabletext"/>
              <w:jc w:val="center"/>
              <w:rPr>
                <w:u w:val="single"/>
              </w:rPr>
            </w:pPr>
            <w:hyperlink r:id="rId69" w:history="1">
              <w:r w:rsidRPr="00BB5E51">
                <w:rPr>
                  <w:rStyle w:val="Hyperlink"/>
                  <w:rFonts w:eastAsia="Times New Roman" w:cs="Times New Roman"/>
                  <w:szCs w:val="20"/>
                </w:rPr>
                <w:t>C25/49</w:t>
              </w:r>
            </w:hyperlink>
          </w:p>
        </w:tc>
      </w:tr>
      <w:tr w:rsidR="00836F07" w:rsidRPr="00BB5E51" w14:paraId="681FFA0C" w14:textId="77777777" w:rsidTr="00366D78">
        <w:tc>
          <w:tcPr>
            <w:tcW w:w="1546" w:type="dxa"/>
          </w:tcPr>
          <w:p w14:paraId="0B955F0F" w14:textId="7ACF4970" w:rsidR="00836F07" w:rsidRPr="00BB5E51" w:rsidRDefault="00836F07" w:rsidP="009E55AD">
            <w:pPr>
              <w:pStyle w:val="Tabletext"/>
              <w:jc w:val="center"/>
            </w:pPr>
          </w:p>
        </w:tc>
        <w:tc>
          <w:tcPr>
            <w:tcW w:w="7097" w:type="dxa"/>
          </w:tcPr>
          <w:p w14:paraId="7C6C752C" w14:textId="07F04C57" w:rsidR="00836F07" w:rsidRPr="00BB5E51" w:rsidRDefault="00836F07" w:rsidP="000E28AC">
            <w:pPr>
              <w:pStyle w:val="Tabletext"/>
            </w:pPr>
            <w:r w:rsidRPr="00BB5E51">
              <w:t>Quatorzième rapport du Comité consultatif indépendant pour les questions de gestion (CCIG)</w:t>
            </w:r>
          </w:p>
        </w:tc>
        <w:tc>
          <w:tcPr>
            <w:tcW w:w="1503" w:type="dxa"/>
          </w:tcPr>
          <w:p w14:paraId="67D81810" w14:textId="0F241A17" w:rsidR="00836F07" w:rsidRPr="00BB5E51" w:rsidRDefault="00836F07" w:rsidP="009E55AD">
            <w:pPr>
              <w:pStyle w:val="Tabletext"/>
              <w:jc w:val="center"/>
              <w:rPr>
                <w:u w:val="single"/>
              </w:rPr>
            </w:pPr>
            <w:hyperlink r:id="rId70" w:history="1">
              <w:r w:rsidRPr="00BB5E51">
                <w:rPr>
                  <w:rStyle w:val="Hyperlink"/>
                  <w:rFonts w:eastAsia="Times New Roman" w:cs="Times New Roman"/>
                  <w:szCs w:val="20"/>
                </w:rPr>
                <w:t>C25/22</w:t>
              </w:r>
            </w:hyperlink>
          </w:p>
        </w:tc>
      </w:tr>
      <w:tr w:rsidR="00836F07" w:rsidRPr="00BB5E51" w14:paraId="438C9AD9" w14:textId="77777777" w:rsidTr="00366D78">
        <w:tc>
          <w:tcPr>
            <w:tcW w:w="1546" w:type="dxa"/>
          </w:tcPr>
          <w:p w14:paraId="2DC88F34" w14:textId="7D415574" w:rsidR="00836F07" w:rsidRPr="00BB5E51" w:rsidRDefault="00836F07" w:rsidP="009E55AD">
            <w:pPr>
              <w:pStyle w:val="Tabletext"/>
              <w:jc w:val="center"/>
            </w:pPr>
          </w:p>
        </w:tc>
        <w:tc>
          <w:tcPr>
            <w:tcW w:w="7097" w:type="dxa"/>
          </w:tcPr>
          <w:p w14:paraId="022A8680" w14:textId="77777777" w:rsidR="00836F07" w:rsidRPr="00BB5E51" w:rsidRDefault="00836F07" w:rsidP="009E55AD">
            <w:pPr>
              <w:pStyle w:val="Tabletext"/>
            </w:pPr>
            <w:r w:rsidRPr="00BB5E51">
              <w:t>Rapports du CCI sur les questions relatives à l'ensemble du système des Nations Unies pour 2023-2024 et recommandations à l'intention des organes délibérants</w:t>
            </w:r>
          </w:p>
        </w:tc>
        <w:tc>
          <w:tcPr>
            <w:tcW w:w="1503" w:type="dxa"/>
          </w:tcPr>
          <w:p w14:paraId="3476905A" w14:textId="77777777" w:rsidR="00836F07" w:rsidRPr="00BB5E51" w:rsidRDefault="00836F07" w:rsidP="009E55AD">
            <w:pPr>
              <w:pStyle w:val="Tabletext"/>
              <w:jc w:val="center"/>
              <w:rPr>
                <w:u w:val="single"/>
              </w:rPr>
            </w:pPr>
            <w:hyperlink r:id="rId71" w:history="1">
              <w:r w:rsidRPr="00BB5E51">
                <w:rPr>
                  <w:rStyle w:val="Hyperlink"/>
                  <w:rFonts w:eastAsia="Times New Roman" w:cs="Times New Roman"/>
                  <w:szCs w:val="20"/>
                </w:rPr>
                <w:t>C25/57</w:t>
              </w:r>
            </w:hyperlink>
          </w:p>
        </w:tc>
      </w:tr>
      <w:tr w:rsidR="00366D78" w:rsidRPr="00BB5E51" w14:paraId="354A544F" w14:textId="77777777" w:rsidTr="009711C2">
        <w:tc>
          <w:tcPr>
            <w:tcW w:w="1546" w:type="dxa"/>
            <w:tcBorders>
              <w:top w:val="single" w:sz="4" w:space="0" w:color="808080"/>
              <w:bottom w:val="single" w:sz="4" w:space="0" w:color="808080"/>
              <w:right w:val="single" w:sz="4" w:space="0" w:color="808080" w:themeColor="background1" w:themeShade="80"/>
            </w:tcBorders>
            <w:shd w:val="clear" w:color="auto" w:fill="D9D9D9"/>
          </w:tcPr>
          <w:p w14:paraId="041D52A0" w14:textId="77777777" w:rsidR="00366D78" w:rsidRPr="00BB5E51" w:rsidRDefault="00366D78" w:rsidP="009E55AD">
            <w:pPr>
              <w:pStyle w:val="Tabletext"/>
              <w:spacing w:before="120" w:after="120"/>
              <w:jc w:val="center"/>
              <w:rPr>
                <w:b/>
                <w:bCs/>
              </w:rPr>
            </w:pPr>
            <w:r w:rsidRPr="00BB5E51">
              <w:rPr>
                <w:b/>
                <w:bCs/>
              </w:rPr>
              <w:t>ADM 3</w:t>
            </w:r>
          </w:p>
        </w:tc>
        <w:tc>
          <w:tcPr>
            <w:tcW w:w="8600" w:type="dxa"/>
            <w:gridSpan w:val="2"/>
            <w:tcBorders>
              <w:top w:val="single" w:sz="4" w:space="0" w:color="808080"/>
              <w:left w:val="single" w:sz="4" w:space="0" w:color="808080" w:themeColor="background1" w:themeShade="80"/>
              <w:bottom w:val="single" w:sz="4" w:space="0" w:color="808080"/>
              <w:right w:val="single" w:sz="8" w:space="0" w:color="auto"/>
            </w:tcBorders>
            <w:shd w:val="clear" w:color="auto" w:fill="D9D9D9"/>
          </w:tcPr>
          <w:p w14:paraId="74E2A113" w14:textId="70AED1EA" w:rsidR="00366D78" w:rsidRPr="00BB5E51" w:rsidRDefault="00366D78" w:rsidP="009E55AD">
            <w:pPr>
              <w:pStyle w:val="Tabletext"/>
              <w:spacing w:before="120" w:after="120"/>
              <w:rPr>
                <w:b/>
                <w:bCs/>
              </w:rPr>
            </w:pPr>
            <w:r w:rsidRPr="00BB5E51">
              <w:rPr>
                <w:b/>
                <w:bCs/>
              </w:rPr>
              <w:t>Renforcement de l'excellence dans l'organisation (environnement propice, ressources humaines, technologies de l'information, siège)</w:t>
            </w:r>
          </w:p>
        </w:tc>
      </w:tr>
      <w:tr w:rsidR="00496BD4" w:rsidRPr="00BB5E51" w14:paraId="47C756E7" w14:textId="77777777" w:rsidTr="00366D78">
        <w:tc>
          <w:tcPr>
            <w:tcW w:w="1546" w:type="dxa"/>
            <w:tcBorders>
              <w:top w:val="single" w:sz="4" w:space="0" w:color="808080"/>
            </w:tcBorders>
          </w:tcPr>
          <w:p w14:paraId="7F911EA8" w14:textId="2FDCDA98" w:rsidR="00496BD4" w:rsidRPr="00BB5E51" w:rsidRDefault="00496BD4" w:rsidP="009E55AD">
            <w:pPr>
              <w:pStyle w:val="Tabletext"/>
              <w:jc w:val="center"/>
            </w:pPr>
          </w:p>
        </w:tc>
        <w:tc>
          <w:tcPr>
            <w:tcW w:w="7097" w:type="dxa"/>
            <w:tcBorders>
              <w:top w:val="single" w:sz="4" w:space="0" w:color="808080"/>
            </w:tcBorders>
          </w:tcPr>
          <w:p w14:paraId="7D520990" w14:textId="5F37D59E" w:rsidR="00496BD4" w:rsidRPr="00BB5E51" w:rsidRDefault="00496BD4" w:rsidP="009E55AD">
            <w:pPr>
              <w:pStyle w:val="Tabletext"/>
            </w:pPr>
            <w:r w:rsidRPr="00BB5E51">
              <w:t>Rapport d'activité sur la mise en œuvre du Plan de transformation des ressources humaines et de la Résolution 48 (Rév. Bucarest, 2022)</w:t>
            </w:r>
          </w:p>
        </w:tc>
        <w:tc>
          <w:tcPr>
            <w:tcW w:w="1503" w:type="dxa"/>
            <w:tcBorders>
              <w:top w:val="single" w:sz="4" w:space="0" w:color="808080"/>
            </w:tcBorders>
          </w:tcPr>
          <w:p w14:paraId="4F45E74D" w14:textId="77777777" w:rsidR="00496BD4" w:rsidRPr="00BB5E51" w:rsidRDefault="00496BD4" w:rsidP="009E55AD">
            <w:pPr>
              <w:pStyle w:val="Tabletext"/>
              <w:jc w:val="center"/>
              <w:rPr>
                <w:u w:val="single"/>
              </w:rPr>
            </w:pPr>
            <w:hyperlink r:id="rId72" w:history="1">
              <w:r w:rsidRPr="00BB5E51">
                <w:rPr>
                  <w:rStyle w:val="Hyperlink"/>
                  <w:rFonts w:eastAsia="Times New Roman" w:cs="Times New Roman"/>
                  <w:szCs w:val="20"/>
                </w:rPr>
                <w:t>C25/66</w:t>
              </w:r>
            </w:hyperlink>
          </w:p>
        </w:tc>
      </w:tr>
      <w:tr w:rsidR="00836F07" w:rsidRPr="00BB5E51" w14:paraId="76F09B2E" w14:textId="77777777" w:rsidTr="00366D78">
        <w:tc>
          <w:tcPr>
            <w:tcW w:w="1546" w:type="dxa"/>
            <w:tcBorders>
              <w:top w:val="single" w:sz="4" w:space="0" w:color="808080"/>
            </w:tcBorders>
          </w:tcPr>
          <w:p w14:paraId="1B44E577" w14:textId="46BAC233" w:rsidR="00836F07" w:rsidRPr="00BB5E51" w:rsidRDefault="00836F07" w:rsidP="009E55AD">
            <w:pPr>
              <w:pStyle w:val="Tabletext"/>
              <w:jc w:val="center"/>
            </w:pPr>
          </w:p>
        </w:tc>
        <w:tc>
          <w:tcPr>
            <w:tcW w:w="7097" w:type="dxa"/>
            <w:tcBorders>
              <w:top w:val="single" w:sz="4" w:space="0" w:color="808080"/>
            </w:tcBorders>
          </w:tcPr>
          <w:p w14:paraId="3D23CB64" w14:textId="77777777" w:rsidR="00836F07" w:rsidRPr="00BB5E51" w:rsidRDefault="00836F07" w:rsidP="009E55AD">
            <w:pPr>
              <w:pStyle w:val="Tabletext"/>
            </w:pPr>
            <w:r w:rsidRPr="00BB5E51">
              <w:t>Modifications des conditions d'emploi dans le cadre du régime commun des Nations Unies</w:t>
            </w:r>
          </w:p>
        </w:tc>
        <w:tc>
          <w:tcPr>
            <w:tcW w:w="1503" w:type="dxa"/>
            <w:tcBorders>
              <w:top w:val="single" w:sz="4" w:space="0" w:color="808080"/>
            </w:tcBorders>
          </w:tcPr>
          <w:p w14:paraId="213E87E8" w14:textId="77777777" w:rsidR="00836F07" w:rsidRPr="00BB5E51" w:rsidDel="00432350" w:rsidRDefault="00836F07" w:rsidP="009E55AD">
            <w:pPr>
              <w:pStyle w:val="Tabletext"/>
              <w:jc w:val="center"/>
              <w:rPr>
                <w:u w:val="single"/>
              </w:rPr>
            </w:pPr>
            <w:hyperlink r:id="rId73" w:history="1">
              <w:r w:rsidRPr="00BB5E51">
                <w:rPr>
                  <w:rStyle w:val="Hyperlink"/>
                  <w:rFonts w:eastAsia="Times New Roman" w:cs="Times New Roman"/>
                  <w:szCs w:val="20"/>
                </w:rPr>
                <w:t>C25/23</w:t>
              </w:r>
            </w:hyperlink>
          </w:p>
        </w:tc>
      </w:tr>
      <w:tr w:rsidR="00496BD4" w:rsidRPr="00BB5E51" w14:paraId="595D5F5F" w14:textId="77777777" w:rsidTr="00366D78">
        <w:tc>
          <w:tcPr>
            <w:tcW w:w="1546" w:type="dxa"/>
            <w:tcBorders>
              <w:top w:val="single" w:sz="4" w:space="0" w:color="808080"/>
            </w:tcBorders>
          </w:tcPr>
          <w:p w14:paraId="077E33FE" w14:textId="05B8F539" w:rsidR="00496BD4" w:rsidRPr="00BB5E51" w:rsidRDefault="00496BD4" w:rsidP="00B216C1">
            <w:pPr>
              <w:pStyle w:val="Tabletext"/>
              <w:keepNext/>
              <w:keepLines/>
              <w:jc w:val="center"/>
            </w:pPr>
          </w:p>
        </w:tc>
        <w:tc>
          <w:tcPr>
            <w:tcW w:w="7097" w:type="dxa"/>
            <w:tcBorders>
              <w:top w:val="single" w:sz="4" w:space="0" w:color="808080"/>
            </w:tcBorders>
          </w:tcPr>
          <w:p w14:paraId="0F9D498E" w14:textId="77777777" w:rsidR="00496BD4" w:rsidRPr="00BB5E51" w:rsidRDefault="00496BD4" w:rsidP="00B216C1">
            <w:pPr>
              <w:pStyle w:val="Tabletext"/>
              <w:keepNext/>
              <w:keepLines/>
            </w:pPr>
            <w:r w:rsidRPr="00BB5E51">
              <w:t>Informations mises à jour concernant le projet de locaux du siège de l'Union</w:t>
            </w:r>
          </w:p>
        </w:tc>
        <w:tc>
          <w:tcPr>
            <w:tcW w:w="1503" w:type="dxa"/>
            <w:tcBorders>
              <w:top w:val="single" w:sz="4" w:space="0" w:color="808080"/>
            </w:tcBorders>
          </w:tcPr>
          <w:p w14:paraId="201B7B7E" w14:textId="77777777" w:rsidR="00496BD4" w:rsidRPr="00BB5E51" w:rsidRDefault="00496BD4" w:rsidP="00B216C1">
            <w:pPr>
              <w:pStyle w:val="Tabletext"/>
              <w:keepNext/>
              <w:keepLines/>
              <w:jc w:val="center"/>
              <w:rPr>
                <w:u w:val="single"/>
              </w:rPr>
            </w:pPr>
            <w:hyperlink r:id="rId74" w:history="1">
              <w:r w:rsidRPr="00BB5E51">
                <w:rPr>
                  <w:rStyle w:val="Hyperlink"/>
                  <w:rFonts w:eastAsia="Times New Roman" w:cs="Times New Roman"/>
                  <w:szCs w:val="20"/>
                </w:rPr>
                <w:t>C25/7</w:t>
              </w:r>
            </w:hyperlink>
          </w:p>
        </w:tc>
      </w:tr>
      <w:tr w:rsidR="00836F07" w:rsidRPr="00BB5E51" w14:paraId="0FECBDC4" w14:textId="77777777" w:rsidTr="00366D78">
        <w:tc>
          <w:tcPr>
            <w:tcW w:w="1546" w:type="dxa"/>
            <w:tcBorders>
              <w:top w:val="single" w:sz="4" w:space="0" w:color="808080"/>
            </w:tcBorders>
          </w:tcPr>
          <w:p w14:paraId="09370A27" w14:textId="23A44541" w:rsidR="00836F07" w:rsidRPr="00BB5E51" w:rsidRDefault="00836F07" w:rsidP="009E55AD">
            <w:pPr>
              <w:pStyle w:val="Tabletext"/>
              <w:keepNext/>
              <w:keepLines/>
              <w:jc w:val="center"/>
            </w:pPr>
          </w:p>
        </w:tc>
        <w:tc>
          <w:tcPr>
            <w:tcW w:w="7097" w:type="dxa"/>
            <w:tcBorders>
              <w:top w:val="single" w:sz="4" w:space="0" w:color="808080"/>
            </w:tcBorders>
          </w:tcPr>
          <w:p w14:paraId="1F8D2481" w14:textId="77777777" w:rsidR="00836F07" w:rsidRPr="00BB5E51" w:rsidRDefault="00836F07" w:rsidP="009E55AD">
            <w:pPr>
              <w:pStyle w:val="Tabletext"/>
              <w:keepNext/>
              <w:keepLines/>
            </w:pPr>
            <w:r w:rsidRPr="00BB5E51">
              <w:t>Rapport du Groupe consultatif d'États Membres (MSAG)</w:t>
            </w:r>
          </w:p>
        </w:tc>
        <w:tc>
          <w:tcPr>
            <w:tcW w:w="1503" w:type="dxa"/>
            <w:tcBorders>
              <w:top w:val="single" w:sz="4" w:space="0" w:color="808080"/>
            </w:tcBorders>
          </w:tcPr>
          <w:p w14:paraId="04BE3465" w14:textId="77777777" w:rsidR="00836F07" w:rsidRPr="00BB5E51" w:rsidRDefault="00836F07" w:rsidP="009E55AD">
            <w:pPr>
              <w:pStyle w:val="Tabletext"/>
              <w:keepNext/>
              <w:keepLines/>
              <w:jc w:val="center"/>
              <w:rPr>
                <w:u w:val="single"/>
              </w:rPr>
            </w:pPr>
            <w:hyperlink r:id="rId75" w:history="1">
              <w:r w:rsidRPr="00BB5E51">
                <w:rPr>
                  <w:rStyle w:val="Hyperlink"/>
                  <w:rFonts w:eastAsia="Times New Roman" w:cs="Times New Roman"/>
                  <w:szCs w:val="20"/>
                </w:rPr>
                <w:t>C25/48</w:t>
              </w:r>
            </w:hyperlink>
          </w:p>
        </w:tc>
      </w:tr>
      <w:tr w:rsidR="00836F07" w:rsidRPr="00BB5E51" w14:paraId="0087FA85" w14:textId="77777777" w:rsidTr="00366D78">
        <w:tc>
          <w:tcPr>
            <w:tcW w:w="1546" w:type="dxa"/>
            <w:tcBorders>
              <w:top w:val="single" w:sz="4" w:space="0" w:color="808080"/>
            </w:tcBorders>
          </w:tcPr>
          <w:p w14:paraId="0838CF17" w14:textId="70019545" w:rsidR="00836F07" w:rsidRPr="00BB5E51" w:rsidRDefault="00836F07" w:rsidP="009E55AD">
            <w:pPr>
              <w:pStyle w:val="Tabletext"/>
              <w:keepNext/>
              <w:keepLines/>
              <w:jc w:val="center"/>
            </w:pPr>
          </w:p>
        </w:tc>
        <w:tc>
          <w:tcPr>
            <w:tcW w:w="7097" w:type="dxa"/>
            <w:tcBorders>
              <w:top w:val="single" w:sz="4" w:space="0" w:color="808080"/>
            </w:tcBorders>
          </w:tcPr>
          <w:p w14:paraId="066D5264" w14:textId="77777777" w:rsidR="00836F07" w:rsidRPr="00BB5E51" w:rsidDel="004A2341" w:rsidRDefault="00836F07" w:rsidP="009E55AD">
            <w:pPr>
              <w:pStyle w:val="Tabletext"/>
              <w:keepNext/>
              <w:keepLines/>
            </w:pPr>
            <w:r w:rsidRPr="00BB5E51">
              <w:t>Informations actualisées sur le plan stratégique pour le campus de l'UIT</w:t>
            </w:r>
          </w:p>
        </w:tc>
        <w:tc>
          <w:tcPr>
            <w:tcW w:w="1503" w:type="dxa"/>
            <w:tcBorders>
              <w:top w:val="single" w:sz="4" w:space="0" w:color="808080"/>
            </w:tcBorders>
          </w:tcPr>
          <w:p w14:paraId="2AFE802D" w14:textId="77777777" w:rsidR="00836F07" w:rsidRPr="00BB5E51" w:rsidRDefault="00836F07" w:rsidP="009E55AD">
            <w:pPr>
              <w:pStyle w:val="Tabletext"/>
              <w:keepNext/>
              <w:keepLines/>
              <w:jc w:val="center"/>
            </w:pPr>
            <w:hyperlink r:id="rId76" w:history="1">
              <w:r w:rsidRPr="00BB5E51">
                <w:rPr>
                  <w:rStyle w:val="Hyperlink"/>
                  <w:rFonts w:eastAsia="Times New Roman" w:cs="Times New Roman"/>
                  <w:szCs w:val="20"/>
                </w:rPr>
                <w:t>C25/63</w:t>
              </w:r>
            </w:hyperlink>
          </w:p>
        </w:tc>
      </w:tr>
      <w:tr w:rsidR="00836F07" w:rsidRPr="00BB5E51" w14:paraId="301BC3B8" w14:textId="77777777" w:rsidTr="009711C2">
        <w:tc>
          <w:tcPr>
            <w:tcW w:w="1546" w:type="dxa"/>
            <w:tcBorders>
              <w:top w:val="single" w:sz="4" w:space="0" w:color="808080"/>
            </w:tcBorders>
          </w:tcPr>
          <w:p w14:paraId="7BA26E52" w14:textId="07C85CEC" w:rsidR="00836F07" w:rsidRPr="00BB5E51" w:rsidRDefault="00836F07" w:rsidP="009E55AD">
            <w:pPr>
              <w:pStyle w:val="Tabletext"/>
              <w:widowControl w:val="0"/>
              <w:jc w:val="center"/>
            </w:pPr>
          </w:p>
        </w:tc>
        <w:tc>
          <w:tcPr>
            <w:tcW w:w="7097" w:type="dxa"/>
            <w:tcBorders>
              <w:top w:val="single" w:sz="4" w:space="0" w:color="808080"/>
            </w:tcBorders>
          </w:tcPr>
          <w:p w14:paraId="216F2DDD" w14:textId="57579619" w:rsidR="00836F07" w:rsidRPr="00BB5E51" w:rsidDel="004A2341" w:rsidRDefault="00836F07" w:rsidP="009E55AD">
            <w:pPr>
              <w:pStyle w:val="Tabletext"/>
              <w:widowControl w:val="0"/>
            </w:pPr>
            <w:r w:rsidRPr="00BB5E51">
              <w:t>Modalités de continuité des activités pour les réunions de l'UIT pour</w:t>
            </w:r>
            <w:r w:rsidR="0094478D" w:rsidRPr="00BB5E51">
              <w:t> </w:t>
            </w:r>
            <w:r w:rsidRPr="00BB5E51">
              <w:t>2028</w:t>
            </w:r>
            <w:r w:rsidR="00496BD4" w:rsidRPr="00BB5E51">
              <w:noBreakHyphen/>
            </w:r>
            <w:r w:rsidRPr="00BB5E51">
              <w:t>2029</w:t>
            </w:r>
          </w:p>
        </w:tc>
        <w:tc>
          <w:tcPr>
            <w:tcW w:w="1503" w:type="dxa"/>
            <w:tcBorders>
              <w:top w:val="single" w:sz="4" w:space="0" w:color="808080"/>
              <w:right w:val="single" w:sz="8" w:space="0" w:color="auto"/>
            </w:tcBorders>
          </w:tcPr>
          <w:p w14:paraId="413F2FDB" w14:textId="77777777" w:rsidR="00836F07" w:rsidRPr="00BB5E51" w:rsidRDefault="00836F07" w:rsidP="009E55AD">
            <w:pPr>
              <w:pStyle w:val="Tabletext"/>
              <w:widowControl w:val="0"/>
              <w:jc w:val="center"/>
            </w:pPr>
            <w:hyperlink r:id="rId77" w:history="1">
              <w:r w:rsidRPr="00BB5E51">
                <w:rPr>
                  <w:rStyle w:val="Hyperlink"/>
                  <w:rFonts w:eastAsia="Times New Roman" w:cs="Times New Roman"/>
                  <w:szCs w:val="20"/>
                </w:rPr>
                <w:t>C25/60</w:t>
              </w:r>
            </w:hyperlink>
          </w:p>
        </w:tc>
      </w:tr>
      <w:tr w:rsidR="00366D78" w:rsidRPr="00BB5E51" w14:paraId="76F1852B" w14:textId="77777777" w:rsidTr="009711C2">
        <w:tc>
          <w:tcPr>
            <w:tcW w:w="1546" w:type="dxa"/>
            <w:tcBorders>
              <w:top w:val="single" w:sz="4" w:space="0" w:color="808080"/>
              <w:bottom w:val="single" w:sz="4" w:space="0" w:color="808080"/>
              <w:right w:val="nil"/>
            </w:tcBorders>
            <w:shd w:val="clear" w:color="auto" w:fill="D9D9D9"/>
          </w:tcPr>
          <w:p w14:paraId="3430378C" w14:textId="77777777" w:rsidR="00366D78" w:rsidRPr="00BB5E51" w:rsidRDefault="00366D78" w:rsidP="009E55AD">
            <w:pPr>
              <w:pStyle w:val="Tabletext"/>
              <w:spacing w:before="120" w:after="120"/>
              <w:jc w:val="center"/>
              <w:rPr>
                <w:b/>
                <w:bCs/>
              </w:rPr>
            </w:pPr>
          </w:p>
        </w:tc>
        <w:tc>
          <w:tcPr>
            <w:tcW w:w="8600" w:type="dxa"/>
            <w:gridSpan w:val="2"/>
            <w:tcBorders>
              <w:top w:val="single" w:sz="4" w:space="0" w:color="808080"/>
              <w:left w:val="nil"/>
              <w:bottom w:val="single" w:sz="4" w:space="0" w:color="808080"/>
              <w:right w:val="single" w:sz="8" w:space="0" w:color="auto"/>
            </w:tcBorders>
            <w:shd w:val="clear" w:color="auto" w:fill="D9D9D9"/>
          </w:tcPr>
          <w:p w14:paraId="13B3E1FE" w14:textId="4837DEF4" w:rsidR="00366D78" w:rsidRPr="00BB5E51" w:rsidRDefault="00366D78" w:rsidP="009E55AD">
            <w:pPr>
              <w:pStyle w:val="Tabletext"/>
              <w:spacing w:before="120" w:after="120"/>
              <w:rPr>
                <w:b/>
                <w:bCs/>
              </w:rPr>
            </w:pPr>
            <w:r w:rsidRPr="00BB5E51">
              <w:rPr>
                <w:b/>
                <w:bCs/>
              </w:rPr>
              <w:t>DOCUMENTS D'INFORMATION ET DIVERS</w:t>
            </w:r>
          </w:p>
        </w:tc>
      </w:tr>
      <w:tr w:rsidR="00836F07" w:rsidRPr="00BB5E51" w14:paraId="53A3B81C" w14:textId="77777777" w:rsidTr="00366D78">
        <w:tc>
          <w:tcPr>
            <w:tcW w:w="1546" w:type="dxa"/>
            <w:tcBorders>
              <w:top w:val="single" w:sz="4" w:space="0" w:color="808080"/>
            </w:tcBorders>
          </w:tcPr>
          <w:p w14:paraId="2A8EAFCB" w14:textId="77777777" w:rsidR="00836F07" w:rsidRPr="00BB5E51" w:rsidRDefault="00836F07" w:rsidP="009E55AD">
            <w:pPr>
              <w:pStyle w:val="Tabletext"/>
              <w:jc w:val="center"/>
            </w:pPr>
          </w:p>
        </w:tc>
        <w:tc>
          <w:tcPr>
            <w:tcW w:w="7097" w:type="dxa"/>
            <w:tcBorders>
              <w:top w:val="single" w:sz="4" w:space="0" w:color="808080"/>
            </w:tcBorders>
          </w:tcPr>
          <w:p w14:paraId="3EFACB40" w14:textId="77777777" w:rsidR="00836F07" w:rsidRPr="00BB5E51" w:rsidRDefault="00836F07" w:rsidP="009E55AD">
            <w:pPr>
              <w:pStyle w:val="Tabletext"/>
            </w:pPr>
            <w:r w:rsidRPr="00BB5E51">
              <w:t>Suivi des recommandations formulées dans le cadre de la vérification juricomptable et par l'Unité de l'audit interne</w:t>
            </w:r>
          </w:p>
        </w:tc>
        <w:tc>
          <w:tcPr>
            <w:tcW w:w="1503" w:type="dxa"/>
            <w:tcBorders>
              <w:top w:val="single" w:sz="4" w:space="0" w:color="808080"/>
            </w:tcBorders>
          </w:tcPr>
          <w:p w14:paraId="36541B2F" w14:textId="77777777" w:rsidR="00836F07" w:rsidRPr="00BB5E51" w:rsidRDefault="00836F07" w:rsidP="009E55AD">
            <w:pPr>
              <w:pStyle w:val="Tabletext"/>
              <w:jc w:val="center"/>
              <w:rPr>
                <w:u w:val="single"/>
              </w:rPr>
            </w:pPr>
            <w:hyperlink r:id="rId78" w:history="1">
              <w:r w:rsidRPr="00BB5E51">
                <w:rPr>
                  <w:rStyle w:val="Hyperlink"/>
                  <w:rFonts w:eastAsia="Times New Roman" w:cs="Times New Roman"/>
                  <w:szCs w:val="20"/>
                </w:rPr>
                <w:t>C25/INF/1</w:t>
              </w:r>
            </w:hyperlink>
          </w:p>
        </w:tc>
      </w:tr>
      <w:tr w:rsidR="00836F07" w:rsidRPr="00BB5E51" w14:paraId="1BCC7367" w14:textId="77777777" w:rsidTr="00366D78">
        <w:tc>
          <w:tcPr>
            <w:tcW w:w="1546" w:type="dxa"/>
          </w:tcPr>
          <w:p w14:paraId="4ADAE270" w14:textId="77777777" w:rsidR="00836F07" w:rsidRPr="00BB5E51" w:rsidRDefault="00836F07" w:rsidP="009E55AD">
            <w:pPr>
              <w:pStyle w:val="Tabletext"/>
              <w:jc w:val="center"/>
            </w:pPr>
          </w:p>
        </w:tc>
        <w:tc>
          <w:tcPr>
            <w:tcW w:w="7097" w:type="dxa"/>
          </w:tcPr>
          <w:p w14:paraId="4A2DBB7A" w14:textId="77777777" w:rsidR="00836F07" w:rsidRPr="00BB5E51" w:rsidRDefault="00836F07" w:rsidP="009E55AD">
            <w:pPr>
              <w:pStyle w:val="Tabletext"/>
            </w:pPr>
            <w:r w:rsidRPr="00BB5E51">
              <w:t>Situation des arriérés de l'Union au 31 mars 2025</w:t>
            </w:r>
          </w:p>
        </w:tc>
        <w:tc>
          <w:tcPr>
            <w:tcW w:w="1503" w:type="dxa"/>
          </w:tcPr>
          <w:p w14:paraId="577E1A86" w14:textId="77777777" w:rsidR="00836F07" w:rsidRPr="00BB5E51" w:rsidRDefault="00836F07" w:rsidP="009E55AD">
            <w:pPr>
              <w:pStyle w:val="Tabletext"/>
              <w:jc w:val="center"/>
              <w:rPr>
                <w:u w:val="single"/>
              </w:rPr>
            </w:pPr>
            <w:hyperlink r:id="rId79" w:history="1">
              <w:r w:rsidRPr="00BB5E51">
                <w:rPr>
                  <w:rStyle w:val="Hyperlink"/>
                  <w:rFonts w:eastAsia="Times New Roman" w:cs="Times New Roman"/>
                  <w:szCs w:val="20"/>
                </w:rPr>
                <w:t>C25/INF/2</w:t>
              </w:r>
            </w:hyperlink>
          </w:p>
        </w:tc>
      </w:tr>
      <w:tr w:rsidR="00836F07" w:rsidRPr="00BB5E51" w14:paraId="5E789F44" w14:textId="77777777" w:rsidTr="00366D78">
        <w:tc>
          <w:tcPr>
            <w:tcW w:w="1546" w:type="dxa"/>
          </w:tcPr>
          <w:p w14:paraId="0D73FF67" w14:textId="77777777" w:rsidR="00836F07" w:rsidRPr="00BB5E51" w:rsidRDefault="00836F07" w:rsidP="009E55AD">
            <w:pPr>
              <w:pStyle w:val="Tabletext"/>
              <w:jc w:val="center"/>
            </w:pPr>
          </w:p>
        </w:tc>
        <w:tc>
          <w:tcPr>
            <w:tcW w:w="7097" w:type="dxa"/>
          </w:tcPr>
          <w:p w14:paraId="3619C2BF" w14:textId="77777777" w:rsidR="00836F07" w:rsidRPr="00BB5E51" w:rsidRDefault="00836F07" w:rsidP="009E55AD">
            <w:pPr>
              <w:pStyle w:val="Tabletext"/>
            </w:pPr>
            <w:r w:rsidRPr="00BB5E51">
              <w:t>Rapports demandés au titre de la Résolution 218 (Bucarest, 2022) de la Conférence de plénipotentiaires</w:t>
            </w:r>
          </w:p>
        </w:tc>
        <w:tc>
          <w:tcPr>
            <w:tcW w:w="1503" w:type="dxa"/>
          </w:tcPr>
          <w:p w14:paraId="1550F94C" w14:textId="77777777" w:rsidR="00836F07" w:rsidRPr="00BB5E51" w:rsidRDefault="00836F07" w:rsidP="009E55AD">
            <w:pPr>
              <w:pStyle w:val="Tabletext"/>
              <w:jc w:val="center"/>
            </w:pPr>
            <w:hyperlink r:id="rId80" w:history="1">
              <w:r w:rsidRPr="00BB5E51">
                <w:rPr>
                  <w:rStyle w:val="Hyperlink"/>
                  <w:rFonts w:eastAsia="Times New Roman" w:cs="Times New Roman"/>
                  <w:szCs w:val="20"/>
                </w:rPr>
                <w:t>C25/INF/3</w:t>
              </w:r>
            </w:hyperlink>
          </w:p>
        </w:tc>
      </w:tr>
      <w:tr w:rsidR="00836F07" w:rsidRPr="00BB5E51" w14:paraId="7FB2E51E" w14:textId="77777777" w:rsidTr="00366D78">
        <w:tc>
          <w:tcPr>
            <w:tcW w:w="1546" w:type="dxa"/>
          </w:tcPr>
          <w:p w14:paraId="5482D88E" w14:textId="77777777" w:rsidR="00836F07" w:rsidRPr="00BB5E51" w:rsidRDefault="00836F07" w:rsidP="009E55AD">
            <w:pPr>
              <w:pStyle w:val="Tabletext"/>
              <w:jc w:val="center"/>
            </w:pPr>
          </w:p>
        </w:tc>
        <w:tc>
          <w:tcPr>
            <w:tcW w:w="7097" w:type="dxa"/>
          </w:tcPr>
          <w:p w14:paraId="3ABAAC28" w14:textId="77777777" w:rsidR="00836F07" w:rsidRPr="00BB5E51" w:rsidRDefault="00836F07" w:rsidP="009E55AD">
            <w:pPr>
              <w:pStyle w:val="Tabletext"/>
            </w:pPr>
            <w:r w:rsidRPr="00BB5E51">
              <w:t>Progrès accomplis dans la mise en œuvre des projets financés par le Fonds pour le développement des technologies de l'information et de la communication (FDTIC)</w:t>
            </w:r>
          </w:p>
        </w:tc>
        <w:tc>
          <w:tcPr>
            <w:tcW w:w="1503" w:type="dxa"/>
          </w:tcPr>
          <w:p w14:paraId="266B5BF1" w14:textId="77777777" w:rsidR="00836F07" w:rsidRPr="00BB5E51" w:rsidRDefault="00836F07" w:rsidP="009E55AD">
            <w:pPr>
              <w:pStyle w:val="Tabletext"/>
              <w:jc w:val="center"/>
            </w:pPr>
            <w:hyperlink r:id="rId81" w:history="1">
              <w:r w:rsidRPr="00BB5E51">
                <w:rPr>
                  <w:rStyle w:val="Hyperlink"/>
                  <w:rFonts w:eastAsia="Times New Roman" w:cs="Times New Roman"/>
                  <w:szCs w:val="20"/>
                </w:rPr>
                <w:t>C25/INF/4</w:t>
              </w:r>
            </w:hyperlink>
          </w:p>
        </w:tc>
      </w:tr>
      <w:tr w:rsidR="00836F07" w:rsidRPr="00BB5E51" w14:paraId="25260E4A" w14:textId="77777777" w:rsidTr="00366D78">
        <w:tc>
          <w:tcPr>
            <w:tcW w:w="1546" w:type="dxa"/>
          </w:tcPr>
          <w:p w14:paraId="0D0CB56D" w14:textId="77777777" w:rsidR="00836F07" w:rsidRPr="00BB5E51" w:rsidRDefault="00836F07" w:rsidP="009E55AD">
            <w:pPr>
              <w:pStyle w:val="Tabletext"/>
              <w:jc w:val="center"/>
            </w:pPr>
          </w:p>
        </w:tc>
        <w:tc>
          <w:tcPr>
            <w:tcW w:w="7097" w:type="dxa"/>
          </w:tcPr>
          <w:p w14:paraId="3B98BE16" w14:textId="77777777" w:rsidR="00836F07" w:rsidRPr="00BB5E51" w:rsidRDefault="00836F07" w:rsidP="009E55AD">
            <w:pPr>
              <w:pStyle w:val="Tabletext"/>
            </w:pPr>
            <w:r w:rsidRPr="00BB5E51">
              <w:t>Contribution du Conseil de l'UIT au Forum politique de haut niveau pour le développement durable (HLPF) de 2025</w:t>
            </w:r>
          </w:p>
        </w:tc>
        <w:tc>
          <w:tcPr>
            <w:tcW w:w="1503" w:type="dxa"/>
          </w:tcPr>
          <w:p w14:paraId="6DC12144" w14:textId="77777777" w:rsidR="00836F07" w:rsidRPr="00BB5E51" w:rsidRDefault="00836F07" w:rsidP="009E55AD">
            <w:pPr>
              <w:pStyle w:val="Tabletext"/>
              <w:jc w:val="center"/>
              <w:rPr>
                <w:u w:val="single"/>
              </w:rPr>
            </w:pPr>
            <w:hyperlink r:id="rId82" w:history="1">
              <w:r w:rsidRPr="00BB5E51">
                <w:rPr>
                  <w:rStyle w:val="Hyperlink"/>
                  <w:rFonts w:eastAsia="Times New Roman" w:cs="Times New Roman"/>
                  <w:szCs w:val="20"/>
                </w:rPr>
                <w:t>C25/INF/5</w:t>
              </w:r>
            </w:hyperlink>
          </w:p>
        </w:tc>
      </w:tr>
      <w:tr w:rsidR="00836F07" w:rsidRPr="00BB5E51" w14:paraId="58216B97" w14:textId="77777777" w:rsidTr="00366D78">
        <w:tc>
          <w:tcPr>
            <w:tcW w:w="1546" w:type="dxa"/>
          </w:tcPr>
          <w:p w14:paraId="3FFEE59B" w14:textId="77777777" w:rsidR="00836F07" w:rsidRPr="00BB5E51" w:rsidRDefault="00836F07" w:rsidP="009E55AD">
            <w:pPr>
              <w:pStyle w:val="Tabletext"/>
              <w:jc w:val="center"/>
            </w:pPr>
          </w:p>
        </w:tc>
        <w:tc>
          <w:tcPr>
            <w:tcW w:w="7097" w:type="dxa"/>
          </w:tcPr>
          <w:p w14:paraId="30BB320B" w14:textId="77777777" w:rsidR="00836F07" w:rsidRPr="00BB5E51" w:rsidRDefault="00836F07" w:rsidP="009E55AD">
            <w:pPr>
              <w:pStyle w:val="Tabletext"/>
            </w:pPr>
            <w:r w:rsidRPr="00BB5E51">
              <w:t>Mise en œuvre de la stratégie de mobilisation des ressources de l'UIT</w:t>
            </w:r>
          </w:p>
        </w:tc>
        <w:tc>
          <w:tcPr>
            <w:tcW w:w="1503" w:type="dxa"/>
          </w:tcPr>
          <w:p w14:paraId="187B9575" w14:textId="77777777" w:rsidR="00836F07" w:rsidRPr="00BB5E51" w:rsidRDefault="00836F07" w:rsidP="009E55AD">
            <w:pPr>
              <w:pStyle w:val="Tabletext"/>
              <w:jc w:val="center"/>
            </w:pPr>
            <w:hyperlink r:id="rId83" w:history="1">
              <w:r w:rsidRPr="00BB5E51">
                <w:rPr>
                  <w:rStyle w:val="Hyperlink"/>
                  <w:rFonts w:eastAsia="Times New Roman" w:cs="Times New Roman"/>
                  <w:szCs w:val="20"/>
                </w:rPr>
                <w:t>C25/INF/6</w:t>
              </w:r>
            </w:hyperlink>
          </w:p>
        </w:tc>
      </w:tr>
      <w:tr w:rsidR="00836F07" w:rsidRPr="00BB5E51" w14:paraId="315E41A5" w14:textId="77777777" w:rsidTr="00366D78">
        <w:tc>
          <w:tcPr>
            <w:tcW w:w="1546" w:type="dxa"/>
          </w:tcPr>
          <w:p w14:paraId="152961A4" w14:textId="77777777" w:rsidR="00836F07" w:rsidRPr="00BB5E51" w:rsidRDefault="00836F07" w:rsidP="009E55AD">
            <w:pPr>
              <w:pStyle w:val="Tabletext"/>
              <w:jc w:val="center"/>
            </w:pPr>
          </w:p>
        </w:tc>
        <w:tc>
          <w:tcPr>
            <w:tcW w:w="7097" w:type="dxa"/>
          </w:tcPr>
          <w:p w14:paraId="6F9385A0" w14:textId="77777777" w:rsidR="00836F07" w:rsidRPr="00BB5E51" w:rsidRDefault="00836F07" w:rsidP="009E55AD">
            <w:pPr>
              <w:pStyle w:val="Tabletext"/>
            </w:pPr>
            <w:r w:rsidRPr="00BB5E51">
              <w:t>Défis liés à l'utilisation de l'interprétation assistée par l'IA</w:t>
            </w:r>
          </w:p>
        </w:tc>
        <w:tc>
          <w:tcPr>
            <w:tcW w:w="1503" w:type="dxa"/>
          </w:tcPr>
          <w:p w14:paraId="097A3C0C" w14:textId="77777777" w:rsidR="00836F07" w:rsidRPr="00BB5E51" w:rsidRDefault="00836F07" w:rsidP="009E55AD">
            <w:pPr>
              <w:pStyle w:val="Tabletext"/>
              <w:jc w:val="center"/>
            </w:pPr>
            <w:hyperlink r:id="rId84" w:history="1">
              <w:r w:rsidRPr="00BB5E51">
                <w:rPr>
                  <w:rStyle w:val="Hyperlink"/>
                  <w:rFonts w:eastAsia="Times New Roman" w:cs="Times New Roman"/>
                  <w:szCs w:val="20"/>
                </w:rPr>
                <w:t>C25/INF/7</w:t>
              </w:r>
            </w:hyperlink>
          </w:p>
        </w:tc>
      </w:tr>
      <w:tr w:rsidR="00836F07" w:rsidRPr="00BB5E51" w14:paraId="4F20E83A" w14:textId="77777777" w:rsidTr="00366D78">
        <w:tc>
          <w:tcPr>
            <w:tcW w:w="1546" w:type="dxa"/>
          </w:tcPr>
          <w:p w14:paraId="08093402" w14:textId="77777777" w:rsidR="00836F07" w:rsidRPr="00BB5E51" w:rsidRDefault="00836F07" w:rsidP="009E55AD">
            <w:pPr>
              <w:pStyle w:val="Tabletext"/>
              <w:jc w:val="center"/>
            </w:pPr>
          </w:p>
        </w:tc>
        <w:tc>
          <w:tcPr>
            <w:tcW w:w="7097" w:type="dxa"/>
          </w:tcPr>
          <w:p w14:paraId="641CD4C4" w14:textId="77777777" w:rsidR="00836F07" w:rsidRPr="00BB5E51" w:rsidRDefault="00836F07" w:rsidP="009E55AD">
            <w:pPr>
              <w:pStyle w:val="Tabletext"/>
            </w:pPr>
            <w:r w:rsidRPr="00BB5E51">
              <w:t>Rapport sur les produits provenant des contributions volontaires pour 2024</w:t>
            </w:r>
          </w:p>
        </w:tc>
        <w:tc>
          <w:tcPr>
            <w:tcW w:w="1503" w:type="dxa"/>
          </w:tcPr>
          <w:p w14:paraId="411B4B34" w14:textId="77777777" w:rsidR="00836F07" w:rsidRPr="00BB5E51" w:rsidRDefault="00836F07" w:rsidP="009E55AD">
            <w:pPr>
              <w:pStyle w:val="Tabletext"/>
              <w:jc w:val="center"/>
              <w:rPr>
                <w:u w:val="single"/>
              </w:rPr>
            </w:pPr>
            <w:hyperlink r:id="rId85" w:history="1">
              <w:r w:rsidRPr="00BB5E51">
                <w:rPr>
                  <w:rStyle w:val="Hyperlink"/>
                  <w:rFonts w:eastAsia="Times New Roman" w:cs="Times New Roman"/>
                  <w:szCs w:val="20"/>
                </w:rPr>
                <w:t>C25/INF/9</w:t>
              </w:r>
            </w:hyperlink>
          </w:p>
        </w:tc>
      </w:tr>
      <w:tr w:rsidR="00836F07" w:rsidRPr="00BB5E51" w14:paraId="6060F181" w14:textId="77777777" w:rsidTr="00366D78">
        <w:tc>
          <w:tcPr>
            <w:tcW w:w="1546" w:type="dxa"/>
          </w:tcPr>
          <w:p w14:paraId="3C79C6D9" w14:textId="77777777" w:rsidR="00836F07" w:rsidRPr="00BB5E51" w:rsidRDefault="00836F07" w:rsidP="009E55AD">
            <w:pPr>
              <w:pStyle w:val="Tabletext"/>
              <w:jc w:val="center"/>
            </w:pPr>
          </w:p>
        </w:tc>
        <w:tc>
          <w:tcPr>
            <w:tcW w:w="7097" w:type="dxa"/>
          </w:tcPr>
          <w:p w14:paraId="26CE3B24" w14:textId="77777777" w:rsidR="00836F07" w:rsidRPr="00BB5E51" w:rsidRDefault="00836F07" w:rsidP="009E55AD">
            <w:pPr>
              <w:pStyle w:val="Tabletext"/>
            </w:pPr>
            <w:r w:rsidRPr="00BB5E51">
              <w:t>Collaboration avec le système des Nations Unies</w:t>
            </w:r>
          </w:p>
        </w:tc>
        <w:tc>
          <w:tcPr>
            <w:tcW w:w="1503" w:type="dxa"/>
          </w:tcPr>
          <w:p w14:paraId="50BF926B" w14:textId="77777777" w:rsidR="00836F07" w:rsidRPr="00BB5E51" w:rsidRDefault="00836F07" w:rsidP="009E55AD">
            <w:pPr>
              <w:pStyle w:val="Tabletext"/>
              <w:jc w:val="center"/>
              <w:rPr>
                <w:u w:val="single"/>
              </w:rPr>
            </w:pPr>
            <w:hyperlink r:id="rId86" w:history="1">
              <w:r w:rsidRPr="00BB5E51">
                <w:rPr>
                  <w:rStyle w:val="Hyperlink"/>
                  <w:rFonts w:eastAsia="Times New Roman" w:cs="Times New Roman"/>
                  <w:szCs w:val="20"/>
                </w:rPr>
                <w:t>C25/INF/8</w:t>
              </w:r>
            </w:hyperlink>
          </w:p>
        </w:tc>
      </w:tr>
      <w:tr w:rsidR="00836F07" w:rsidRPr="00BB5E51" w14:paraId="78A8B7E6" w14:textId="77777777" w:rsidTr="00366D78">
        <w:tc>
          <w:tcPr>
            <w:tcW w:w="1546" w:type="dxa"/>
          </w:tcPr>
          <w:p w14:paraId="021DCB84" w14:textId="77777777" w:rsidR="00836F07" w:rsidRPr="00BB5E51" w:rsidRDefault="00836F07" w:rsidP="009E55AD">
            <w:pPr>
              <w:pStyle w:val="Tabletext"/>
              <w:jc w:val="center"/>
            </w:pPr>
          </w:p>
        </w:tc>
        <w:tc>
          <w:tcPr>
            <w:tcW w:w="7097" w:type="dxa"/>
          </w:tcPr>
          <w:p w14:paraId="4C153EC6" w14:textId="77777777" w:rsidR="00836F07" w:rsidRPr="00BB5E51" w:rsidRDefault="00836F07" w:rsidP="009E55AD">
            <w:pPr>
              <w:pStyle w:val="Tabletext"/>
            </w:pPr>
            <w:r w:rsidRPr="00BB5E51">
              <w:t>Déclaration du Conseil du personnel</w:t>
            </w:r>
          </w:p>
        </w:tc>
        <w:tc>
          <w:tcPr>
            <w:tcW w:w="1503" w:type="dxa"/>
          </w:tcPr>
          <w:p w14:paraId="66161822" w14:textId="77777777" w:rsidR="00836F07" w:rsidRPr="00BB5E51" w:rsidRDefault="00836F07" w:rsidP="009E55AD">
            <w:pPr>
              <w:pStyle w:val="Tabletext"/>
              <w:jc w:val="center"/>
              <w:rPr>
                <w:u w:val="single"/>
              </w:rPr>
            </w:pPr>
          </w:p>
        </w:tc>
      </w:tr>
    </w:tbl>
    <w:p w14:paraId="2D990095" w14:textId="77777777" w:rsidR="00766C74" w:rsidRDefault="00766C74" w:rsidP="00766C74"/>
    <w:p w14:paraId="4935EADF" w14:textId="6E542840" w:rsidR="00897553" w:rsidRPr="00BB5E51" w:rsidRDefault="006A11AE" w:rsidP="009E55AD">
      <w:pPr>
        <w:jc w:val="center"/>
      </w:pPr>
      <w:r w:rsidRPr="00BB5E51">
        <w:t>______________</w:t>
      </w:r>
    </w:p>
    <w:sectPr w:rsidR="00897553" w:rsidRPr="00BB5E51" w:rsidSect="00D72F49">
      <w:headerReference w:type="even" r:id="rId87"/>
      <w:footerReference w:type="even" r:id="rId88"/>
      <w:footerReference w:type="default" r:id="rId89"/>
      <w:headerReference w:type="first" r:id="rId90"/>
      <w:footerReference w:type="first" r:id="rId9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B4849" w14:textId="77777777" w:rsidR="00C71A74" w:rsidRDefault="00C71A74">
      <w:r>
        <w:separator/>
      </w:r>
    </w:p>
  </w:endnote>
  <w:endnote w:type="continuationSeparator" w:id="0">
    <w:p w14:paraId="189C8307" w14:textId="77777777" w:rsidR="00C71A74" w:rsidRDefault="00C7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D75B4" w14:textId="10384797" w:rsidR="00732045" w:rsidRDefault="00E940B1">
    <w:pPr>
      <w:pStyle w:val="Footer"/>
    </w:pPr>
    <w:fldSimple w:instr=" FILENAME \p \* MERGEFORMAT ">
      <w:r>
        <w:t>P:\FRA\gDoc\SG\C25\2501439F.docx</w:t>
      </w:r>
    </w:fldSimple>
    <w:r w:rsidR="00732045">
      <w:tab/>
    </w:r>
    <w:r w:rsidR="002F1B76">
      <w:fldChar w:fldCharType="begin"/>
    </w:r>
    <w:r w:rsidR="00732045">
      <w:instrText xml:space="preserve"> savedate \@ dd.MM.yy </w:instrText>
    </w:r>
    <w:r w:rsidR="002F1B76">
      <w:fldChar w:fldCharType="separate"/>
    </w:r>
    <w:r w:rsidR="00416CDC">
      <w:t>13.06.25</w:t>
    </w:r>
    <w:r w:rsidR="002F1B76">
      <w:fldChar w:fldCharType="end"/>
    </w:r>
    <w:r w:rsidR="00732045">
      <w:tab/>
    </w:r>
    <w:r w:rsidR="002F1B76">
      <w:fldChar w:fldCharType="begin"/>
    </w:r>
    <w:r w:rsidR="00732045">
      <w:instrText xml:space="preserve"> printdate \@ dd.MM.yy </w:instrText>
    </w:r>
    <w:r w:rsidR="002F1B76">
      <w:fldChar w:fldCharType="separate"/>
    </w:r>
    <w:r>
      <w:t>13.06.25</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DBC768A" w14:textId="77777777" w:rsidTr="00E31DCE">
      <w:trPr>
        <w:jc w:val="center"/>
      </w:trPr>
      <w:tc>
        <w:tcPr>
          <w:tcW w:w="1803" w:type="dxa"/>
          <w:vAlign w:val="center"/>
        </w:tcPr>
        <w:p w14:paraId="653B2D0C" w14:textId="260B25FA" w:rsidR="00A51849" w:rsidRDefault="004F244B" w:rsidP="00A51849">
          <w:pPr>
            <w:pStyle w:val="Header"/>
            <w:jc w:val="left"/>
            <w:rPr>
              <w:noProof/>
            </w:rPr>
          </w:pPr>
          <w:r>
            <w:rPr>
              <w:noProof/>
            </w:rPr>
            <w:t>2501439</w:t>
          </w:r>
        </w:p>
      </w:tc>
      <w:tc>
        <w:tcPr>
          <w:tcW w:w="8261" w:type="dxa"/>
        </w:tcPr>
        <w:p w14:paraId="2A3C1348" w14:textId="2C076052" w:rsidR="00A51849" w:rsidRPr="00E06FD5" w:rsidRDefault="00A51849" w:rsidP="00FB3D3A">
          <w:pPr>
            <w:pStyle w:val="Header"/>
            <w:tabs>
              <w:tab w:val="left" w:pos="6876"/>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4F244B">
            <w:rPr>
              <w:bCs/>
            </w:rPr>
            <w:t>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221C6D9E"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A5AF590" w14:textId="77777777" w:rsidTr="00E31DCE">
      <w:trPr>
        <w:jc w:val="center"/>
      </w:trPr>
      <w:tc>
        <w:tcPr>
          <w:tcW w:w="1803" w:type="dxa"/>
          <w:vAlign w:val="center"/>
        </w:tcPr>
        <w:p w14:paraId="3613E865"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34C73C24" w14:textId="0E1F56C0" w:rsidR="00A51849" w:rsidRPr="00E06FD5" w:rsidRDefault="00A51849" w:rsidP="00FB3D3A">
          <w:pPr>
            <w:pStyle w:val="Header"/>
            <w:tabs>
              <w:tab w:val="left" w:pos="6876"/>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836F07">
            <w:rPr>
              <w:bCs/>
            </w:rPr>
            <w:t>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E8B6FE6"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505C5" w14:textId="77777777" w:rsidR="00C71A74" w:rsidRDefault="00C71A74">
      <w:r>
        <w:t>____________________</w:t>
      </w:r>
    </w:p>
  </w:footnote>
  <w:footnote w:type="continuationSeparator" w:id="0">
    <w:p w14:paraId="03B5C3B0" w14:textId="77777777" w:rsidR="00C71A74" w:rsidRDefault="00C71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2DAA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37AA5B6"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1E408DC6" w14:textId="77777777" w:rsidTr="00D37B53">
      <w:trPr>
        <w:trHeight w:val="1104"/>
        <w:jc w:val="center"/>
      </w:trPr>
      <w:tc>
        <w:tcPr>
          <w:tcW w:w="5317" w:type="dxa"/>
          <w:vAlign w:val="center"/>
        </w:tcPr>
        <w:p w14:paraId="773EA339"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FDD0176" wp14:editId="5C8E0819">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3908B625" w14:textId="77777777" w:rsidR="00524E8D" w:rsidRDefault="00524E8D" w:rsidP="00A51849">
          <w:pPr>
            <w:pStyle w:val="Header"/>
            <w:jc w:val="right"/>
            <w:rPr>
              <w:rFonts w:ascii="Arial" w:hAnsi="Arial" w:cs="Arial"/>
              <w:b/>
              <w:bCs/>
              <w:color w:val="009CD6"/>
              <w:szCs w:val="18"/>
            </w:rPr>
          </w:pPr>
        </w:p>
      </w:tc>
    </w:tr>
  </w:tbl>
  <w:p w14:paraId="2D8BA0B9"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FD98737" wp14:editId="6725248A">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4488A"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74"/>
    <w:rsid w:val="00076A2C"/>
    <w:rsid w:val="00094932"/>
    <w:rsid w:val="000D0D0A"/>
    <w:rsid w:val="000E28AC"/>
    <w:rsid w:val="00103163"/>
    <w:rsid w:val="00106B19"/>
    <w:rsid w:val="0011034C"/>
    <w:rsid w:val="001133EF"/>
    <w:rsid w:val="00115D93"/>
    <w:rsid w:val="001247A8"/>
    <w:rsid w:val="001370B2"/>
    <w:rsid w:val="001378C0"/>
    <w:rsid w:val="00140C03"/>
    <w:rsid w:val="00170796"/>
    <w:rsid w:val="0018694A"/>
    <w:rsid w:val="00197A3B"/>
    <w:rsid w:val="001A3287"/>
    <w:rsid w:val="001A6508"/>
    <w:rsid w:val="001D4C31"/>
    <w:rsid w:val="001E4D21"/>
    <w:rsid w:val="00207CD1"/>
    <w:rsid w:val="00226657"/>
    <w:rsid w:val="002477A2"/>
    <w:rsid w:val="00263A51"/>
    <w:rsid w:val="00267E02"/>
    <w:rsid w:val="002A5D44"/>
    <w:rsid w:val="002C3F32"/>
    <w:rsid w:val="002C4E3D"/>
    <w:rsid w:val="002E0BC4"/>
    <w:rsid w:val="002F1B76"/>
    <w:rsid w:val="0033568E"/>
    <w:rsid w:val="00355FF5"/>
    <w:rsid w:val="00361350"/>
    <w:rsid w:val="00361ACF"/>
    <w:rsid w:val="00366D78"/>
    <w:rsid w:val="003C3FAE"/>
    <w:rsid w:val="004038CB"/>
    <w:rsid w:val="0040546F"/>
    <w:rsid w:val="00416CDC"/>
    <w:rsid w:val="004177BD"/>
    <w:rsid w:val="0042404A"/>
    <w:rsid w:val="0044618F"/>
    <w:rsid w:val="0046769A"/>
    <w:rsid w:val="00475FB3"/>
    <w:rsid w:val="00496BD4"/>
    <w:rsid w:val="004B4F9A"/>
    <w:rsid w:val="004C37A9"/>
    <w:rsid w:val="004D1D50"/>
    <w:rsid w:val="004F244B"/>
    <w:rsid w:val="004F259E"/>
    <w:rsid w:val="004F47E8"/>
    <w:rsid w:val="00511F1D"/>
    <w:rsid w:val="00520F36"/>
    <w:rsid w:val="00524E8D"/>
    <w:rsid w:val="0052528F"/>
    <w:rsid w:val="00534E13"/>
    <w:rsid w:val="00540615"/>
    <w:rsid w:val="00540A6D"/>
    <w:rsid w:val="00566679"/>
    <w:rsid w:val="00571EEA"/>
    <w:rsid w:val="00575417"/>
    <w:rsid w:val="005768E1"/>
    <w:rsid w:val="00584652"/>
    <w:rsid w:val="005B1938"/>
    <w:rsid w:val="005C3890"/>
    <w:rsid w:val="005F7BFE"/>
    <w:rsid w:val="00600017"/>
    <w:rsid w:val="00617D47"/>
    <w:rsid w:val="006235CA"/>
    <w:rsid w:val="0062366E"/>
    <w:rsid w:val="00660A70"/>
    <w:rsid w:val="006643AB"/>
    <w:rsid w:val="006A11AE"/>
    <w:rsid w:val="006D7A40"/>
    <w:rsid w:val="006F0A53"/>
    <w:rsid w:val="006F0E6C"/>
    <w:rsid w:val="007210CD"/>
    <w:rsid w:val="00732045"/>
    <w:rsid w:val="0073275D"/>
    <w:rsid w:val="007369DB"/>
    <w:rsid w:val="00766C74"/>
    <w:rsid w:val="0077110E"/>
    <w:rsid w:val="007956C2"/>
    <w:rsid w:val="007A187E"/>
    <w:rsid w:val="007C72C2"/>
    <w:rsid w:val="007D4436"/>
    <w:rsid w:val="007F257A"/>
    <w:rsid w:val="007F3665"/>
    <w:rsid w:val="00800037"/>
    <w:rsid w:val="0081457E"/>
    <w:rsid w:val="0082299A"/>
    <w:rsid w:val="0083391C"/>
    <w:rsid w:val="00836F07"/>
    <w:rsid w:val="00861D73"/>
    <w:rsid w:val="00882919"/>
    <w:rsid w:val="00897553"/>
    <w:rsid w:val="008A4E87"/>
    <w:rsid w:val="008D76E6"/>
    <w:rsid w:val="0092392D"/>
    <w:rsid w:val="0093234A"/>
    <w:rsid w:val="0094478D"/>
    <w:rsid w:val="00956A78"/>
    <w:rsid w:val="009711C2"/>
    <w:rsid w:val="0097363B"/>
    <w:rsid w:val="00973F53"/>
    <w:rsid w:val="009A6BAA"/>
    <w:rsid w:val="009C2657"/>
    <w:rsid w:val="009C307F"/>
    <w:rsid w:val="009C353C"/>
    <w:rsid w:val="009E55AD"/>
    <w:rsid w:val="009F0FB8"/>
    <w:rsid w:val="00A2113E"/>
    <w:rsid w:val="00A23A51"/>
    <w:rsid w:val="00A24607"/>
    <w:rsid w:val="00A24EDD"/>
    <w:rsid w:val="00A25CD3"/>
    <w:rsid w:val="00A51849"/>
    <w:rsid w:val="00A709FE"/>
    <w:rsid w:val="00A73C60"/>
    <w:rsid w:val="00A82767"/>
    <w:rsid w:val="00AA332F"/>
    <w:rsid w:val="00AA6039"/>
    <w:rsid w:val="00AA7BBB"/>
    <w:rsid w:val="00AB64A8"/>
    <w:rsid w:val="00AC0266"/>
    <w:rsid w:val="00AD24EC"/>
    <w:rsid w:val="00AD7DBA"/>
    <w:rsid w:val="00AF64A9"/>
    <w:rsid w:val="00B216C1"/>
    <w:rsid w:val="00B27B00"/>
    <w:rsid w:val="00B309F9"/>
    <w:rsid w:val="00B32B60"/>
    <w:rsid w:val="00B51005"/>
    <w:rsid w:val="00B61619"/>
    <w:rsid w:val="00BA1B3A"/>
    <w:rsid w:val="00BB4545"/>
    <w:rsid w:val="00BB5E51"/>
    <w:rsid w:val="00BD5873"/>
    <w:rsid w:val="00BF2AD7"/>
    <w:rsid w:val="00BF4B60"/>
    <w:rsid w:val="00C049D7"/>
    <w:rsid w:val="00C04BE3"/>
    <w:rsid w:val="00C25D29"/>
    <w:rsid w:val="00C26A14"/>
    <w:rsid w:val="00C27A7C"/>
    <w:rsid w:val="00C42437"/>
    <w:rsid w:val="00C71A74"/>
    <w:rsid w:val="00CA08ED"/>
    <w:rsid w:val="00CC6EAA"/>
    <w:rsid w:val="00CF183B"/>
    <w:rsid w:val="00D375CD"/>
    <w:rsid w:val="00D37B53"/>
    <w:rsid w:val="00D553A2"/>
    <w:rsid w:val="00D72F49"/>
    <w:rsid w:val="00D774D3"/>
    <w:rsid w:val="00D904E8"/>
    <w:rsid w:val="00DA08C3"/>
    <w:rsid w:val="00DA2B46"/>
    <w:rsid w:val="00DB25F2"/>
    <w:rsid w:val="00DB2B99"/>
    <w:rsid w:val="00DB5A3E"/>
    <w:rsid w:val="00DC22AA"/>
    <w:rsid w:val="00DC2F3C"/>
    <w:rsid w:val="00DD1A99"/>
    <w:rsid w:val="00DF74DD"/>
    <w:rsid w:val="00E25AD0"/>
    <w:rsid w:val="00E4428F"/>
    <w:rsid w:val="00E47427"/>
    <w:rsid w:val="00E93668"/>
    <w:rsid w:val="00E940B1"/>
    <w:rsid w:val="00E95647"/>
    <w:rsid w:val="00EA2CC7"/>
    <w:rsid w:val="00EB6350"/>
    <w:rsid w:val="00ED0E88"/>
    <w:rsid w:val="00F15B57"/>
    <w:rsid w:val="00F35EF4"/>
    <w:rsid w:val="00F37FE5"/>
    <w:rsid w:val="00F427DB"/>
    <w:rsid w:val="00F76A94"/>
    <w:rsid w:val="00FA5EB1"/>
    <w:rsid w:val="00FA7439"/>
    <w:rsid w:val="00FB3D3A"/>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3713E"/>
  <w15:docId w15:val="{4997785D-C40A-4329-B98A-4E79AFC9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styleId="Emphasis">
    <w:name w:val="Emphasis"/>
    <w:basedOn w:val="DefaultParagraphFont"/>
    <w:qFormat/>
    <w:rsid w:val="00416C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5-CL-C-0056/en" TargetMode="External"/><Relationship Id="rId21" Type="http://schemas.openxmlformats.org/officeDocument/2006/relationships/hyperlink" Target="https://www.itu.int/md/S25-CL-C-0018/en" TargetMode="External"/><Relationship Id="rId42" Type="http://schemas.openxmlformats.org/officeDocument/2006/relationships/hyperlink" Target="https://www.itu.int/md/S25-CL-C-0003/en" TargetMode="External"/><Relationship Id="rId47" Type="http://schemas.openxmlformats.org/officeDocument/2006/relationships/hyperlink" Target="https://www.itu.int/md/S25-CL-C-0043/en" TargetMode="External"/><Relationship Id="rId63" Type="http://schemas.openxmlformats.org/officeDocument/2006/relationships/hyperlink" Target="https://www.itu.int/md/S25-CL-C-0040/en" TargetMode="External"/><Relationship Id="rId68" Type="http://schemas.openxmlformats.org/officeDocument/2006/relationships/hyperlink" Target="https://www.itu.int/md/S25-CL-C-0014/en" TargetMode="External"/><Relationship Id="rId84" Type="http://schemas.openxmlformats.org/officeDocument/2006/relationships/hyperlink" Target="https://www.itu.int/md/S25-CL-INF-0007/en" TargetMode="External"/><Relationship Id="rId89" Type="http://schemas.openxmlformats.org/officeDocument/2006/relationships/footer" Target="footer2.xml"/><Relationship Id="rId16" Type="http://schemas.openxmlformats.org/officeDocument/2006/relationships/hyperlink" Target="https://www.itu.int/md/S25-CL-C-0008/en" TargetMode="External"/><Relationship Id="rId11" Type="http://schemas.openxmlformats.org/officeDocument/2006/relationships/hyperlink" Target="https://www.itu.int/md/S25-CL-C-0015/en" TargetMode="External"/><Relationship Id="rId32" Type="http://schemas.openxmlformats.org/officeDocument/2006/relationships/hyperlink" Target="https://www.itu.int/md/S25-CL-C-0024/en" TargetMode="External"/><Relationship Id="rId37" Type="http://schemas.openxmlformats.org/officeDocument/2006/relationships/hyperlink" Target="https://www.itu.int/md/S25-CL-C-0058/en" TargetMode="External"/><Relationship Id="rId53" Type="http://schemas.openxmlformats.org/officeDocument/2006/relationships/hyperlink" Target="https://www.itu.int/md/S25-CL-C-0009/en" TargetMode="External"/><Relationship Id="rId58" Type="http://schemas.openxmlformats.org/officeDocument/2006/relationships/hyperlink" Target="https://www.itu.int/md/S25-CL-C-0034/en" TargetMode="External"/><Relationship Id="rId74" Type="http://schemas.openxmlformats.org/officeDocument/2006/relationships/hyperlink" Target="https://www.itu.int/md/S25-CL-C-0007/en" TargetMode="External"/><Relationship Id="rId79" Type="http://schemas.openxmlformats.org/officeDocument/2006/relationships/hyperlink" Target="https://www.itu.int/md/S25-CL-INF-0002/en" TargetMode="External"/><Relationship Id="rId5" Type="http://schemas.openxmlformats.org/officeDocument/2006/relationships/endnotes" Target="endnotes.xml"/><Relationship Id="rId90" Type="http://schemas.openxmlformats.org/officeDocument/2006/relationships/header" Target="header2.xml"/><Relationship Id="rId22" Type="http://schemas.openxmlformats.org/officeDocument/2006/relationships/hyperlink" Target="https://www.itu.int/md/S25-CL-C-0006/en" TargetMode="External"/><Relationship Id="rId27" Type="http://schemas.openxmlformats.org/officeDocument/2006/relationships/hyperlink" Target="https://www.itu.int/md/S25-CL-C-0017/en" TargetMode="External"/><Relationship Id="rId43" Type="http://schemas.openxmlformats.org/officeDocument/2006/relationships/hyperlink" Target="https://www.itu.int/md/S25-CL-C-0067/en" TargetMode="External"/><Relationship Id="rId48" Type="http://schemas.openxmlformats.org/officeDocument/2006/relationships/hyperlink" Target="https://www.itu.int/md/S25-CL-C-0013/en" TargetMode="External"/><Relationship Id="rId64" Type="http://schemas.openxmlformats.org/officeDocument/2006/relationships/hyperlink" Target="https://www.itu.int/md/S25-CL-C-0041/en" TargetMode="External"/><Relationship Id="rId69" Type="http://schemas.openxmlformats.org/officeDocument/2006/relationships/hyperlink" Target="https://www.itu.int/md/S25-CL-C-0049/en" TargetMode="External"/><Relationship Id="rId8" Type="http://schemas.openxmlformats.org/officeDocument/2006/relationships/hyperlink" Target="https://www.itu.int/md/S25-CL-C-0027/en" TargetMode="External"/><Relationship Id="rId51" Type="http://schemas.openxmlformats.org/officeDocument/2006/relationships/hyperlink" Target="https://www.itu.int/md/S25-CL-C-0064/en" TargetMode="External"/><Relationship Id="rId72" Type="http://schemas.openxmlformats.org/officeDocument/2006/relationships/hyperlink" Target="https://www.itu.int/md/S25-CL-C-0066/en" TargetMode="External"/><Relationship Id="rId80" Type="http://schemas.openxmlformats.org/officeDocument/2006/relationships/hyperlink" Target="https://www.itu.int/md/S25-CL-INF-0003/en" TargetMode="External"/><Relationship Id="rId85" Type="http://schemas.openxmlformats.org/officeDocument/2006/relationships/hyperlink" Target="https://www.itu.int/md/S25-CL-INF-0009/en"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itu.int/md/S25-CL-C-0012/en" TargetMode="External"/><Relationship Id="rId17" Type="http://schemas.openxmlformats.org/officeDocument/2006/relationships/hyperlink" Target="https://www.itu.int/md/S25-CL-C-0061/en" TargetMode="External"/><Relationship Id="rId25" Type="http://schemas.openxmlformats.org/officeDocument/2006/relationships/hyperlink" Target="https://www.itu.int/md/S25-CL-C-0036/en" TargetMode="External"/><Relationship Id="rId33" Type="http://schemas.openxmlformats.org/officeDocument/2006/relationships/hyperlink" Target="https://www.itu.int/md/S25-CL-C-0030/en" TargetMode="External"/><Relationship Id="rId38" Type="http://schemas.openxmlformats.org/officeDocument/2006/relationships/hyperlink" Target="https://www.itu.int/md/S25-CL-C-0019/en" TargetMode="External"/><Relationship Id="rId46" Type="http://schemas.openxmlformats.org/officeDocument/2006/relationships/hyperlink" Target="https://www.itu.int/md/S25-CL-C-0062/en" TargetMode="External"/><Relationship Id="rId59" Type="http://schemas.openxmlformats.org/officeDocument/2006/relationships/hyperlink" Target="https://www.itu.int/md/S25-CL-C-0046/en" TargetMode="External"/><Relationship Id="rId67" Type="http://schemas.openxmlformats.org/officeDocument/2006/relationships/hyperlink" Target="https://www.itu.int/md/S25-CL-C-0039/fr" TargetMode="External"/><Relationship Id="rId20" Type="http://schemas.openxmlformats.org/officeDocument/2006/relationships/hyperlink" Target="https://www.itu.int/md/S25-CL-C-0033/en" TargetMode="External"/><Relationship Id="rId41" Type="http://schemas.openxmlformats.org/officeDocument/2006/relationships/hyperlink" Target="https://www.itu.int/md/S25-CL-C-0037/en" TargetMode="External"/><Relationship Id="rId54" Type="http://schemas.openxmlformats.org/officeDocument/2006/relationships/hyperlink" Target="https://www.itu.int/md/S25-CL-C-0059/en" TargetMode="External"/><Relationship Id="rId62" Type="http://schemas.openxmlformats.org/officeDocument/2006/relationships/hyperlink" Target="https://www.itu.int/md/S25-CL-C-0020/en" TargetMode="External"/><Relationship Id="rId70" Type="http://schemas.openxmlformats.org/officeDocument/2006/relationships/hyperlink" Target="https://www.itu.int/md/S25-CL-C-0022/en" TargetMode="External"/><Relationship Id="rId75" Type="http://schemas.openxmlformats.org/officeDocument/2006/relationships/hyperlink" Target="https://www.itu.int/md/S25-CL-C-0048/en" TargetMode="External"/><Relationship Id="rId83" Type="http://schemas.openxmlformats.org/officeDocument/2006/relationships/hyperlink" Target="https://www.itu.int/md/S25-CL-INF-0006/en"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itu.int/md/S25-CL-C-0035/en" TargetMode="External"/><Relationship Id="rId15" Type="http://schemas.openxmlformats.org/officeDocument/2006/relationships/hyperlink" Target="https://www.itu.int/md/S25-CL-C-0031/en" TargetMode="External"/><Relationship Id="rId23" Type="http://schemas.openxmlformats.org/officeDocument/2006/relationships/hyperlink" Target="https://www.itu.int/md/S25-CL-C-0032/en" TargetMode="External"/><Relationship Id="rId28" Type="http://schemas.openxmlformats.org/officeDocument/2006/relationships/hyperlink" Target="https://www.itu.int/md/S25-CL-C-0068/en" TargetMode="External"/><Relationship Id="rId36" Type="http://schemas.openxmlformats.org/officeDocument/2006/relationships/hyperlink" Target="https://www.itu.int/md/S25-CL-C-0029/en" TargetMode="External"/><Relationship Id="rId49" Type="http://schemas.openxmlformats.org/officeDocument/2006/relationships/hyperlink" Target="https://www.itu.int/md/S25-CL-C-0010/en" TargetMode="External"/><Relationship Id="rId57" Type="http://schemas.openxmlformats.org/officeDocument/2006/relationships/hyperlink" Target="https://www.itu.int/md/S25-CL-C-0038/en" TargetMode="External"/><Relationship Id="rId10" Type="http://schemas.openxmlformats.org/officeDocument/2006/relationships/hyperlink" Target="https://www.itu.int/md/S25-CL-C-0025/fr" TargetMode="External"/><Relationship Id="rId31" Type="http://schemas.openxmlformats.org/officeDocument/2006/relationships/hyperlink" Target="https://www.itu.int/md/S25-CL-C-0045/en" TargetMode="External"/><Relationship Id="rId44" Type="http://schemas.openxmlformats.org/officeDocument/2006/relationships/hyperlink" Target="https://www.itu.int/md/S25-CL-C-0050/en" TargetMode="External"/><Relationship Id="rId52" Type="http://schemas.openxmlformats.org/officeDocument/2006/relationships/hyperlink" Target="https://www.itu.int/md/S25-CL-C-0074/en" TargetMode="External"/><Relationship Id="rId60" Type="http://schemas.openxmlformats.org/officeDocument/2006/relationships/hyperlink" Target="https://www.itu.int/md/S25-CL-C-0054/en" TargetMode="External"/><Relationship Id="rId65" Type="http://schemas.openxmlformats.org/officeDocument/2006/relationships/hyperlink" Target="https://www.itu.int/md/S25-CL-C-0042/en" TargetMode="External"/><Relationship Id="rId73" Type="http://schemas.openxmlformats.org/officeDocument/2006/relationships/hyperlink" Target="https://www.itu.int/md/S25-CL-C-0023/en" TargetMode="External"/><Relationship Id="rId78" Type="http://schemas.openxmlformats.org/officeDocument/2006/relationships/hyperlink" Target="https://www.itu.int/md/S25-CL-INF-0001/en" TargetMode="External"/><Relationship Id="rId81" Type="http://schemas.openxmlformats.org/officeDocument/2006/relationships/hyperlink" Target="https://www.itu.int/md/S25-CL-INF-0004/en" TargetMode="External"/><Relationship Id="rId86" Type="http://schemas.openxmlformats.org/officeDocument/2006/relationships/hyperlink" Target="https://www.itu.int/md/S25-CL-INF-0008/en" TargetMode="External"/><Relationship Id="rId4" Type="http://schemas.openxmlformats.org/officeDocument/2006/relationships/footnotes" Target="footnotes.xml"/><Relationship Id="rId9" Type="http://schemas.openxmlformats.org/officeDocument/2006/relationships/hyperlink" Target="https://www.itu.int/md/S25-CL-C-0028/en" TargetMode="External"/><Relationship Id="rId13" Type="http://schemas.openxmlformats.org/officeDocument/2006/relationships/hyperlink" Target="https://www.itu.int/md/S25-CL-C-0051/en" TargetMode="External"/><Relationship Id="rId18" Type="http://schemas.openxmlformats.org/officeDocument/2006/relationships/hyperlink" Target="https://www.itu.int/md/S25-CL-C-0053/en" TargetMode="External"/><Relationship Id="rId39" Type="http://schemas.openxmlformats.org/officeDocument/2006/relationships/hyperlink" Target="https://www.itu.int/md/S25-CL-C-0021/en" TargetMode="External"/><Relationship Id="rId34" Type="http://schemas.openxmlformats.org/officeDocument/2006/relationships/hyperlink" Target="https://www.itu.int/md/S25-CL-C-0005/en" TargetMode="External"/><Relationship Id="rId50" Type="http://schemas.openxmlformats.org/officeDocument/2006/relationships/hyperlink" Target="https://www.itu.int/md/S25-CL-C-0016/en" TargetMode="External"/><Relationship Id="rId55" Type="http://schemas.openxmlformats.org/officeDocument/2006/relationships/hyperlink" Target="https://www.itu.int/md/S25-CL-C-0011/en" TargetMode="External"/><Relationship Id="rId76" Type="http://schemas.openxmlformats.org/officeDocument/2006/relationships/hyperlink" Target="https://www.itu.int/md/S25-CL-C-0063/en" TargetMode="External"/><Relationship Id="rId7" Type="http://schemas.openxmlformats.org/officeDocument/2006/relationships/hyperlink" Target="https://www.itu.int/md/S25-CL-C-0055/en" TargetMode="External"/><Relationship Id="rId71" Type="http://schemas.openxmlformats.org/officeDocument/2006/relationships/hyperlink" Target="https://www.itu.int/md/S25-CL-C-0057/en"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www.itu.int/md/S25-CL-C-0071/en" TargetMode="External"/><Relationship Id="rId24" Type="http://schemas.openxmlformats.org/officeDocument/2006/relationships/hyperlink" Target="https://www.itu.int/md/S25-CL-C-0070/en" TargetMode="External"/><Relationship Id="rId40" Type="http://schemas.openxmlformats.org/officeDocument/2006/relationships/hyperlink" Target="https://www.itu.int/md/S25-CL-C-0002/en" TargetMode="External"/><Relationship Id="rId45" Type="http://schemas.openxmlformats.org/officeDocument/2006/relationships/hyperlink" Target="https://www.itu.int/md/S25-CL-C-0069/en" TargetMode="External"/><Relationship Id="rId66" Type="http://schemas.openxmlformats.org/officeDocument/2006/relationships/hyperlink" Target="https://www.itu.int/md/S25-CL-C-0044/en" TargetMode="External"/><Relationship Id="rId87" Type="http://schemas.openxmlformats.org/officeDocument/2006/relationships/header" Target="header1.xml"/><Relationship Id="rId61" Type="http://schemas.openxmlformats.org/officeDocument/2006/relationships/hyperlink" Target="https://www.itu.int/md/S25-CL-C-0065/en" TargetMode="External"/><Relationship Id="rId82" Type="http://schemas.openxmlformats.org/officeDocument/2006/relationships/hyperlink" Target="https://www.itu.int/md/S25-CL-INF-0005/en" TargetMode="External"/><Relationship Id="rId19" Type="http://schemas.openxmlformats.org/officeDocument/2006/relationships/hyperlink" Target="https://www.itu.int/md/S25-CL-C-0052/en" TargetMode="External"/><Relationship Id="rId14" Type="http://schemas.openxmlformats.org/officeDocument/2006/relationships/hyperlink" Target="https://www.itu.int/md/S25-CL-C-0026/en" TargetMode="External"/><Relationship Id="rId30" Type="http://schemas.openxmlformats.org/officeDocument/2006/relationships/hyperlink" Target="https://www.itu.int/md/S25-CL-C-0072/en" TargetMode="External"/><Relationship Id="rId35" Type="http://schemas.openxmlformats.org/officeDocument/2006/relationships/hyperlink" Target="https://www.itu.int/md/S25-CL-C-0004/en" TargetMode="External"/><Relationship Id="rId56" Type="http://schemas.openxmlformats.org/officeDocument/2006/relationships/hyperlink" Target="https://www.itu.int/md/S25-CL-C-0047/en" TargetMode="External"/><Relationship Id="rId77" Type="http://schemas.openxmlformats.org/officeDocument/2006/relationships/hyperlink" Target="https://www.itu.int/md/S25-CL-C-0060/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2</TotalTime>
  <Pages>5</Pages>
  <Words>1414</Words>
  <Characters>12760</Characters>
  <Application>Microsoft Office Word</Application>
  <DocSecurity>0</DocSecurity>
  <Lines>554</Lines>
  <Paragraphs>322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13852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d'ordre du jour de la session de 2025 du Conseil</dc:title>
  <dc:subject>Conseil 2025 de l'UIT</dc:subject>
  <cp:keywords>C2025, C25, Council-25</cp:keywords>
  <dc:description/>
  <cp:lastPrinted>2025-06-13T07:02:00Z</cp:lastPrinted>
  <dcterms:created xsi:type="dcterms:W3CDTF">2025-06-13T15:58:00Z</dcterms:created>
  <dcterms:modified xsi:type="dcterms:W3CDTF">2025-06-13T16:00:00Z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