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26596E4B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42599B71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="00F14254">
              <w:rPr>
                <w:b/>
              </w:rPr>
              <w:t>/1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4FDED122" w:rsidR="00AD3606" w:rsidRPr="00C0458D" w:rsidRDefault="00DA050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22 May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C059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2B48FE8B" w:rsidR="00AD3606" w:rsidRPr="000F7289" w:rsidRDefault="009E459E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0F7289">
              <w:t xml:space="preserve"> by the Secretary-General</w:t>
            </w:r>
          </w:p>
        </w:tc>
      </w:tr>
      <w:tr w:rsidR="00AD3606" w:rsidRPr="00C0458D" w14:paraId="3A759762" w14:textId="77777777" w:rsidTr="00C05922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27CE6F3D" w:rsidR="00AD3606" w:rsidRPr="000F7289" w:rsidRDefault="000178DC" w:rsidP="000F728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0178DC">
              <w:t>DRAFT AGENDA OF THE 202</w:t>
            </w:r>
            <w:r>
              <w:t>5</w:t>
            </w:r>
            <w:r w:rsidRPr="000178DC">
              <w:t xml:space="preserve"> SESSION OF THE </w:t>
            </w:r>
            <w:r w:rsidR="00806CAA" w:rsidRPr="000178DC">
              <w:t>COUNCIL</w:t>
            </w:r>
          </w:p>
        </w:tc>
      </w:tr>
    </w:tbl>
    <w:p w14:paraId="6C3C6080" w14:textId="77777777" w:rsidR="009F0B68" w:rsidRPr="00722551" w:rsidRDefault="009F0B68" w:rsidP="00F16BAB">
      <w:pPr>
        <w:framePr w:hSpace="180" w:wrap="around" w:vAnchor="page" w:hAnchor="page" w:x="1821" w:y="2317"/>
        <w:spacing w:after="160"/>
        <w:rPr>
          <w:i/>
          <w:iCs/>
          <w:sz w:val="22"/>
          <w:szCs w:val="22"/>
        </w:rPr>
      </w:pPr>
    </w:p>
    <w:p w14:paraId="3E836A65" w14:textId="77777777" w:rsidR="00E227F3" w:rsidRDefault="00E227F3" w:rsidP="009E45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tbl>
      <w:tblPr>
        <w:tblW w:w="94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6712"/>
        <w:gridCol w:w="1620"/>
      </w:tblGrid>
      <w:tr w:rsidR="009F0B68" w:rsidRPr="003422B2" w14:paraId="2A9B4998" w14:textId="77777777" w:rsidTr="0040172E">
        <w:trPr>
          <w:tblHeader/>
          <w:jc w:val="center"/>
        </w:trPr>
        <w:tc>
          <w:tcPr>
            <w:tcW w:w="108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031EE2B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 w:val="21"/>
                <w:szCs w:val="21"/>
                <w:lang w:val="en-US"/>
              </w:rPr>
            </w:pPr>
            <w:r w:rsidRPr="003422B2">
              <w:rPr>
                <w:b/>
                <w:color w:val="FFFFFF"/>
                <w:sz w:val="21"/>
                <w:szCs w:val="21"/>
                <w:lang w:val="en-US"/>
              </w:rPr>
              <w:t>Agenda item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068AB1A7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b/>
                <w:color w:val="FFFFFF"/>
                <w:szCs w:val="24"/>
                <w:lang w:val="en-US"/>
              </w:rPr>
              <w:t>Title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auto"/>
            </w:tcBorders>
            <w:shd w:val="clear" w:color="auto" w:fill="808080"/>
          </w:tcPr>
          <w:p w14:paraId="11CE18D4" w14:textId="77777777" w:rsidR="009F0B68" w:rsidRPr="003422B2" w:rsidRDefault="009F0B68" w:rsidP="006A2105">
            <w:pPr>
              <w:spacing w:before="60" w:after="60"/>
              <w:jc w:val="center"/>
              <w:rPr>
                <w:b/>
                <w:color w:val="FFFFFF"/>
                <w:szCs w:val="24"/>
                <w:lang w:val="en-US"/>
              </w:rPr>
            </w:pPr>
            <w:r>
              <w:rPr>
                <w:b/>
                <w:color w:val="FFFFFF"/>
                <w:szCs w:val="24"/>
                <w:lang w:val="en-US"/>
              </w:rPr>
              <w:t>Document</w:t>
            </w:r>
          </w:p>
        </w:tc>
      </w:tr>
      <w:tr w:rsidR="009F0B68" w:rsidRPr="00E914AD" w14:paraId="24C36C2E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2631820" w14:textId="77777777" w:rsidR="009F0B68" w:rsidRPr="00E914AD" w:rsidRDefault="009F0B68" w:rsidP="006A2105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PL 1</w:t>
            </w: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4EA1372D" w14:textId="77777777" w:rsidR="009F0B68" w:rsidRPr="00E914AD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Building a fit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for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purpose ITU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9CE91FE" w14:textId="77777777" w:rsidR="009F0B68" w:rsidRPr="003422B2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</w:p>
        </w:tc>
      </w:tr>
      <w:tr w:rsidR="009F0B68" w:rsidRPr="003422B2" w14:paraId="29ED49F1" w14:textId="77777777" w:rsidTr="0040172E">
        <w:trPr>
          <w:tblHeader/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819EF4F" w14:textId="77777777" w:rsidR="009F0B68" w:rsidRPr="00160C3F" w:rsidRDefault="009F0B68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15FE984C" w14:textId="77777777" w:rsidR="009F0B68" w:rsidRPr="003422B2" w:rsidRDefault="009F0B68" w:rsidP="006A2105">
            <w:pPr>
              <w:spacing w:before="60" w:after="6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 of the Union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632552FB" w14:textId="19D37AAE" w:rsidR="009F0B68" w:rsidRPr="003422B2" w:rsidRDefault="00A00883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–</w:t>
            </w:r>
          </w:p>
        </w:tc>
      </w:tr>
      <w:tr w:rsidR="009F0B68" w:rsidRPr="003422B2" w14:paraId="18B3EB82" w14:textId="77777777" w:rsidTr="0040172E">
        <w:trPr>
          <w:tblHeader/>
          <w:jc w:val="center"/>
        </w:trPr>
        <w:tc>
          <w:tcPr>
            <w:tcW w:w="1080" w:type="dxa"/>
          </w:tcPr>
          <w:p w14:paraId="0F3A6577" w14:textId="77777777" w:rsidR="009F0B68" w:rsidRPr="00160C3F" w:rsidRDefault="009F0B68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4E534193" w14:textId="58B55ADE" w:rsidR="009F0B68" w:rsidRPr="003422B2" w:rsidRDefault="009F0B68" w:rsidP="006A2105">
            <w:pPr>
              <w:spacing w:before="60" w:after="60"/>
              <w:rPr>
                <w:b/>
                <w:color w:val="FFFFFF"/>
                <w:szCs w:val="24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Annual r</w:t>
            </w:r>
            <w:r w:rsidRPr="003422B2">
              <w:rPr>
                <w:sz w:val="21"/>
                <w:szCs w:val="21"/>
                <w:lang w:val="en-US"/>
              </w:rPr>
              <w:t>eport on the implementation of the strategic plan and the activities of the Union</w:t>
            </w:r>
            <w:r>
              <w:rPr>
                <w:sz w:val="21"/>
                <w:szCs w:val="21"/>
                <w:lang w:val="en-US"/>
              </w:rPr>
              <w:t>, 2024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</w:tcPr>
          <w:p w14:paraId="6B0778D8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1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C25/35</w:t>
              </w:r>
            </w:hyperlink>
          </w:p>
        </w:tc>
      </w:tr>
      <w:tr w:rsidR="009F0B68" w:rsidRPr="003422B2" w14:paraId="29FB2B8C" w14:textId="77777777" w:rsidTr="0040172E">
        <w:trPr>
          <w:jc w:val="center"/>
        </w:trPr>
        <w:tc>
          <w:tcPr>
            <w:tcW w:w="1080" w:type="dxa"/>
          </w:tcPr>
          <w:p w14:paraId="495EA993" w14:textId="77777777" w:rsidR="009F0B68" w:rsidRPr="00160C3F" w:rsidRDefault="009F0B68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4F9C53F4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Update on ITU </w:t>
            </w:r>
            <w:r w:rsidRPr="00E338E0">
              <w:rPr>
                <w:sz w:val="21"/>
                <w:szCs w:val="21"/>
                <w:lang w:val="en-US"/>
              </w:rPr>
              <w:t>Transformation</w:t>
            </w:r>
            <w:r>
              <w:rPr>
                <w:sz w:val="21"/>
                <w:szCs w:val="21"/>
                <w:lang w:val="en-US"/>
              </w:rPr>
              <w:t xml:space="preserve"> process and r</w:t>
            </w:r>
            <w:r w:rsidRPr="00E338E0">
              <w:rPr>
                <w:sz w:val="21"/>
                <w:szCs w:val="21"/>
                <w:lang w:val="en-US"/>
              </w:rPr>
              <w:t>oadmap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3B4D9287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2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C25/55</w:t>
              </w:r>
            </w:hyperlink>
          </w:p>
        </w:tc>
      </w:tr>
      <w:tr w:rsidR="009F0B68" w:rsidRPr="003422B2" w14:paraId="11DC5849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3C25FEB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 xml:space="preserve">PL 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72E68DD7" w14:textId="77777777" w:rsidR="009F0B68" w:rsidRPr="003422B2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Delivering as one ITU (General policy, strategy</w:t>
            </w:r>
            <w:r>
              <w:rPr>
                <w:b/>
                <w:sz w:val="21"/>
                <w:szCs w:val="21"/>
                <w:lang w:val="en-US"/>
              </w:rPr>
              <w:t>,</w:t>
            </w:r>
            <w:r w:rsidRPr="003422B2">
              <w:rPr>
                <w:b/>
                <w:sz w:val="21"/>
                <w:szCs w:val="21"/>
                <w:lang w:val="en-US"/>
              </w:rPr>
              <w:t xml:space="preserve"> and activities)</w:t>
            </w:r>
          </w:p>
        </w:tc>
      </w:tr>
      <w:tr w:rsidR="009F0B68" w:rsidRPr="003422B2" w14:paraId="7DB6EC26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D33A0A4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0A68F4A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Strategy for the coordination of efforts among the three Sectors of the Union 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14:paraId="20D3F050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3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C25/27</w:t>
              </w:r>
            </w:hyperlink>
          </w:p>
        </w:tc>
      </w:tr>
      <w:tr w:rsidR="009F0B68" w:rsidRPr="003422B2" w14:paraId="0EE4D552" w14:textId="77777777" w:rsidTr="0040172E">
        <w:trPr>
          <w:jc w:val="center"/>
        </w:trPr>
        <w:tc>
          <w:tcPr>
            <w:tcW w:w="1080" w:type="dxa"/>
          </w:tcPr>
          <w:p w14:paraId="6D8E6BC2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BC8D85B" w14:textId="406BC95F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Draft four-year rolling operational plan for the Union for 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3422B2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9</w:t>
            </w:r>
            <w:r w:rsidRPr="003422B2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320DDAC" w14:textId="77777777" w:rsidR="009F0B68" w:rsidRPr="003422B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4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C25/28</w:t>
              </w:r>
            </w:hyperlink>
          </w:p>
        </w:tc>
      </w:tr>
      <w:tr w:rsidR="009F0B68" w:rsidRPr="003422B2" w14:paraId="153C50AF" w14:textId="77777777" w:rsidTr="0040172E">
        <w:trPr>
          <w:jc w:val="center"/>
        </w:trPr>
        <w:tc>
          <w:tcPr>
            <w:tcW w:w="1080" w:type="dxa"/>
          </w:tcPr>
          <w:p w14:paraId="7BD8695A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84E953C" w14:textId="77777777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Strengthening the regional presence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9BFFC3C" w14:textId="77777777" w:rsidR="009F0B68" w:rsidDel="003607CD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5" w:history="1">
              <w:r>
                <w:rPr>
                  <w:rStyle w:val="Hyperlink"/>
                  <w:sz w:val="21"/>
                  <w:szCs w:val="21"/>
                  <w:lang w:val="en-US"/>
                </w:rPr>
                <w:t>C25/25</w:t>
              </w:r>
            </w:hyperlink>
          </w:p>
        </w:tc>
      </w:tr>
      <w:tr w:rsidR="009F0B68" w14:paraId="43A3636B" w14:textId="77777777" w:rsidTr="0040172E">
        <w:trPr>
          <w:jc w:val="center"/>
        </w:trPr>
        <w:tc>
          <w:tcPr>
            <w:tcW w:w="1080" w:type="dxa"/>
          </w:tcPr>
          <w:p w14:paraId="45EFF69B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1D47885" w14:textId="79385BDB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</w:t>
            </w:r>
            <w:r w:rsidR="00DA0502">
              <w:rPr>
                <w:sz w:val="21"/>
                <w:szCs w:val="21"/>
                <w:lang w:val="en-US"/>
              </w:rPr>
              <w:t xml:space="preserve">child online protection </w:t>
            </w:r>
            <w:r>
              <w:rPr>
                <w:sz w:val="21"/>
                <w:szCs w:val="21"/>
                <w:lang w:val="en-US"/>
              </w:rPr>
              <w:t>(CWG-COP)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F20427B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6" w:history="1">
              <w:r w:rsidRPr="00AF7F84">
                <w:rPr>
                  <w:rStyle w:val="Hyperlink"/>
                  <w:sz w:val="21"/>
                  <w:szCs w:val="21"/>
                  <w:lang w:val="en-US"/>
                </w:rPr>
                <w:t>C25/15</w:t>
              </w:r>
            </w:hyperlink>
          </w:p>
        </w:tc>
      </w:tr>
      <w:tr w:rsidR="009F0B68" w14:paraId="10913B3C" w14:textId="77777777" w:rsidTr="0040172E">
        <w:trPr>
          <w:jc w:val="center"/>
        </w:trPr>
        <w:tc>
          <w:tcPr>
            <w:tcW w:w="1080" w:type="dxa"/>
          </w:tcPr>
          <w:p w14:paraId="6E29C7BA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3E00BD4" w14:textId="7AE87ECA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</w:t>
            </w:r>
            <w:r w:rsidR="00DA0502">
              <w:rPr>
                <w:sz w:val="21"/>
                <w:szCs w:val="21"/>
                <w:lang w:val="en-US"/>
              </w:rPr>
              <w:t xml:space="preserve">languages </w:t>
            </w:r>
            <w:r>
              <w:rPr>
                <w:sz w:val="21"/>
                <w:szCs w:val="21"/>
                <w:lang w:val="en-US"/>
              </w:rPr>
              <w:t>(CWG-Lang)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5329529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7" w:history="1">
              <w:r>
                <w:rPr>
                  <w:rStyle w:val="Hyperlink"/>
                  <w:sz w:val="21"/>
                  <w:szCs w:val="21"/>
                  <w:lang w:val="en-US"/>
                </w:rPr>
                <w:t>C25/12</w:t>
              </w:r>
            </w:hyperlink>
          </w:p>
        </w:tc>
      </w:tr>
      <w:tr w:rsidR="009F0B68" w14:paraId="00A89BAF" w14:textId="77777777" w:rsidTr="0040172E">
        <w:trPr>
          <w:jc w:val="center"/>
        </w:trPr>
        <w:tc>
          <w:tcPr>
            <w:tcW w:w="1080" w:type="dxa"/>
          </w:tcPr>
          <w:p w14:paraId="2E9A3182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C6A115B" w14:textId="1172E5A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Chair of the Council Working Group on </w:t>
            </w:r>
            <w:r w:rsidR="00DA0502">
              <w:rPr>
                <w:sz w:val="21"/>
                <w:szCs w:val="21"/>
                <w:lang w:val="en-US"/>
              </w:rPr>
              <w:t xml:space="preserve">international </w:t>
            </w:r>
            <w:r>
              <w:rPr>
                <w:sz w:val="21"/>
                <w:szCs w:val="21"/>
                <w:lang w:val="en-US"/>
              </w:rPr>
              <w:t xml:space="preserve">Internet-related </w:t>
            </w:r>
            <w:r w:rsidR="00DA0502">
              <w:rPr>
                <w:sz w:val="21"/>
                <w:szCs w:val="21"/>
                <w:lang w:val="en-US"/>
              </w:rPr>
              <w:t xml:space="preserve">public policy issues </w:t>
            </w:r>
            <w:r>
              <w:rPr>
                <w:sz w:val="21"/>
                <w:szCs w:val="21"/>
                <w:lang w:val="en-US"/>
              </w:rPr>
              <w:t>(CWG-Internet)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C28B4B0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8" w:history="1">
              <w:r>
                <w:rPr>
                  <w:rStyle w:val="Hyperlink"/>
                  <w:sz w:val="21"/>
                  <w:szCs w:val="21"/>
                  <w:lang w:val="en-US"/>
                </w:rPr>
                <w:t>C25/51</w:t>
              </w:r>
            </w:hyperlink>
          </w:p>
        </w:tc>
      </w:tr>
      <w:tr w:rsidR="009F0B68" w14:paraId="0DF86D0C" w14:textId="77777777" w:rsidTr="0040172E">
        <w:trPr>
          <w:jc w:val="center"/>
        </w:trPr>
        <w:tc>
          <w:tcPr>
            <w:tcW w:w="1080" w:type="dxa"/>
          </w:tcPr>
          <w:p w14:paraId="5F693096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179C42E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 xml:space="preserve">the Expert Group on </w:t>
            </w:r>
            <w:proofErr w:type="gramStart"/>
            <w:r>
              <w:rPr>
                <w:sz w:val="21"/>
                <w:szCs w:val="21"/>
                <w:lang w:val="en-US"/>
              </w:rPr>
              <w:t>the International</w:t>
            </w:r>
            <w:proofErr w:type="gramEnd"/>
            <w:r>
              <w:rPr>
                <w:sz w:val="21"/>
                <w:szCs w:val="21"/>
                <w:lang w:val="en-US"/>
              </w:rPr>
              <w:t xml:space="preserve"> Telecommunications Regulations (</w:t>
            </w:r>
            <w:r w:rsidRPr="003F710A">
              <w:rPr>
                <w:sz w:val="21"/>
                <w:szCs w:val="21"/>
                <w:lang w:val="en-US"/>
              </w:rPr>
              <w:t>EG-ITRs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7680E47" w14:textId="77777777" w:rsidR="009F0B68" w:rsidRPr="003F710A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19" w:history="1">
              <w:r>
                <w:rPr>
                  <w:rStyle w:val="Hyperlink"/>
                  <w:sz w:val="21"/>
                  <w:szCs w:val="21"/>
                  <w:lang w:val="en-US"/>
                </w:rPr>
                <w:t>C25/26</w:t>
              </w:r>
            </w:hyperlink>
          </w:p>
        </w:tc>
      </w:tr>
      <w:tr w:rsidR="009F0B68" w14:paraId="6260036C" w14:textId="77777777" w:rsidTr="0040172E">
        <w:trPr>
          <w:jc w:val="center"/>
        </w:trPr>
        <w:tc>
          <w:tcPr>
            <w:tcW w:w="1080" w:type="dxa"/>
          </w:tcPr>
          <w:p w14:paraId="2D4B012A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1788386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by the Chair of the Council Working Group for the strategic and financial plans 2028-2031 (CWG-SFP)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75A684B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0" w:history="1">
              <w:r>
                <w:rPr>
                  <w:rStyle w:val="Hyperlink"/>
                  <w:sz w:val="21"/>
                  <w:szCs w:val="21"/>
                  <w:lang w:val="en-US"/>
                </w:rPr>
                <w:t>C25/31</w:t>
              </w:r>
            </w:hyperlink>
          </w:p>
        </w:tc>
      </w:tr>
      <w:tr w:rsidR="009F0B68" w:rsidRPr="003F710A" w14:paraId="0FD34FA0" w14:textId="77777777" w:rsidTr="0040172E">
        <w:trPr>
          <w:jc w:val="center"/>
        </w:trPr>
        <w:tc>
          <w:tcPr>
            <w:tcW w:w="1080" w:type="dxa"/>
          </w:tcPr>
          <w:p w14:paraId="187041F2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59E901F" w14:textId="77777777" w:rsidR="009F0B68" w:rsidRPr="003F710A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 xml:space="preserve">the </w:t>
            </w:r>
            <w:r w:rsidRPr="003F710A">
              <w:rPr>
                <w:sz w:val="21"/>
                <w:szCs w:val="21"/>
                <w:lang w:val="en-US"/>
              </w:rPr>
              <w:t>C</w:t>
            </w:r>
            <w:r>
              <w:rPr>
                <w:sz w:val="21"/>
                <w:szCs w:val="21"/>
                <w:lang w:val="en-US"/>
              </w:rPr>
              <w:t xml:space="preserve">ouncil </w:t>
            </w:r>
            <w:r w:rsidRPr="003F710A">
              <w:rPr>
                <w:sz w:val="21"/>
                <w:szCs w:val="21"/>
                <w:lang w:val="en-US"/>
              </w:rPr>
              <w:t>W</w:t>
            </w:r>
            <w:r>
              <w:rPr>
                <w:sz w:val="21"/>
                <w:szCs w:val="21"/>
                <w:lang w:val="en-US"/>
              </w:rPr>
              <w:t xml:space="preserve">orking </w:t>
            </w:r>
            <w:r w:rsidRPr="003F710A"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  <w:lang w:val="en-US"/>
              </w:rPr>
              <w:t xml:space="preserve">roup on </w:t>
            </w:r>
            <w:r w:rsidRPr="003F710A">
              <w:rPr>
                <w:sz w:val="21"/>
                <w:szCs w:val="21"/>
                <w:lang w:val="en-US"/>
              </w:rPr>
              <w:t>WSIS</w:t>
            </w:r>
            <w:r>
              <w:rPr>
                <w:sz w:val="21"/>
                <w:szCs w:val="21"/>
                <w:lang w:val="en-US"/>
              </w:rPr>
              <w:t xml:space="preserve"> and the </w:t>
            </w:r>
            <w:r w:rsidRPr="003F710A">
              <w:rPr>
                <w:sz w:val="21"/>
                <w:szCs w:val="21"/>
                <w:lang w:val="en-US"/>
              </w:rPr>
              <w:t>SDGs</w:t>
            </w:r>
            <w:r>
              <w:rPr>
                <w:sz w:val="21"/>
                <w:szCs w:val="21"/>
                <w:lang w:val="en-US"/>
              </w:rPr>
              <w:t xml:space="preserve"> (CWG-WSIS&amp;SDGs)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F0BB95F" w14:textId="77777777" w:rsidR="009F0B68" w:rsidRPr="003F710A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1" w:history="1">
              <w:r>
                <w:rPr>
                  <w:rStyle w:val="Hyperlink"/>
                  <w:sz w:val="21"/>
                  <w:szCs w:val="21"/>
                  <w:lang w:val="en-US"/>
                </w:rPr>
                <w:t>C25/8</w:t>
              </w:r>
            </w:hyperlink>
          </w:p>
        </w:tc>
      </w:tr>
      <w:tr w:rsidR="009F0B68" w:rsidRPr="003F710A" w14:paraId="1135FD36" w14:textId="77777777" w:rsidTr="0040172E">
        <w:trPr>
          <w:jc w:val="center"/>
        </w:trPr>
        <w:tc>
          <w:tcPr>
            <w:tcW w:w="1080" w:type="dxa"/>
          </w:tcPr>
          <w:p w14:paraId="38A265FF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92FBC4E" w14:textId="15893C69" w:rsidR="009F0B68" w:rsidRPr="003F710A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C13D86">
              <w:rPr>
                <w:sz w:val="21"/>
                <w:szCs w:val="21"/>
                <w:lang w:val="en-US"/>
              </w:rPr>
              <w:t>WSIS+20 Report</w:t>
            </w:r>
            <w:r>
              <w:rPr>
                <w:sz w:val="21"/>
                <w:szCs w:val="21"/>
                <w:lang w:val="en-US"/>
              </w:rPr>
              <w:t xml:space="preserve"> on</w:t>
            </w:r>
            <w:r w:rsidRPr="00C13D86">
              <w:rPr>
                <w:sz w:val="21"/>
                <w:szCs w:val="21"/>
                <w:lang w:val="en-US"/>
              </w:rPr>
              <w:t xml:space="preserve"> 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C13D86">
              <w:rPr>
                <w:sz w:val="21"/>
                <w:szCs w:val="21"/>
                <w:lang w:val="en-US"/>
              </w:rPr>
              <w:t>s contribution to the implementation of and follow-up to the WSIS outcomes</w:t>
            </w:r>
            <w:r>
              <w:rPr>
                <w:sz w:val="21"/>
                <w:szCs w:val="21"/>
                <w:lang w:val="en-US"/>
              </w:rPr>
              <w:t xml:space="preserve"> and its role in achieving the SDGs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757DFEA" w14:textId="77777777" w:rsidR="009F0B68" w:rsidRPr="00C13D86" w:rsidDel="003607CD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2" w:history="1">
              <w:r>
                <w:rPr>
                  <w:rStyle w:val="Hyperlink"/>
                  <w:sz w:val="21"/>
                  <w:szCs w:val="21"/>
                  <w:lang w:val="en-US"/>
                </w:rPr>
                <w:t>C25/61</w:t>
              </w:r>
            </w:hyperlink>
          </w:p>
        </w:tc>
      </w:tr>
      <w:tr w:rsidR="009F0B68" w:rsidRPr="00C13D86" w14:paraId="2E7A4281" w14:textId="77777777" w:rsidTr="0040172E">
        <w:trPr>
          <w:jc w:val="center"/>
        </w:trPr>
        <w:tc>
          <w:tcPr>
            <w:tcW w:w="1080" w:type="dxa"/>
          </w:tcPr>
          <w:p w14:paraId="5F3FB4FE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A0F4CD7" w14:textId="29ABFAB3" w:rsidR="009F0B68" w:rsidRPr="00C13D86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WSIS+20 Review – ITU's call for inputs: Summary of submissions received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803A268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3" w:history="1">
              <w:r>
                <w:rPr>
                  <w:rStyle w:val="Hyperlink"/>
                  <w:sz w:val="21"/>
                  <w:szCs w:val="21"/>
                  <w:lang w:val="en-US"/>
                </w:rPr>
                <w:t>C25/53</w:t>
              </w:r>
            </w:hyperlink>
          </w:p>
        </w:tc>
      </w:tr>
      <w:tr w:rsidR="009F0B68" w:rsidRPr="0062085A" w14:paraId="3B797674" w14:textId="77777777" w:rsidTr="0040172E">
        <w:trPr>
          <w:jc w:val="center"/>
        </w:trPr>
        <w:tc>
          <w:tcPr>
            <w:tcW w:w="1080" w:type="dxa"/>
          </w:tcPr>
          <w:p w14:paraId="235616B9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8B2721A" w14:textId="0E6EA237" w:rsidR="009F0B68" w:rsidRPr="0062085A" w:rsidRDefault="009F0B68" w:rsidP="006A2105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Updates on the ITU a</w:t>
            </w:r>
            <w:r w:rsidRPr="003948EC">
              <w:rPr>
                <w:sz w:val="21"/>
                <w:szCs w:val="21"/>
                <w:lang w:val="en-US"/>
              </w:rPr>
              <w:t>ction plan for implementing the Global Digital Compact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0D02072" w14:textId="77777777" w:rsidR="009F0B68" w:rsidRPr="003948E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4" w:history="1">
              <w:r>
                <w:rPr>
                  <w:rStyle w:val="Hyperlink"/>
                  <w:sz w:val="21"/>
                  <w:szCs w:val="21"/>
                  <w:lang w:val="en-US"/>
                </w:rPr>
                <w:t>C25/52</w:t>
              </w:r>
            </w:hyperlink>
          </w:p>
        </w:tc>
      </w:tr>
      <w:tr w:rsidR="009F0B68" w:rsidRPr="003F710A" w14:paraId="25DEF2A1" w14:textId="77777777" w:rsidTr="0040172E">
        <w:trPr>
          <w:jc w:val="center"/>
        </w:trPr>
        <w:tc>
          <w:tcPr>
            <w:tcW w:w="1080" w:type="dxa"/>
          </w:tcPr>
          <w:p w14:paraId="3DC20D18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87D1A19" w14:textId="77777777" w:rsidR="009F0B68" w:rsidRPr="003F710A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ITU Internet activities: Resolutions 101, 102, 133, 180 and 206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25F1CC1" w14:textId="77777777" w:rsidR="009F0B68" w:rsidRPr="00EA475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5" w:history="1">
              <w:r>
                <w:rPr>
                  <w:rStyle w:val="Hyperlink"/>
                  <w:sz w:val="21"/>
                  <w:szCs w:val="21"/>
                  <w:lang w:val="en-US"/>
                </w:rPr>
                <w:t>C25/33</w:t>
              </w:r>
            </w:hyperlink>
          </w:p>
        </w:tc>
      </w:tr>
      <w:tr w:rsidR="009F0B68" w:rsidRPr="00EA4757" w14:paraId="12DE54F7" w14:textId="77777777" w:rsidTr="0040172E">
        <w:trPr>
          <w:jc w:val="center"/>
        </w:trPr>
        <w:tc>
          <w:tcPr>
            <w:tcW w:w="1080" w:type="dxa"/>
          </w:tcPr>
          <w:p w14:paraId="750ECE25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4076278" w14:textId="77777777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ITU activities on strengthening the role of ITU in building confidence and security in the use of ICTs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A596757" w14:textId="77777777" w:rsidR="009F0B68" w:rsidRPr="00EA475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6" w:history="1">
              <w:r>
                <w:rPr>
                  <w:rStyle w:val="Hyperlink"/>
                  <w:sz w:val="21"/>
                  <w:szCs w:val="21"/>
                  <w:lang w:val="en-US"/>
                </w:rPr>
                <w:t>C25/18</w:t>
              </w:r>
            </w:hyperlink>
          </w:p>
        </w:tc>
      </w:tr>
      <w:tr w:rsidR="009F0B68" w:rsidRPr="00EA4757" w14:paraId="714B68DF" w14:textId="77777777" w:rsidTr="0040172E">
        <w:trPr>
          <w:jc w:val="center"/>
        </w:trPr>
        <w:tc>
          <w:tcPr>
            <w:tcW w:w="1080" w:type="dxa"/>
          </w:tcPr>
          <w:p w14:paraId="766E51D5" w14:textId="77777777" w:rsidR="009F0B68" w:rsidRPr="00DF138D" w:rsidRDefault="009F0B68" w:rsidP="006A2105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1464AE0" w14:textId="77777777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A4757">
              <w:rPr>
                <w:sz w:val="21"/>
                <w:szCs w:val="21"/>
                <w:lang w:val="en-US"/>
              </w:rPr>
              <w:t>Report on</w:t>
            </w:r>
            <w:r>
              <w:rPr>
                <w:sz w:val="21"/>
                <w:szCs w:val="21"/>
                <w:lang w:val="en-US"/>
              </w:rPr>
              <w:t xml:space="preserve"> Resolution 70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0B31579" w14:textId="77777777" w:rsidR="009F0B68" w:rsidRPr="00EA475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7" w:history="1">
              <w:r>
                <w:rPr>
                  <w:rStyle w:val="Hyperlink"/>
                  <w:sz w:val="21"/>
                  <w:szCs w:val="21"/>
                  <w:lang w:val="en-US"/>
                </w:rPr>
                <w:t>C25/6</w:t>
              </w:r>
            </w:hyperlink>
          </w:p>
        </w:tc>
      </w:tr>
      <w:tr w:rsidR="009F0B68" w:rsidRPr="00EA4757" w14:paraId="6C359209" w14:textId="77777777" w:rsidTr="0040172E">
        <w:trPr>
          <w:jc w:val="center"/>
        </w:trPr>
        <w:tc>
          <w:tcPr>
            <w:tcW w:w="1080" w:type="dxa"/>
          </w:tcPr>
          <w:p w14:paraId="750314E6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245C401" w14:textId="4551DD37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Meaningful y</w:t>
            </w:r>
            <w:r w:rsidRPr="00EF205C">
              <w:rPr>
                <w:sz w:val="21"/>
                <w:szCs w:val="21"/>
                <w:lang w:val="en-US"/>
              </w:rPr>
              <w:t>outh engagement and initiatives at ITU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97D0500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8" w:history="1">
              <w:r>
                <w:rPr>
                  <w:rStyle w:val="Hyperlink"/>
                  <w:sz w:val="21"/>
                  <w:szCs w:val="21"/>
                  <w:lang w:val="en-US"/>
                </w:rPr>
                <w:t>C25/32</w:t>
              </w:r>
            </w:hyperlink>
          </w:p>
        </w:tc>
      </w:tr>
      <w:tr w:rsidR="009F0B68" w:rsidRPr="00EA4757" w14:paraId="5A913C20" w14:textId="77777777" w:rsidTr="0040172E">
        <w:trPr>
          <w:jc w:val="center"/>
        </w:trPr>
        <w:tc>
          <w:tcPr>
            <w:tcW w:w="1080" w:type="dxa"/>
          </w:tcPr>
          <w:p w14:paraId="5E305695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F7680F2" w14:textId="70A05A86" w:rsidR="009F0B68" w:rsidRPr="00EA475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Collaboration with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EF205C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EF205C">
              <w:rPr>
                <w:sz w:val="21"/>
                <w:szCs w:val="21"/>
                <w:lang w:val="en-US"/>
              </w:rPr>
              <w:t xml:space="preserve"> system </w:t>
            </w:r>
            <w:r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other international intergovernmental processes</w:t>
            </w:r>
            <w:r>
              <w:rPr>
                <w:sz w:val="21"/>
                <w:szCs w:val="21"/>
                <w:lang w:val="en-US"/>
              </w:rPr>
              <w:t>,</w:t>
            </w:r>
            <w:r w:rsidRPr="00EF205C">
              <w:rPr>
                <w:sz w:val="21"/>
                <w:szCs w:val="21"/>
                <w:lang w:val="en-US"/>
              </w:rPr>
              <w:t xml:space="preserve"> including on standard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EF205C">
              <w:rPr>
                <w:sz w:val="21"/>
                <w:szCs w:val="21"/>
                <w:lang w:val="en-US"/>
              </w:rPr>
              <w:t>development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03DB68F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29" w:history="1">
              <w:r>
                <w:rPr>
                  <w:rStyle w:val="Hyperlink"/>
                  <w:sz w:val="21"/>
                  <w:szCs w:val="21"/>
                  <w:lang w:val="en-US"/>
                </w:rPr>
                <w:t>C25/70</w:t>
              </w:r>
            </w:hyperlink>
          </w:p>
        </w:tc>
      </w:tr>
      <w:tr w:rsidR="009F0B68" w:rsidRPr="00EF205C" w14:paraId="6EB85875" w14:textId="77777777" w:rsidTr="0040172E">
        <w:trPr>
          <w:jc w:val="center"/>
        </w:trPr>
        <w:tc>
          <w:tcPr>
            <w:tcW w:w="1080" w:type="dxa"/>
          </w:tcPr>
          <w:p w14:paraId="10BC8FF7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CEBADA8" w14:textId="52CEDD17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EF205C">
              <w:rPr>
                <w:sz w:val="21"/>
                <w:szCs w:val="21"/>
                <w:lang w:val="en-US"/>
              </w:rPr>
              <w:t xml:space="preserve">s role in the implementation of the </w:t>
            </w:r>
            <w:r>
              <w:rPr>
                <w:sz w:val="21"/>
                <w:szCs w:val="21"/>
                <w:lang w:val="en-US"/>
              </w:rPr>
              <w:t>“S</w:t>
            </w:r>
            <w:r w:rsidRPr="00EF205C">
              <w:rPr>
                <w:sz w:val="21"/>
                <w:szCs w:val="21"/>
                <w:lang w:val="en-US"/>
              </w:rPr>
              <w:t>pace2030</w:t>
            </w:r>
            <w:r>
              <w:rPr>
                <w:sz w:val="21"/>
                <w:szCs w:val="21"/>
                <w:lang w:val="en-US"/>
              </w:rPr>
              <w:t>”</w:t>
            </w:r>
            <w:r w:rsidRPr="00EF205C">
              <w:rPr>
                <w:sz w:val="21"/>
                <w:szCs w:val="21"/>
                <w:lang w:val="en-US"/>
              </w:rPr>
              <w:t xml:space="preserve"> agend</w:t>
            </w:r>
            <w:r>
              <w:rPr>
                <w:sz w:val="21"/>
                <w:szCs w:val="21"/>
                <w:lang w:val="en-US"/>
              </w:rPr>
              <w:t>a: space as a driver of sustainable development, and its follow-up and review process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871BEFA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0" w:history="1">
              <w:r>
                <w:rPr>
                  <w:rStyle w:val="Hyperlink"/>
                  <w:sz w:val="21"/>
                  <w:szCs w:val="21"/>
                  <w:lang w:val="en-US"/>
                </w:rPr>
                <w:t>C25/36</w:t>
              </w:r>
            </w:hyperlink>
          </w:p>
        </w:tc>
      </w:tr>
      <w:tr w:rsidR="009F0B68" w:rsidRPr="00EF205C" w14:paraId="2CF2124F" w14:textId="77777777" w:rsidTr="0040172E">
        <w:trPr>
          <w:jc w:val="center"/>
        </w:trPr>
        <w:tc>
          <w:tcPr>
            <w:tcW w:w="1080" w:type="dxa"/>
          </w:tcPr>
          <w:p w14:paraId="31265FF7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3C4A18" w14:textId="77777777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PP Resolution 214 (Bucharest, 2022) – </w:t>
            </w:r>
            <w:r w:rsidRPr="00712592">
              <w:rPr>
                <w:sz w:val="21"/>
                <w:szCs w:val="21"/>
                <w:lang w:val="en-US"/>
              </w:rPr>
              <w:t>Artificial intelligence technologies and telecommunications/information and communication technologies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BF33983" w14:textId="77777777" w:rsidR="009F0B68" w:rsidRPr="0071259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1" w:history="1">
              <w:r>
                <w:rPr>
                  <w:rStyle w:val="Hyperlink"/>
                  <w:sz w:val="21"/>
                  <w:szCs w:val="21"/>
                  <w:lang w:val="en-US"/>
                </w:rPr>
                <w:t>C25/56</w:t>
              </w:r>
            </w:hyperlink>
          </w:p>
        </w:tc>
      </w:tr>
      <w:tr w:rsidR="009F0B68" w:rsidRPr="00712592" w14:paraId="6FB7E82A" w14:textId="77777777" w:rsidTr="0040172E">
        <w:trPr>
          <w:jc w:val="center"/>
        </w:trPr>
        <w:tc>
          <w:tcPr>
            <w:tcW w:w="1080" w:type="dxa"/>
          </w:tcPr>
          <w:p w14:paraId="5DB5319F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B3D8133" w14:textId="77777777" w:rsidR="009F0B68" w:rsidRPr="0071259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948EC">
              <w:rPr>
                <w:sz w:val="21"/>
                <w:szCs w:val="21"/>
                <w:lang w:val="en-US"/>
              </w:rPr>
              <w:t>World Telecommunication and Information Society Day (WTISD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1922C3C" w14:textId="77777777" w:rsidR="009F0B68" w:rsidRPr="003948E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2" w:history="1">
              <w:r>
                <w:rPr>
                  <w:rStyle w:val="Hyperlink"/>
                  <w:sz w:val="21"/>
                  <w:szCs w:val="21"/>
                  <w:lang w:val="en-US"/>
                </w:rPr>
                <w:t>C25/17</w:t>
              </w:r>
            </w:hyperlink>
          </w:p>
        </w:tc>
      </w:tr>
      <w:tr w:rsidR="009F0B68" w:rsidRPr="00EF205C" w14:paraId="71980EBF" w14:textId="77777777" w:rsidTr="0040172E">
        <w:trPr>
          <w:jc w:val="center"/>
        </w:trPr>
        <w:tc>
          <w:tcPr>
            <w:tcW w:w="1080" w:type="dxa"/>
          </w:tcPr>
          <w:p w14:paraId="7D528273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16364E5" w14:textId="65049E69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Update on the implementation of ITU Council Resolution 1408 on assistance and support to Ukraine for rebuilding their telecommunication sector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D228D6B" w14:textId="77777777" w:rsidR="009F0B68" w:rsidRPr="00EF205C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3" w:history="1">
              <w:r>
                <w:rPr>
                  <w:rStyle w:val="Hyperlink"/>
                  <w:sz w:val="21"/>
                  <w:szCs w:val="21"/>
                  <w:lang w:val="en-US"/>
                </w:rPr>
                <w:t>C25/68</w:t>
              </w:r>
            </w:hyperlink>
          </w:p>
        </w:tc>
      </w:tr>
      <w:tr w:rsidR="009F0B68" w:rsidRPr="00EF205C" w14:paraId="6600E735" w14:textId="77777777" w:rsidTr="0040172E">
        <w:trPr>
          <w:jc w:val="center"/>
        </w:trPr>
        <w:tc>
          <w:tcPr>
            <w:tcW w:w="1080" w:type="dxa"/>
          </w:tcPr>
          <w:p w14:paraId="717A9D29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7EC1DC4" w14:textId="4EB67BAF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Status r</w:t>
            </w:r>
            <w:r w:rsidRPr="007F6584">
              <w:rPr>
                <w:sz w:val="21"/>
                <w:szCs w:val="21"/>
                <w:lang w:val="en-US"/>
              </w:rPr>
              <w:t xml:space="preserve">eport on </w:t>
            </w:r>
            <w:r>
              <w:rPr>
                <w:sz w:val="21"/>
                <w:szCs w:val="21"/>
                <w:lang w:val="en-US"/>
              </w:rPr>
              <w:t>a</w:t>
            </w:r>
            <w:r w:rsidRPr="007F6584">
              <w:rPr>
                <w:sz w:val="21"/>
                <w:szCs w:val="21"/>
                <w:lang w:val="en-US"/>
              </w:rPr>
              <w:t>ssistance and support to Palestine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83EA307" w14:textId="77777777" w:rsidR="009F0B68" w:rsidRPr="007F6584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4" w:history="1">
              <w:r>
                <w:rPr>
                  <w:rStyle w:val="Hyperlink"/>
                  <w:sz w:val="21"/>
                  <w:szCs w:val="21"/>
                  <w:lang w:val="en-US"/>
                </w:rPr>
                <w:t>C25/71</w:t>
              </w:r>
            </w:hyperlink>
          </w:p>
        </w:tc>
      </w:tr>
      <w:tr w:rsidR="009F0B68" w:rsidRPr="007F6584" w14:paraId="2F0F79EC" w14:textId="77777777" w:rsidTr="0040172E">
        <w:trPr>
          <w:jc w:val="center"/>
        </w:trPr>
        <w:tc>
          <w:tcPr>
            <w:tcW w:w="1080" w:type="dxa"/>
          </w:tcPr>
          <w:p w14:paraId="4BB2C7C7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4A6E9DF" w14:textId="74D33200" w:rsidR="009F0B68" w:rsidRPr="007F6584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</w:t>
            </w:r>
            <w:r w:rsidRPr="00D704CA">
              <w:rPr>
                <w:sz w:val="21"/>
                <w:szCs w:val="21"/>
                <w:lang w:val="en-US"/>
              </w:rPr>
              <w:t>ctivities supporting reconstruction of infrastructure in concerned</w:t>
            </w:r>
            <w:r>
              <w:rPr>
                <w:sz w:val="21"/>
                <w:szCs w:val="21"/>
                <w:lang w:val="en-US"/>
              </w:rPr>
              <w:t xml:space="preserve"> countries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266DBEA" w14:textId="77777777" w:rsidR="009F0B68" w:rsidRPr="00D704CA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5" w:history="1">
              <w:r>
                <w:rPr>
                  <w:rStyle w:val="Hyperlink"/>
                  <w:sz w:val="21"/>
                  <w:szCs w:val="21"/>
                  <w:lang w:val="en-US"/>
                </w:rPr>
                <w:t>C25/72</w:t>
              </w:r>
            </w:hyperlink>
          </w:p>
        </w:tc>
      </w:tr>
      <w:tr w:rsidR="009F0B68" w:rsidRPr="00B76407" w14:paraId="68C889E9" w14:textId="77777777" w:rsidTr="0040172E">
        <w:trPr>
          <w:jc w:val="center"/>
        </w:trPr>
        <w:tc>
          <w:tcPr>
            <w:tcW w:w="1080" w:type="dxa"/>
          </w:tcPr>
          <w:p w14:paraId="5B9C35BC" w14:textId="77777777" w:rsidR="009F0B68" w:rsidRPr="003948EC" w:rsidRDefault="009F0B68" w:rsidP="006A210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12C65EBE" w14:textId="5002139A" w:rsidR="009F0B68" w:rsidRPr="00B76407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ITU’s activities on the implementation of Resolution 1429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5F2D52A6" w14:textId="77777777" w:rsidR="009F0B68" w:rsidRPr="00B76407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6" w:history="1">
              <w:r>
                <w:rPr>
                  <w:rStyle w:val="Hyperlink"/>
                  <w:sz w:val="21"/>
                  <w:szCs w:val="21"/>
                  <w:lang w:val="en-US"/>
                </w:rPr>
                <w:t>C25/45</w:t>
              </w:r>
            </w:hyperlink>
          </w:p>
        </w:tc>
      </w:tr>
      <w:tr w:rsidR="009F0B68" w:rsidRPr="00B76407" w14:paraId="66B99B0F" w14:textId="77777777" w:rsidTr="0040172E">
        <w:trPr>
          <w:jc w:val="center"/>
        </w:trPr>
        <w:tc>
          <w:tcPr>
            <w:tcW w:w="1080" w:type="dxa"/>
          </w:tcPr>
          <w:p w14:paraId="705FA727" w14:textId="77777777" w:rsidR="009F0B68" w:rsidRPr="003948EC" w:rsidRDefault="009F0B68" w:rsidP="006A2105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209C7882" w14:textId="77777777" w:rsidR="009F0B68" w:rsidRPr="00B76407" w:rsidDel="007B12EF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on the Standing Committee on Administration and Management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2DC7D816" w14:textId="4B403130" w:rsidR="009F0B68" w:rsidRDefault="00A00883" w:rsidP="006A2105">
            <w:pPr>
              <w:spacing w:before="60" w:after="60"/>
              <w:jc w:val="center"/>
            </w:pPr>
            <w:r>
              <w:rPr>
                <w:sz w:val="21"/>
                <w:szCs w:val="21"/>
                <w:lang w:val="en-US"/>
              </w:rPr>
              <w:t>–</w:t>
            </w:r>
          </w:p>
        </w:tc>
      </w:tr>
      <w:tr w:rsidR="009F0B68" w:rsidRPr="003422B2" w14:paraId="73A32141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797E6AD5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PL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01D56C29" w14:textId="77777777" w:rsidR="009F0B68" w:rsidRPr="003422B2" w:rsidRDefault="009F0B68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Improving governance (ITU statutory conferences, assemblies, Council and CWG matters, RRB)</w:t>
            </w:r>
          </w:p>
        </w:tc>
      </w:tr>
      <w:tr w:rsidR="009F0B68" w:rsidRPr="00EF205C" w14:paraId="69D2430C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43FBBF1" w14:textId="77777777" w:rsidR="009F0B68" w:rsidDel="0071259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C19EABD" w14:textId="7AB6E245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</w:t>
            </w:r>
            <w:r w:rsidRPr="00EF205C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 Global Standards Symposium (GSS-24) and the World Telecommunication Standardization Assembly (</w:t>
            </w:r>
            <w:r w:rsidRPr="00EF205C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94F147F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7" w:history="1">
              <w:r>
                <w:rPr>
                  <w:rStyle w:val="Hyperlink"/>
                  <w:sz w:val="21"/>
                  <w:szCs w:val="21"/>
                  <w:lang w:val="en-US"/>
                </w:rPr>
                <w:t>C25/24</w:t>
              </w:r>
            </w:hyperlink>
          </w:p>
        </w:tc>
      </w:tr>
      <w:tr w:rsidR="009F0B68" w:rsidRPr="00EF205C" w14:paraId="4D7FA13F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2630764" w14:textId="77777777" w:rsidR="009F0B68" w:rsidDel="0071259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C1F4D9C" w14:textId="3A7927FF" w:rsidR="009F0B68" w:rsidRPr="00EF205C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 the preparations for the World Telecommunication Development Conference 2025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7F1420D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8" w:history="1">
              <w:r>
                <w:rPr>
                  <w:rStyle w:val="Hyperlink"/>
                  <w:sz w:val="21"/>
                  <w:szCs w:val="21"/>
                  <w:lang w:val="en-US"/>
                </w:rPr>
                <w:t>C25/30</w:t>
              </w:r>
            </w:hyperlink>
          </w:p>
        </w:tc>
      </w:tr>
      <w:tr w:rsidR="009F0B68" w14:paraId="03A664A8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459D464" w14:textId="77777777" w:rsidR="009F0B68" w:rsidDel="00712592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535C662" w14:textId="55003AA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Preparation for the 2026 World Telecommunication/ICT Policy Forum (WTPF-26)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B089770" w14:textId="77777777" w:rsidR="009F0B68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39" w:history="1">
              <w:r>
                <w:rPr>
                  <w:rStyle w:val="Hyperlink"/>
                  <w:sz w:val="21"/>
                  <w:szCs w:val="21"/>
                  <w:lang w:val="en-US"/>
                </w:rPr>
                <w:t>C25/5</w:t>
              </w:r>
            </w:hyperlink>
          </w:p>
        </w:tc>
      </w:tr>
      <w:tr w:rsidR="009F0B68" w:rsidRPr="003422B2" w14:paraId="1B8ACC69" w14:textId="77777777" w:rsidTr="0040172E">
        <w:trPr>
          <w:jc w:val="center"/>
        </w:trPr>
        <w:tc>
          <w:tcPr>
            <w:tcW w:w="1080" w:type="dxa"/>
          </w:tcPr>
          <w:p w14:paraId="217020A7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65A1732B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Preparations for the 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202</w:t>
            </w:r>
            <w:r>
              <w:rPr>
                <w:spacing w:val="-2"/>
                <w:sz w:val="21"/>
                <w:szCs w:val="21"/>
                <w:lang w:val="en-US"/>
              </w:rPr>
              <w:t>6 Plenipotentiary Conference (PP-26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</w:tcPr>
          <w:p w14:paraId="7DCC23EA" w14:textId="77777777" w:rsidR="009F0B68" w:rsidRDefault="009F0B68" w:rsidP="006A2105">
            <w:pPr>
              <w:spacing w:before="60" w:after="60"/>
              <w:jc w:val="center"/>
            </w:pPr>
            <w:hyperlink r:id="rId40" w:history="1">
              <w:r>
                <w:rPr>
                  <w:rStyle w:val="Hyperlink"/>
                  <w:sz w:val="21"/>
                  <w:szCs w:val="21"/>
                  <w:lang w:val="en-US"/>
                </w:rPr>
                <w:t>C25/4</w:t>
              </w:r>
            </w:hyperlink>
          </w:p>
        </w:tc>
      </w:tr>
      <w:tr w:rsidR="009F0B68" w:rsidRPr="003422B2" w14:paraId="1B6AE9BA" w14:textId="77777777" w:rsidTr="0040172E">
        <w:trPr>
          <w:jc w:val="center"/>
        </w:trPr>
        <w:tc>
          <w:tcPr>
            <w:tcW w:w="1080" w:type="dxa"/>
          </w:tcPr>
          <w:p w14:paraId="36D08A1F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794FA704" w14:textId="77777777" w:rsidR="009F0B68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948EC">
              <w:rPr>
                <w:sz w:val="21"/>
                <w:szCs w:val="21"/>
                <w:lang w:val="en-US"/>
              </w:rPr>
              <w:t>Guidelines for harmonizing Plenipotentiary Conference Resolutions and Decisions</w:t>
            </w:r>
          </w:p>
        </w:tc>
        <w:tc>
          <w:tcPr>
            <w:tcW w:w="1620" w:type="dxa"/>
          </w:tcPr>
          <w:p w14:paraId="7FC749E6" w14:textId="77777777" w:rsidR="009F0B68" w:rsidRDefault="009F0B68" w:rsidP="00A00883">
            <w:pPr>
              <w:spacing w:before="60" w:after="60"/>
              <w:jc w:val="center"/>
            </w:pPr>
            <w:hyperlink r:id="rId41" w:history="1">
              <w:r>
                <w:rPr>
                  <w:rStyle w:val="Hyperlink"/>
                  <w:sz w:val="21"/>
                  <w:szCs w:val="21"/>
                  <w:lang w:val="en-US"/>
                </w:rPr>
                <w:t>C25/29</w:t>
              </w:r>
            </w:hyperlink>
          </w:p>
        </w:tc>
      </w:tr>
      <w:tr w:rsidR="009F0B68" w:rsidRPr="003422B2" w14:paraId="2755578F" w14:textId="77777777" w:rsidTr="0040172E">
        <w:trPr>
          <w:jc w:val="center"/>
        </w:trPr>
        <w:tc>
          <w:tcPr>
            <w:tcW w:w="1080" w:type="dxa"/>
          </w:tcPr>
          <w:p w14:paraId="6F955112" w14:textId="77777777" w:rsidR="009F0B68" w:rsidRPr="00160C3F" w:rsidRDefault="009F0B68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4E540AD6" w14:textId="7DA9B588" w:rsidR="009F0B68" w:rsidRPr="003422B2" w:rsidRDefault="009F0B68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the proposed venues for </w:t>
            </w:r>
            <w:r w:rsidRPr="00EF205C">
              <w:rPr>
                <w:sz w:val="21"/>
                <w:szCs w:val="21"/>
                <w:lang w:val="en-US"/>
              </w:rPr>
              <w:t>RA-2</w:t>
            </w:r>
            <w:r>
              <w:rPr>
                <w:sz w:val="21"/>
                <w:szCs w:val="21"/>
                <w:lang w:val="en-US"/>
              </w:rPr>
              <w:t xml:space="preserve">7, </w:t>
            </w:r>
            <w:r w:rsidRPr="00EF205C">
              <w:rPr>
                <w:sz w:val="21"/>
                <w:szCs w:val="21"/>
                <w:lang w:val="en-US"/>
              </w:rPr>
              <w:t>WRC-2</w:t>
            </w:r>
            <w:r>
              <w:rPr>
                <w:sz w:val="21"/>
                <w:szCs w:val="21"/>
                <w:lang w:val="en-US"/>
              </w:rPr>
              <w:t>7, and CPM31-1</w:t>
            </w:r>
          </w:p>
        </w:tc>
        <w:tc>
          <w:tcPr>
            <w:tcW w:w="1620" w:type="dxa"/>
          </w:tcPr>
          <w:p w14:paraId="093091C8" w14:textId="77777777" w:rsidR="009F0B68" w:rsidRDefault="009F0B68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2" w:history="1">
              <w:r>
                <w:rPr>
                  <w:rStyle w:val="Hyperlink"/>
                  <w:sz w:val="21"/>
                  <w:szCs w:val="21"/>
                  <w:lang w:val="en-US"/>
                </w:rPr>
                <w:t>C25/58</w:t>
              </w:r>
            </w:hyperlink>
          </w:p>
        </w:tc>
      </w:tr>
      <w:tr w:rsidR="0040172E" w14:paraId="10C2AC5C" w14:textId="77777777" w:rsidTr="0040172E">
        <w:trPr>
          <w:jc w:val="center"/>
        </w:trPr>
        <w:tc>
          <w:tcPr>
            <w:tcW w:w="1080" w:type="dxa"/>
          </w:tcPr>
          <w:p w14:paraId="5DD8FA84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680F77D6" w14:textId="7FCCC890" w:rsidR="0040172E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Letter from the Administration of India concerning the 2030 Plenipotentiary Conference</w:t>
            </w:r>
          </w:p>
        </w:tc>
        <w:tc>
          <w:tcPr>
            <w:tcW w:w="1620" w:type="dxa"/>
          </w:tcPr>
          <w:p w14:paraId="34753D6F" w14:textId="77777777" w:rsidR="0040172E" w:rsidRPr="003948E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3" w:history="1">
              <w:r>
                <w:rPr>
                  <w:rStyle w:val="Hyperlink"/>
                  <w:sz w:val="21"/>
                  <w:szCs w:val="21"/>
                  <w:lang w:val="en-US"/>
                </w:rPr>
                <w:t>C25/19</w:t>
              </w:r>
            </w:hyperlink>
          </w:p>
        </w:tc>
      </w:tr>
      <w:tr w:rsidR="0040172E" w:rsidRPr="00EF205C" w14:paraId="5840406E" w14:textId="77777777" w:rsidTr="0040172E">
        <w:trPr>
          <w:jc w:val="center"/>
        </w:trPr>
        <w:tc>
          <w:tcPr>
            <w:tcW w:w="1080" w:type="dxa"/>
          </w:tcPr>
          <w:p w14:paraId="65BECBE7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63A1582C" w14:textId="62E7FFB3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List of Chairs and Vice-Chairs of </w:t>
            </w:r>
            <w:r>
              <w:rPr>
                <w:sz w:val="21"/>
                <w:szCs w:val="21"/>
                <w:lang w:val="en-US"/>
              </w:rPr>
              <w:t>the Council Working Groups and Expert Groups</w:t>
            </w:r>
          </w:p>
        </w:tc>
        <w:tc>
          <w:tcPr>
            <w:tcW w:w="1620" w:type="dxa"/>
          </w:tcPr>
          <w:p w14:paraId="3FC08878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4" w:history="1">
              <w:r>
                <w:rPr>
                  <w:rStyle w:val="Hyperlink"/>
                  <w:sz w:val="21"/>
                  <w:szCs w:val="21"/>
                  <w:lang w:val="en-US"/>
                </w:rPr>
                <w:t>C25/21</w:t>
              </w:r>
            </w:hyperlink>
          </w:p>
        </w:tc>
      </w:tr>
      <w:tr w:rsidR="0040172E" w:rsidRPr="00EF205C" w14:paraId="5BFFC614" w14:textId="77777777" w:rsidTr="0040172E">
        <w:trPr>
          <w:jc w:val="center"/>
        </w:trPr>
        <w:tc>
          <w:tcPr>
            <w:tcW w:w="1080" w:type="dxa"/>
          </w:tcPr>
          <w:p w14:paraId="33F497D3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497147A7" w14:textId="1B32D094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Proposed dates and duration of the 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EF205C">
              <w:rPr>
                <w:sz w:val="21"/>
                <w:szCs w:val="21"/>
                <w:lang w:val="en-US"/>
              </w:rPr>
              <w:t>, 202</w:t>
            </w:r>
            <w:r>
              <w:rPr>
                <w:sz w:val="21"/>
                <w:szCs w:val="21"/>
                <w:lang w:val="en-US"/>
              </w:rPr>
              <w:t>7</w:t>
            </w:r>
            <w:r w:rsidRPr="00EF205C">
              <w:rPr>
                <w:sz w:val="21"/>
                <w:szCs w:val="21"/>
                <w:lang w:val="en-US"/>
              </w:rPr>
              <w:t>, 202</w:t>
            </w:r>
            <w:r>
              <w:rPr>
                <w:sz w:val="21"/>
                <w:szCs w:val="21"/>
                <w:lang w:val="en-US"/>
              </w:rPr>
              <w:t>8</w:t>
            </w:r>
            <w:r w:rsidRPr="00EF205C">
              <w:rPr>
                <w:sz w:val="21"/>
                <w:szCs w:val="21"/>
                <w:lang w:val="en-US"/>
              </w:rPr>
              <w:t xml:space="preserve"> sessions of the Council </w:t>
            </w:r>
            <w:r>
              <w:rPr>
                <w:sz w:val="21"/>
                <w:szCs w:val="21"/>
                <w:lang w:val="en-US"/>
              </w:rPr>
              <w:t>along with the proposed dates of clusters of Council Working Groups and Expert Groups for the same period</w:t>
            </w:r>
          </w:p>
        </w:tc>
        <w:tc>
          <w:tcPr>
            <w:tcW w:w="1620" w:type="dxa"/>
          </w:tcPr>
          <w:p w14:paraId="19D6AEE2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5" w:history="1">
              <w:r>
                <w:rPr>
                  <w:rStyle w:val="Hyperlink"/>
                  <w:sz w:val="21"/>
                  <w:szCs w:val="21"/>
                  <w:lang w:val="en-US"/>
                </w:rPr>
                <w:t>C25/2</w:t>
              </w:r>
            </w:hyperlink>
          </w:p>
        </w:tc>
      </w:tr>
      <w:tr w:rsidR="0040172E" w:rsidRPr="00EF205C" w14:paraId="3D64D704" w14:textId="77777777" w:rsidTr="0040172E">
        <w:trPr>
          <w:jc w:val="center"/>
        </w:trPr>
        <w:tc>
          <w:tcPr>
            <w:tcW w:w="1080" w:type="dxa"/>
          </w:tcPr>
          <w:p w14:paraId="7E5ECD05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15EC3E44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Schedule of future conferences, assemblies and meetings of the Union: 202</w:t>
            </w:r>
            <w:r>
              <w:rPr>
                <w:sz w:val="21"/>
                <w:szCs w:val="21"/>
                <w:lang w:val="en-US"/>
              </w:rPr>
              <w:t>5</w:t>
            </w:r>
            <w:r w:rsidRPr="00EF205C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1620" w:type="dxa"/>
          </w:tcPr>
          <w:p w14:paraId="231D7D83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6" w:history="1">
              <w:r>
                <w:rPr>
                  <w:rStyle w:val="Hyperlink"/>
                  <w:sz w:val="21"/>
                  <w:szCs w:val="21"/>
                  <w:lang w:val="en-US"/>
                </w:rPr>
                <w:t>C25/37</w:t>
              </w:r>
            </w:hyperlink>
          </w:p>
        </w:tc>
      </w:tr>
      <w:tr w:rsidR="0040172E" w:rsidRPr="003B5159" w14:paraId="49E47787" w14:textId="77777777" w:rsidTr="0040172E">
        <w:trPr>
          <w:jc w:val="center"/>
        </w:trPr>
        <w:tc>
          <w:tcPr>
            <w:tcW w:w="1080" w:type="dxa"/>
          </w:tcPr>
          <w:p w14:paraId="609998C8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7F8712CF" w14:textId="07788494" w:rsidR="0040172E" w:rsidRPr="003B5159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Obsolete Council Resolutions </w:t>
            </w:r>
            <w:r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Decisions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BE98D73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7" w:history="1">
              <w:r>
                <w:rPr>
                  <w:rStyle w:val="Hyperlink"/>
                  <w:sz w:val="21"/>
                  <w:szCs w:val="21"/>
                  <w:lang w:val="en-US"/>
                </w:rPr>
                <w:t>C25/3</w:t>
              </w:r>
            </w:hyperlink>
          </w:p>
        </w:tc>
      </w:tr>
      <w:tr w:rsidR="0040172E" w:rsidRPr="003422B2" w14:paraId="5051AD49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CCA4E88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ADM 1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5833A51A" w14:textId="77777777" w:rsidR="0040172E" w:rsidRPr="003422B2" w:rsidRDefault="0040172E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(Budget and finance)</w:t>
            </w:r>
          </w:p>
        </w:tc>
      </w:tr>
      <w:tr w:rsidR="0040172E" w:rsidRPr="003422B2" w14:paraId="0D70F28A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871B75D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D944F90" w14:textId="3582C7D5" w:rsidR="0040172E" w:rsidRPr="003422B2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Implementation of </w:t>
            </w: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’s</w:t>
            </w:r>
            <w:r w:rsidRPr="00EF205C">
              <w:rPr>
                <w:sz w:val="21"/>
                <w:szCs w:val="21"/>
                <w:lang w:val="en-US"/>
              </w:rPr>
              <w:t xml:space="preserve"> resource mobilization strategy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DBD2CEA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8" w:history="1">
              <w:r>
                <w:rPr>
                  <w:rStyle w:val="Hyperlink"/>
                  <w:sz w:val="21"/>
                  <w:szCs w:val="21"/>
                  <w:lang w:val="en-US"/>
                </w:rPr>
                <w:t>C25/67</w:t>
              </w:r>
            </w:hyperlink>
          </w:p>
        </w:tc>
      </w:tr>
      <w:tr w:rsidR="0040172E" w:rsidRPr="003422B2" w14:paraId="3351A2A0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1155067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9BA6911" w14:textId="77777777" w:rsidR="0040172E" w:rsidRPr="003422B2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Council Working Group on Financial and Human Resources (</w:t>
            </w:r>
            <w:r w:rsidRPr="00EF205C">
              <w:rPr>
                <w:sz w:val="21"/>
                <w:szCs w:val="21"/>
                <w:lang w:val="en-US"/>
              </w:rPr>
              <w:t>CWG-FHR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F5D8F5D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49" w:history="1">
              <w:r>
                <w:rPr>
                  <w:rStyle w:val="Hyperlink"/>
                  <w:sz w:val="21"/>
                  <w:szCs w:val="21"/>
                  <w:lang w:val="en-US"/>
                </w:rPr>
                <w:t>C25/50</w:t>
              </w:r>
            </w:hyperlink>
          </w:p>
        </w:tc>
      </w:tr>
      <w:tr w:rsidR="0040172E" w:rsidRPr="00EF205C" w14:paraId="50EFC048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DD8A4AC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B323E70" w14:textId="7538F45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Inception report on the r</w:t>
            </w:r>
            <w:r w:rsidRPr="00930F60">
              <w:rPr>
                <w:sz w:val="21"/>
                <w:szCs w:val="21"/>
                <w:lang w:val="en-US"/>
              </w:rPr>
              <w:t>eview of ITU regional presence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192345E" w14:textId="77777777" w:rsidR="0040172E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0" w:history="1">
              <w:r>
                <w:rPr>
                  <w:rStyle w:val="Hyperlink"/>
                  <w:sz w:val="21"/>
                  <w:szCs w:val="21"/>
                  <w:lang w:val="en-US"/>
                </w:rPr>
                <w:t>C25/69</w:t>
              </w:r>
            </w:hyperlink>
          </w:p>
        </w:tc>
      </w:tr>
      <w:tr w:rsidR="0040172E" w:rsidRPr="00EF205C" w14:paraId="194DE935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8B06499" w14:textId="77777777" w:rsidR="0040172E" w:rsidRPr="00160C3F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20FFE46" w14:textId="77777777" w:rsidR="0040172E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Efficiency measures implemented in 2023-24 and </w:t>
            </w:r>
            <w:proofErr w:type="gramStart"/>
            <w:r>
              <w:rPr>
                <w:sz w:val="21"/>
                <w:szCs w:val="21"/>
                <w:lang w:val="en-US"/>
              </w:rPr>
              <w:t>future plans</w:t>
            </w:r>
            <w:proofErr w:type="gramEnd"/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A9AA236" w14:textId="77777777" w:rsidR="0040172E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1" w:history="1">
              <w:r>
                <w:rPr>
                  <w:rStyle w:val="Hyperlink"/>
                  <w:sz w:val="21"/>
                  <w:szCs w:val="21"/>
                  <w:lang w:val="en-US"/>
                </w:rPr>
                <w:t>C25/62</w:t>
              </w:r>
            </w:hyperlink>
          </w:p>
        </w:tc>
      </w:tr>
      <w:tr w:rsidR="0040172E" w:rsidRPr="0062085A" w14:paraId="7E4179B5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CF845D5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B9BE355" w14:textId="77777777" w:rsidR="0040172E" w:rsidRPr="0062085A" w:rsidRDefault="0040172E" w:rsidP="006A2105">
            <w:pPr>
              <w:spacing w:before="60" w:after="60"/>
              <w:rPr>
                <w:sz w:val="21"/>
                <w:szCs w:val="21"/>
              </w:rPr>
            </w:pPr>
            <w:r w:rsidRPr="00491BA3">
              <w:rPr>
                <w:sz w:val="21"/>
                <w:szCs w:val="21"/>
                <w:lang w:val="en-US"/>
              </w:rPr>
              <w:t>Allocations of savings achieved in 202</w:t>
            </w:r>
            <w:r>
              <w:rPr>
                <w:sz w:val="21"/>
                <w:szCs w:val="21"/>
                <w:lang w:val="en-US"/>
              </w:rPr>
              <w:t>4</w:t>
            </w:r>
            <w:r w:rsidRPr="00491BA3">
              <w:rPr>
                <w:sz w:val="21"/>
                <w:szCs w:val="21"/>
                <w:lang w:val="en-US"/>
              </w:rPr>
              <w:t xml:space="preserve"> budget implementation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666CFD62" w14:textId="77777777" w:rsidR="0040172E" w:rsidRPr="00491BA3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2" w:history="1">
              <w:r>
                <w:rPr>
                  <w:rStyle w:val="Hyperlink"/>
                  <w:sz w:val="21"/>
                  <w:szCs w:val="21"/>
                  <w:lang w:val="en-US"/>
                </w:rPr>
                <w:t>C25/43</w:t>
              </w:r>
            </w:hyperlink>
          </w:p>
        </w:tc>
      </w:tr>
      <w:tr w:rsidR="0040172E" w:rsidRPr="0062085A" w14:paraId="18A638A3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0E6FE2E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B1F411" w14:textId="77777777" w:rsidR="0040172E" w:rsidRPr="0062085A" w:rsidRDefault="0040172E" w:rsidP="006A2105">
            <w:pPr>
              <w:spacing w:before="60" w:after="60"/>
              <w:rPr>
                <w:sz w:val="21"/>
                <w:szCs w:val="21"/>
              </w:rPr>
            </w:pPr>
            <w:r w:rsidRPr="004F2DE5">
              <w:rPr>
                <w:sz w:val="21"/>
                <w:szCs w:val="21"/>
                <w:lang w:val="en-US"/>
              </w:rPr>
              <w:t xml:space="preserve">Report of the Budget Control Committee of the </w:t>
            </w:r>
            <w:r>
              <w:rPr>
                <w:sz w:val="21"/>
                <w:szCs w:val="21"/>
                <w:lang w:val="en-US"/>
              </w:rPr>
              <w:t>World Telecommunication Standardization Assembly (</w:t>
            </w:r>
            <w:r w:rsidRPr="004F2DE5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4DED0358" w14:textId="77777777" w:rsidR="0040172E" w:rsidRPr="004F2DE5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3" w:history="1">
              <w:r>
                <w:rPr>
                  <w:rStyle w:val="Hyperlink"/>
                  <w:sz w:val="21"/>
                  <w:szCs w:val="21"/>
                  <w:lang w:val="en-US"/>
                </w:rPr>
                <w:t>C25/13</w:t>
              </w:r>
            </w:hyperlink>
          </w:p>
        </w:tc>
      </w:tr>
      <w:tr w:rsidR="0040172E" w:rsidRPr="004F2DE5" w14:paraId="3C53E809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BD78DBF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765ABA2" w14:textId="2502B620" w:rsidR="0040172E" w:rsidRPr="004F2DE5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Final r</w:t>
            </w:r>
            <w:r w:rsidRPr="00EF205C">
              <w:rPr>
                <w:sz w:val="21"/>
                <w:szCs w:val="21"/>
                <w:lang w:val="en-US"/>
              </w:rPr>
              <w:t xml:space="preserve">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Expert Group on Decision 482 (</w:t>
            </w:r>
            <w:r w:rsidRPr="00EF205C">
              <w:rPr>
                <w:sz w:val="21"/>
                <w:szCs w:val="21"/>
                <w:lang w:val="en-US"/>
              </w:rPr>
              <w:t>EG-Dec482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276381F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4" w:history="1">
              <w:r>
                <w:rPr>
                  <w:rStyle w:val="Hyperlink"/>
                  <w:sz w:val="21"/>
                  <w:szCs w:val="21"/>
                  <w:lang w:val="en-US"/>
                </w:rPr>
                <w:t>C25/10</w:t>
              </w:r>
            </w:hyperlink>
          </w:p>
        </w:tc>
      </w:tr>
      <w:tr w:rsidR="0040172E" w:rsidRPr="00EF205C" w14:paraId="59DCD298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9F974F6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208FD72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Cost Recovery for the processing of satellite network filings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5DEFF6D3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5" w:history="1">
              <w:r>
                <w:rPr>
                  <w:rStyle w:val="Hyperlink"/>
                  <w:sz w:val="21"/>
                  <w:szCs w:val="21"/>
                  <w:lang w:val="en-US"/>
                </w:rPr>
                <w:t>C25/16</w:t>
              </w:r>
            </w:hyperlink>
          </w:p>
        </w:tc>
      </w:tr>
      <w:tr w:rsidR="0040172E" w:rsidRPr="00EF205C" w14:paraId="5E005E60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787F82D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0648797E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C46AAE">
              <w:rPr>
                <w:sz w:val="21"/>
                <w:szCs w:val="21"/>
                <w:lang w:val="en-US"/>
              </w:rPr>
              <w:t>Proposed methodology for calculation of SNF cost recovery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5699185" w14:textId="77777777" w:rsidR="0040172E" w:rsidRPr="00C46AAE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6" w:history="1">
              <w:r>
                <w:rPr>
                  <w:rStyle w:val="Hyperlink"/>
                  <w:sz w:val="21"/>
                  <w:szCs w:val="21"/>
                  <w:lang w:val="en-US"/>
                </w:rPr>
                <w:t>C25/64</w:t>
              </w:r>
            </w:hyperlink>
          </w:p>
        </w:tc>
      </w:tr>
      <w:tr w:rsidR="0040172E" w:rsidRPr="00EF205C" w14:paraId="27D74C2E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4F317884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7E95285" w14:textId="77777777" w:rsidR="0040172E" w:rsidRPr="00C46AAE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Analysis of the outcome of the Expert Group on Decision 482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D0F87BE" w14:textId="77777777" w:rsidR="0040172E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7" w:history="1">
              <w:r>
                <w:rPr>
                  <w:rStyle w:val="Hyperlink"/>
                  <w:sz w:val="21"/>
                  <w:szCs w:val="21"/>
                  <w:lang w:val="en-US"/>
                </w:rPr>
                <w:t>C25/74</w:t>
              </w:r>
            </w:hyperlink>
          </w:p>
        </w:tc>
      </w:tr>
      <w:tr w:rsidR="0040172E" w:rsidRPr="00491BA3" w14:paraId="13C5500B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992577B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E32CA32" w14:textId="77777777" w:rsidR="0040172E" w:rsidRPr="00491BA3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Annual review of revenue and expenses of the implementation of the budget 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D83C911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8" w:history="1">
              <w:r>
                <w:rPr>
                  <w:rStyle w:val="Hyperlink"/>
                  <w:sz w:val="21"/>
                  <w:szCs w:val="21"/>
                  <w:lang w:val="en-US"/>
                </w:rPr>
                <w:t>C25/9</w:t>
              </w:r>
            </w:hyperlink>
          </w:p>
        </w:tc>
      </w:tr>
      <w:tr w:rsidR="0040172E" w:rsidRPr="00491BA3" w14:paraId="22E06C21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39C78AF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4CE9E5F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from the Radiocommunication Advisory Group on Council-related matters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359EA9AF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59" w:history="1">
              <w:r>
                <w:rPr>
                  <w:rStyle w:val="Hyperlink"/>
                  <w:sz w:val="21"/>
                  <w:szCs w:val="21"/>
                  <w:lang w:val="en-US"/>
                </w:rPr>
                <w:t>C25/59</w:t>
              </w:r>
            </w:hyperlink>
          </w:p>
        </w:tc>
      </w:tr>
      <w:tr w:rsidR="0040172E" w:rsidRPr="00EF205C" w14:paraId="5D3F4AB8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6A0E164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4F38408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Arrears and special arrears accounts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D1D046A" w14:textId="77777777" w:rsidR="0040172E" w:rsidRPr="00EF205C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0" w:history="1">
              <w:r>
                <w:rPr>
                  <w:rStyle w:val="Hyperlink"/>
                  <w:sz w:val="21"/>
                  <w:szCs w:val="21"/>
                  <w:lang w:val="en-US"/>
                </w:rPr>
                <w:t>C25/11</w:t>
              </w:r>
            </w:hyperlink>
          </w:p>
        </w:tc>
      </w:tr>
      <w:tr w:rsidR="0040172E" w:rsidRPr="00EF205C" w14:paraId="5D730872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0226A8E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35EB124" w14:textId="683F8101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Draft biennial budget of the Union for 2026-2027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2BE669B" w14:textId="77777777" w:rsidR="0040172E" w:rsidRDefault="0040172E" w:rsidP="00A00883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1" w:history="1">
              <w:r>
                <w:rPr>
                  <w:rStyle w:val="Hyperlink"/>
                  <w:sz w:val="21"/>
                  <w:szCs w:val="21"/>
                  <w:lang w:val="en-US"/>
                </w:rPr>
                <w:t>C25/47</w:t>
              </w:r>
            </w:hyperlink>
          </w:p>
        </w:tc>
      </w:tr>
      <w:tr w:rsidR="0040172E" w:rsidRPr="003422B2" w14:paraId="02C0E698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2117E9D7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D72A137" w14:textId="77777777" w:rsidR="0040172E" w:rsidRPr="00DA0502" w:rsidRDefault="0040172E" w:rsidP="006A2105">
            <w:pPr>
              <w:spacing w:before="60" w:after="60"/>
              <w:rPr>
                <w:spacing w:val="-2"/>
                <w:sz w:val="21"/>
                <w:szCs w:val="21"/>
                <w:lang w:val="en-US"/>
              </w:rPr>
            </w:pPr>
            <w:r w:rsidRPr="00DA0502">
              <w:rPr>
                <w:spacing w:val="-2"/>
                <w:sz w:val="21"/>
                <w:szCs w:val="21"/>
                <w:lang w:val="en-US"/>
              </w:rPr>
              <w:t>Status report on implementation of Council Decisions 600 and 601 (UIFN, IIN)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19F9918" w14:textId="77777777" w:rsidR="0040172E" w:rsidRPr="00E372E5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2" w:history="1">
              <w:r>
                <w:rPr>
                  <w:rStyle w:val="Hyperlink"/>
                  <w:sz w:val="21"/>
                  <w:szCs w:val="21"/>
                  <w:lang w:val="en-US"/>
                </w:rPr>
                <w:t>C25/38</w:t>
              </w:r>
            </w:hyperlink>
          </w:p>
        </w:tc>
      </w:tr>
      <w:tr w:rsidR="0040172E" w:rsidRPr="00EF205C" w14:paraId="4A565162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D5B0386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67A30F42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Information and Communication Technologies Development Fund (ICT-DF)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58D572D" w14:textId="77777777" w:rsidR="0040172E" w:rsidRPr="00EF205C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3" w:history="1">
              <w:r>
                <w:rPr>
                  <w:rStyle w:val="Hyperlink"/>
                  <w:sz w:val="21"/>
                  <w:szCs w:val="21"/>
                  <w:lang w:val="en-US"/>
                </w:rPr>
                <w:t>C25/34</w:t>
              </w:r>
            </w:hyperlink>
          </w:p>
        </w:tc>
      </w:tr>
      <w:tr w:rsidR="0040172E" w:rsidRPr="00EF205C" w14:paraId="731DD2BC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C7CF623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10FB9F3E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The After-Service Health Insurance (ASHI) liability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018D130" w14:textId="77777777" w:rsidR="0040172E" w:rsidRPr="00EF205C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4" w:history="1">
              <w:r>
                <w:rPr>
                  <w:rStyle w:val="Hyperlink"/>
                  <w:sz w:val="21"/>
                  <w:szCs w:val="21"/>
                  <w:lang w:val="en-US"/>
                </w:rPr>
                <w:t>C25/46</w:t>
              </w:r>
            </w:hyperlink>
          </w:p>
        </w:tc>
      </w:tr>
      <w:tr w:rsidR="0040172E" w:rsidRPr="00756984" w14:paraId="74917FAF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5A2A6E41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28D4AC79" w14:textId="5B2E3FCC" w:rsidR="0040172E" w:rsidRPr="00756984" w:rsidRDefault="0040172E" w:rsidP="006A2105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3948EC">
              <w:rPr>
                <w:sz w:val="21"/>
                <w:szCs w:val="21"/>
                <w:lang w:val="en-US"/>
              </w:rPr>
              <w:t>reliminary amount of the contributory unit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1E97747" w14:textId="77777777" w:rsidR="0040172E" w:rsidRPr="003948EC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5" w:history="1">
              <w:r>
                <w:rPr>
                  <w:rStyle w:val="Hyperlink"/>
                  <w:sz w:val="21"/>
                  <w:szCs w:val="21"/>
                  <w:lang w:val="en-US"/>
                </w:rPr>
                <w:t>C25/54</w:t>
              </w:r>
            </w:hyperlink>
          </w:p>
        </w:tc>
      </w:tr>
      <w:tr w:rsidR="0040172E" w:rsidRPr="00EF205C" w14:paraId="010D3ED9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0CDC52D1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B61D83D" w14:textId="2C8B3ED4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New r</w:t>
            </w:r>
            <w:r w:rsidRPr="00EF205C">
              <w:rPr>
                <w:sz w:val="21"/>
                <w:szCs w:val="21"/>
                <w:lang w:val="en-US"/>
              </w:rPr>
              <w:t>equests for exemption from</w:t>
            </w:r>
            <w:r>
              <w:rPr>
                <w:sz w:val="21"/>
                <w:szCs w:val="21"/>
                <w:lang w:val="en-US"/>
              </w:rPr>
              <w:t xml:space="preserve"> fees for organizations of an</w:t>
            </w:r>
            <w:r w:rsidRPr="00EF205C">
              <w:rPr>
                <w:sz w:val="21"/>
                <w:szCs w:val="21"/>
                <w:lang w:val="en-US"/>
              </w:rPr>
              <w:t xml:space="preserve"> international</w:t>
            </w:r>
            <w:r>
              <w:rPr>
                <w:sz w:val="21"/>
                <w:szCs w:val="21"/>
                <w:lang w:val="en-US"/>
              </w:rPr>
              <w:t xml:space="preserve"> character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3B1A4D4" w14:textId="77777777" w:rsidR="0040172E" w:rsidRPr="00EF205C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6" w:history="1">
              <w:r>
                <w:rPr>
                  <w:rStyle w:val="Hyperlink"/>
                  <w:sz w:val="21"/>
                  <w:szCs w:val="21"/>
                  <w:lang w:val="en-US"/>
                </w:rPr>
                <w:t>C25/65</w:t>
              </w:r>
            </w:hyperlink>
          </w:p>
        </w:tc>
      </w:tr>
      <w:tr w:rsidR="0040172E" w:rsidRPr="00EF205C" w14:paraId="45FE87D1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430B89C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  <w:right w:val="single" w:sz="4" w:space="0" w:color="auto"/>
            </w:tcBorders>
          </w:tcPr>
          <w:p w14:paraId="0C273834" w14:textId="74F60F6C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EF205C">
              <w:rPr>
                <w:sz w:val="21"/>
                <w:szCs w:val="21"/>
                <w:lang w:val="en-US"/>
              </w:rPr>
              <w:t xml:space="preserve">articipation of </w:t>
            </w:r>
            <w:r>
              <w:rPr>
                <w:sz w:val="21"/>
                <w:szCs w:val="21"/>
                <w:lang w:val="en-US"/>
              </w:rPr>
              <w:t xml:space="preserve">other </w:t>
            </w:r>
            <w:r w:rsidRPr="00EF205C">
              <w:rPr>
                <w:sz w:val="21"/>
                <w:szCs w:val="21"/>
                <w:lang w:val="en-US"/>
              </w:rPr>
              <w:t>entities dealing with telecommunication matters in the activities of ITU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  <w:right w:val="single" w:sz="8" w:space="0" w:color="auto"/>
            </w:tcBorders>
          </w:tcPr>
          <w:p w14:paraId="57A3E7C0" w14:textId="77777777" w:rsidR="0040172E" w:rsidRPr="00EF205C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7" w:history="1">
              <w:r>
                <w:rPr>
                  <w:rStyle w:val="Hyperlink"/>
                  <w:sz w:val="21"/>
                  <w:szCs w:val="21"/>
                  <w:lang w:val="en-US"/>
                </w:rPr>
                <w:t>C25/20</w:t>
              </w:r>
            </w:hyperlink>
          </w:p>
        </w:tc>
      </w:tr>
      <w:tr w:rsidR="0040172E" w:rsidRPr="003422B2" w14:paraId="64D9510C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0AD3950" w14:textId="77777777" w:rsidR="0040172E" w:rsidRPr="003422B2" w:rsidRDefault="0040172E" w:rsidP="006A2105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2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207C8A7B" w14:textId="268CEFCC" w:rsidR="0040172E" w:rsidRPr="003422B2" w:rsidRDefault="0040172E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</w:t>
            </w:r>
            <w:r w:rsidR="00A00883" w:rsidRPr="003422B2">
              <w:rPr>
                <w:b/>
                <w:sz w:val="21"/>
                <w:szCs w:val="21"/>
                <w:lang w:val="en-US"/>
              </w:rPr>
              <w:t>accountability</w:t>
            </w:r>
            <w:r w:rsidRPr="003422B2">
              <w:rPr>
                <w:b/>
                <w:sz w:val="21"/>
                <w:szCs w:val="21"/>
                <w:lang w:val="en-US"/>
              </w:rPr>
              <w:t>)</w:t>
            </w:r>
          </w:p>
        </w:tc>
      </w:tr>
      <w:tr w:rsidR="0040172E" w:rsidRPr="003422B2" w14:paraId="45D23446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  <w:right w:val="single" w:sz="4" w:space="0" w:color="auto"/>
            </w:tcBorders>
          </w:tcPr>
          <w:p w14:paraId="00071454" w14:textId="77777777" w:rsidR="0040172E" w:rsidRPr="00160C3F" w:rsidRDefault="0040172E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  <w:left w:val="single" w:sz="4" w:space="0" w:color="auto"/>
            </w:tcBorders>
          </w:tcPr>
          <w:p w14:paraId="2AA37B43" w14:textId="77777777" w:rsidR="0040172E" w:rsidRPr="003422B2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Audited accounts: Audited Financial operating report for 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auto"/>
            </w:tcBorders>
          </w:tcPr>
          <w:p w14:paraId="5CBC7B47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8" w:history="1">
              <w:r>
                <w:rPr>
                  <w:rStyle w:val="Hyperlink"/>
                  <w:sz w:val="21"/>
                  <w:szCs w:val="21"/>
                  <w:lang w:val="en-US"/>
                </w:rPr>
                <w:t>C25/40</w:t>
              </w:r>
            </w:hyperlink>
          </w:p>
        </w:tc>
      </w:tr>
      <w:tr w:rsidR="0040172E" w:rsidRPr="003422B2" w14:paraId="6A35BC97" w14:textId="77777777" w:rsidTr="0040172E">
        <w:trPr>
          <w:jc w:val="center"/>
        </w:trPr>
        <w:tc>
          <w:tcPr>
            <w:tcW w:w="1080" w:type="dxa"/>
          </w:tcPr>
          <w:p w14:paraId="2C2C4755" w14:textId="77777777" w:rsidR="0040172E" w:rsidRPr="00160C3F" w:rsidRDefault="0040172E" w:rsidP="00054F4B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39B962EB" w14:textId="77777777" w:rsidR="0040172E" w:rsidRPr="003422B2" w:rsidRDefault="0040172E" w:rsidP="00054F4B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External Auditor report: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3422B2">
              <w:rPr>
                <w:sz w:val="21"/>
                <w:szCs w:val="21"/>
                <w:lang w:val="en-US"/>
              </w:rPr>
              <w:t xml:space="preserve">s accounts </w:t>
            </w:r>
            <w:r>
              <w:rPr>
                <w:sz w:val="21"/>
                <w:szCs w:val="21"/>
                <w:lang w:val="en-US"/>
              </w:rPr>
              <w:t>2024</w:t>
            </w:r>
          </w:p>
        </w:tc>
        <w:tc>
          <w:tcPr>
            <w:tcW w:w="1620" w:type="dxa"/>
          </w:tcPr>
          <w:p w14:paraId="18149F73" w14:textId="77777777" w:rsidR="0040172E" w:rsidRPr="003422B2" w:rsidRDefault="0040172E" w:rsidP="00054F4B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69" w:history="1">
              <w:r>
                <w:rPr>
                  <w:rStyle w:val="Hyperlink"/>
                  <w:sz w:val="21"/>
                  <w:szCs w:val="21"/>
                  <w:lang w:val="en-US"/>
                </w:rPr>
                <w:t>C25/41</w:t>
              </w:r>
            </w:hyperlink>
          </w:p>
        </w:tc>
      </w:tr>
      <w:tr w:rsidR="0040172E" w:rsidRPr="00EF205C" w14:paraId="043715B1" w14:textId="77777777" w:rsidTr="0040172E">
        <w:trPr>
          <w:jc w:val="center"/>
        </w:trPr>
        <w:tc>
          <w:tcPr>
            <w:tcW w:w="1080" w:type="dxa"/>
            <w:tcBorders>
              <w:bottom w:val="single" w:sz="4" w:space="0" w:color="808080"/>
            </w:tcBorders>
          </w:tcPr>
          <w:p w14:paraId="2A90E771" w14:textId="77777777" w:rsidR="0040172E" w:rsidRPr="00160C3F" w:rsidRDefault="0040172E" w:rsidP="00054F4B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140B93D3" w14:textId="77777777" w:rsidR="0040172E" w:rsidRPr="00EF205C" w:rsidRDefault="0040172E" w:rsidP="00054F4B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Renewal of the mandate of the External Auditor</w:t>
            </w:r>
            <w:r>
              <w:rPr>
                <w:sz w:val="21"/>
                <w:szCs w:val="21"/>
                <w:lang w:val="en-US"/>
              </w:rPr>
              <w:t xml:space="preserve"> – the United Kingdom’s National Audit Office (NAO) – for a period of two years</w:t>
            </w:r>
          </w:p>
        </w:tc>
        <w:tc>
          <w:tcPr>
            <w:tcW w:w="1620" w:type="dxa"/>
          </w:tcPr>
          <w:p w14:paraId="1B32BADB" w14:textId="77777777" w:rsidR="0040172E" w:rsidRPr="009D0E16" w:rsidRDefault="0040172E" w:rsidP="00054F4B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0" w:history="1">
              <w:r>
                <w:rPr>
                  <w:rStyle w:val="Hyperlink"/>
                  <w:sz w:val="21"/>
                  <w:szCs w:val="21"/>
                  <w:lang w:val="en-US"/>
                </w:rPr>
                <w:t>C25/42</w:t>
              </w:r>
            </w:hyperlink>
          </w:p>
        </w:tc>
      </w:tr>
      <w:tr w:rsidR="0040172E" w:rsidRPr="00EF205C" w14:paraId="01E3978F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nil"/>
            </w:tcBorders>
          </w:tcPr>
          <w:p w14:paraId="5047C845" w14:textId="77777777" w:rsidR="0040172E" w:rsidRPr="00160C3F" w:rsidRDefault="0040172E" w:rsidP="00054F4B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6CDAD5E8" w14:textId="77777777" w:rsidR="0040172E" w:rsidRPr="009D0E16" w:rsidRDefault="0040172E" w:rsidP="00054F4B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Reports from the Oversight Unit</w:t>
            </w:r>
          </w:p>
        </w:tc>
        <w:tc>
          <w:tcPr>
            <w:tcW w:w="1620" w:type="dxa"/>
          </w:tcPr>
          <w:p w14:paraId="224D1321" w14:textId="1ADB2F24" w:rsidR="0040172E" w:rsidRDefault="0040172E" w:rsidP="00054F4B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40172E" w:rsidRPr="003422B2" w14:paraId="036CD7C3" w14:textId="77777777" w:rsidTr="0040172E">
        <w:trPr>
          <w:jc w:val="center"/>
        </w:trPr>
        <w:tc>
          <w:tcPr>
            <w:tcW w:w="1080" w:type="dxa"/>
            <w:tcBorders>
              <w:top w:val="nil"/>
              <w:bottom w:val="nil"/>
            </w:tcBorders>
          </w:tcPr>
          <w:p w14:paraId="1339EFC4" w14:textId="77777777" w:rsidR="0040172E" w:rsidRPr="00160C3F" w:rsidRDefault="0040172E" w:rsidP="00054F4B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30AFE921" w14:textId="05A55281" w:rsidR="0040172E" w:rsidRPr="0040172E" w:rsidRDefault="006C731E" w:rsidP="00054F4B">
            <w:pPr>
              <w:keepNext/>
              <w:keepLines/>
              <w:spacing w:before="60" w:after="60"/>
              <w:ind w:left="720" w:hanging="360"/>
              <w:rPr>
                <w:rFonts w:eastAsia="SimSun"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846FDE">
              <w:rPr>
                <w:rFonts w:eastAsia="SimSun" w:cs="Calibri"/>
                <w:sz w:val="21"/>
                <w:szCs w:val="21"/>
                <w:lang w:val="en-US"/>
              </w:rPr>
              <w:tab/>
            </w:r>
            <w:r w:rsidR="0040172E" w:rsidRPr="0040172E">
              <w:rPr>
                <w:rFonts w:eastAsia="SimSun"/>
                <w:sz w:val="21"/>
                <w:szCs w:val="21"/>
                <w:lang w:val="en-US"/>
              </w:rPr>
              <w:t>Report from the Oversight Unit’s internal audit function</w:t>
            </w:r>
          </w:p>
        </w:tc>
        <w:tc>
          <w:tcPr>
            <w:tcW w:w="1620" w:type="dxa"/>
          </w:tcPr>
          <w:p w14:paraId="678F66EF" w14:textId="77777777" w:rsidR="0040172E" w:rsidRPr="00133BFF" w:rsidRDefault="0040172E" w:rsidP="00054F4B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1" w:history="1">
              <w:r>
                <w:rPr>
                  <w:rStyle w:val="Hyperlink"/>
                  <w:sz w:val="21"/>
                  <w:szCs w:val="21"/>
                  <w:lang w:val="en-US"/>
                </w:rPr>
                <w:t>C25/44</w:t>
              </w:r>
            </w:hyperlink>
          </w:p>
        </w:tc>
      </w:tr>
      <w:tr w:rsidR="0040172E" w:rsidRPr="003422B2" w14:paraId="4360A51F" w14:textId="77777777" w:rsidTr="0040172E">
        <w:trPr>
          <w:jc w:val="center"/>
        </w:trPr>
        <w:tc>
          <w:tcPr>
            <w:tcW w:w="1080" w:type="dxa"/>
            <w:tcBorders>
              <w:top w:val="nil"/>
              <w:bottom w:val="single" w:sz="4" w:space="0" w:color="808080"/>
            </w:tcBorders>
          </w:tcPr>
          <w:p w14:paraId="019E0DC3" w14:textId="77777777" w:rsidR="0040172E" w:rsidRPr="00160C3F" w:rsidRDefault="0040172E" w:rsidP="00054F4B">
            <w:pPr>
              <w:keepNext/>
              <w:keepLines/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2782B4FA" w14:textId="7807DF17" w:rsidR="0040172E" w:rsidRPr="00054F4B" w:rsidRDefault="006C731E" w:rsidP="00054F4B">
            <w:pPr>
              <w:keepNext/>
              <w:keepLines/>
              <w:spacing w:before="60" w:after="60"/>
              <w:ind w:left="720" w:hanging="360"/>
              <w:rPr>
                <w:rFonts w:eastAsia="SimSun"/>
                <w:sz w:val="21"/>
                <w:szCs w:val="21"/>
                <w:lang w:val="en-US"/>
              </w:rPr>
            </w:pPr>
            <w:r>
              <w:rPr>
                <w:rFonts w:eastAsia="SimSun" w:cs="Calibri"/>
                <w:sz w:val="21"/>
                <w:szCs w:val="21"/>
                <w:lang w:val="en-US"/>
              </w:rPr>
              <w:t>–</w:t>
            </w:r>
            <w:r w:rsidRPr="00846FDE">
              <w:rPr>
                <w:rFonts w:eastAsia="SimSun" w:cs="Calibri"/>
                <w:sz w:val="21"/>
                <w:szCs w:val="21"/>
                <w:lang w:val="en-US"/>
              </w:rPr>
              <w:tab/>
            </w:r>
            <w:r w:rsidR="0040172E" w:rsidRPr="0040172E">
              <w:rPr>
                <w:rFonts w:eastAsia="SimSun"/>
                <w:sz w:val="21"/>
                <w:szCs w:val="21"/>
                <w:lang w:val="en-US"/>
              </w:rPr>
              <w:t>Report from the Oversight Unit</w:t>
            </w:r>
            <w:r w:rsidR="0040172E" w:rsidRPr="0040172E">
              <w:rPr>
                <w:sz w:val="21"/>
                <w:szCs w:val="21"/>
                <w:lang w:val="en-US"/>
              </w:rPr>
              <w:t xml:space="preserve"> – I</w:t>
            </w:r>
            <w:r w:rsidR="0040172E" w:rsidRPr="00054F4B">
              <w:rPr>
                <w:rFonts w:eastAsia="SimSun"/>
                <w:sz w:val="21"/>
                <w:szCs w:val="21"/>
                <w:lang w:val="en-US"/>
              </w:rPr>
              <w:t>nvestigation function</w:t>
            </w:r>
          </w:p>
        </w:tc>
        <w:tc>
          <w:tcPr>
            <w:tcW w:w="1620" w:type="dxa"/>
          </w:tcPr>
          <w:p w14:paraId="5C65AB11" w14:textId="77777777" w:rsidR="0040172E" w:rsidRPr="00133BFF" w:rsidRDefault="0040172E" w:rsidP="00054F4B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2" w:history="1">
              <w:r>
                <w:rPr>
                  <w:rStyle w:val="Hyperlink"/>
                  <w:sz w:val="21"/>
                  <w:szCs w:val="21"/>
                  <w:lang w:val="en-US"/>
                </w:rPr>
                <w:t>C25/39</w:t>
              </w:r>
            </w:hyperlink>
          </w:p>
        </w:tc>
      </w:tr>
      <w:tr w:rsidR="0040172E" w:rsidRPr="003422B2" w14:paraId="50BAB859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6DAB74AB" w14:textId="77777777" w:rsidR="0040172E" w:rsidRPr="00160C3F" w:rsidRDefault="0040172E" w:rsidP="00054F4B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65A7BF3A" w14:textId="77777777" w:rsidR="0040172E" w:rsidRPr="00E322D1" w:rsidRDefault="0040172E" w:rsidP="00054F4B">
            <w:pPr>
              <w:spacing w:before="60" w:after="60"/>
              <w:rPr>
                <w:i/>
                <w:iCs/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Ethics Office</w:t>
            </w:r>
          </w:p>
        </w:tc>
        <w:tc>
          <w:tcPr>
            <w:tcW w:w="1620" w:type="dxa"/>
          </w:tcPr>
          <w:p w14:paraId="6F5FFEB1" w14:textId="77777777" w:rsidR="0040172E" w:rsidRPr="00EF205C" w:rsidRDefault="0040172E" w:rsidP="00054F4B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3" w:history="1">
              <w:r>
                <w:rPr>
                  <w:rStyle w:val="Hyperlink"/>
                  <w:sz w:val="21"/>
                  <w:szCs w:val="21"/>
                  <w:lang w:val="en-US"/>
                </w:rPr>
                <w:t>C25/14</w:t>
              </w:r>
            </w:hyperlink>
          </w:p>
        </w:tc>
      </w:tr>
      <w:tr w:rsidR="0040172E" w:rsidRPr="00EF205C" w14:paraId="29537D29" w14:textId="77777777" w:rsidTr="0040172E">
        <w:trPr>
          <w:jc w:val="center"/>
        </w:trPr>
        <w:tc>
          <w:tcPr>
            <w:tcW w:w="1080" w:type="dxa"/>
          </w:tcPr>
          <w:p w14:paraId="263F057A" w14:textId="77777777" w:rsidR="0040172E" w:rsidRPr="00160C3F" w:rsidRDefault="0040172E" w:rsidP="00054F4B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5AC1D650" w14:textId="77777777" w:rsidR="0040172E" w:rsidRPr="00EF205C" w:rsidRDefault="0040172E" w:rsidP="00054F4B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Strengthening risk management and the internal control system</w:t>
            </w:r>
          </w:p>
        </w:tc>
        <w:tc>
          <w:tcPr>
            <w:tcW w:w="1620" w:type="dxa"/>
          </w:tcPr>
          <w:p w14:paraId="59478F5B" w14:textId="77777777" w:rsidR="0040172E" w:rsidRPr="009D0E16" w:rsidRDefault="0040172E" w:rsidP="00054F4B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4" w:history="1">
              <w:r>
                <w:rPr>
                  <w:rStyle w:val="Hyperlink"/>
                  <w:sz w:val="21"/>
                  <w:szCs w:val="21"/>
                  <w:lang w:val="en-US"/>
                </w:rPr>
                <w:t>C25/49</w:t>
              </w:r>
            </w:hyperlink>
          </w:p>
        </w:tc>
      </w:tr>
      <w:tr w:rsidR="0040172E" w:rsidRPr="00EF205C" w14:paraId="046D32CA" w14:textId="77777777" w:rsidTr="0040172E">
        <w:trPr>
          <w:jc w:val="center"/>
        </w:trPr>
        <w:tc>
          <w:tcPr>
            <w:tcW w:w="1080" w:type="dxa"/>
          </w:tcPr>
          <w:p w14:paraId="02F56557" w14:textId="77777777" w:rsidR="0040172E" w:rsidRPr="00160C3F" w:rsidRDefault="0040172E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1B3D6D1C" w14:textId="77777777" w:rsidR="0040172E" w:rsidRPr="00EF205C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Fourteenth</w:t>
            </w:r>
            <w:r w:rsidRPr="00EF205C">
              <w:rPr>
                <w:sz w:val="21"/>
                <w:szCs w:val="21"/>
                <w:lang w:val="en-US"/>
              </w:rPr>
              <w:t xml:space="preserve"> report of the Independent Management Advisory Committee (IMAC)</w:t>
            </w:r>
          </w:p>
        </w:tc>
        <w:tc>
          <w:tcPr>
            <w:tcW w:w="1620" w:type="dxa"/>
          </w:tcPr>
          <w:p w14:paraId="1E8F8EFD" w14:textId="77777777" w:rsidR="0040172E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5" w:history="1">
              <w:r>
                <w:rPr>
                  <w:rStyle w:val="Hyperlink"/>
                  <w:sz w:val="21"/>
                  <w:szCs w:val="21"/>
                  <w:lang w:val="en-US"/>
                </w:rPr>
                <w:t>C25/22</w:t>
              </w:r>
            </w:hyperlink>
          </w:p>
        </w:tc>
      </w:tr>
      <w:tr w:rsidR="0040172E" w14:paraId="5E043C70" w14:textId="77777777" w:rsidTr="0040172E">
        <w:trPr>
          <w:jc w:val="center"/>
        </w:trPr>
        <w:tc>
          <w:tcPr>
            <w:tcW w:w="1080" w:type="dxa"/>
          </w:tcPr>
          <w:p w14:paraId="6C422FAB" w14:textId="77777777" w:rsidR="0040172E" w:rsidRPr="00160C3F" w:rsidRDefault="0040172E" w:rsidP="006A2105">
            <w:pPr>
              <w:spacing w:before="60" w:after="60"/>
              <w:jc w:val="center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422BAD7B" w14:textId="2DEDE840" w:rsidR="0040172E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JIU reports on United Nations system-wide issues for 202</w:t>
            </w:r>
            <w:r>
              <w:rPr>
                <w:sz w:val="21"/>
                <w:szCs w:val="21"/>
                <w:lang w:val="en-US"/>
              </w:rPr>
              <w:t>3</w:t>
            </w:r>
            <w:r w:rsidRPr="00EF205C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4</w:t>
            </w:r>
            <w:r w:rsidRPr="00EF205C">
              <w:rPr>
                <w:sz w:val="21"/>
                <w:szCs w:val="21"/>
                <w:lang w:val="en-US"/>
              </w:rPr>
              <w:t xml:space="preserve"> and recommendations to legislative bodies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20AB12FD" w14:textId="77777777" w:rsidR="0040172E" w:rsidRPr="00EF205C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6" w:history="1">
              <w:r>
                <w:rPr>
                  <w:rStyle w:val="Hyperlink"/>
                  <w:sz w:val="21"/>
                  <w:szCs w:val="21"/>
                  <w:lang w:val="en-US"/>
                </w:rPr>
                <w:t>C25/57</w:t>
              </w:r>
            </w:hyperlink>
          </w:p>
        </w:tc>
      </w:tr>
      <w:tr w:rsidR="0040172E" w:rsidRPr="003422B2" w14:paraId="24646183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38F8E4B" w14:textId="77777777" w:rsidR="0040172E" w:rsidRPr="003422B2" w:rsidRDefault="0040172E" w:rsidP="006A2105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3</w:t>
            </w: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1552CBE2" w14:textId="0CE06207" w:rsidR="0040172E" w:rsidRPr="00E34034" w:rsidRDefault="0040172E" w:rsidP="006A2105">
            <w:pPr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E34034">
              <w:rPr>
                <w:b/>
                <w:sz w:val="21"/>
                <w:szCs w:val="21"/>
                <w:lang w:val="en-US"/>
              </w:rPr>
              <w:t xml:space="preserve">Strengthening organizational excellence (enabling </w:t>
            </w:r>
            <w:proofErr w:type="gramStart"/>
            <w:r w:rsidRPr="00E34034">
              <w:rPr>
                <w:b/>
                <w:sz w:val="21"/>
                <w:szCs w:val="21"/>
                <w:lang w:val="en-US"/>
              </w:rPr>
              <w:t>environment</w:t>
            </w:r>
            <w:proofErr w:type="gramEnd"/>
            <w:r w:rsidRPr="00E34034">
              <w:rPr>
                <w:b/>
                <w:sz w:val="21"/>
                <w:szCs w:val="21"/>
                <w:lang w:val="en-US"/>
              </w:rPr>
              <w:t>, human resources, IT, headquarters)</w:t>
            </w:r>
          </w:p>
        </w:tc>
      </w:tr>
      <w:tr w:rsidR="0040172E" w:rsidRPr="003422B2" w14:paraId="4923C4EB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9FDB236" w14:textId="77777777" w:rsidR="0040172E" w:rsidRPr="003422B2" w:rsidRDefault="0040172E" w:rsidP="006A2105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4AA905E" w14:textId="77777777" w:rsidR="0040172E" w:rsidRPr="003422B2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Progress report on the implementation of the Human Resources Transformation Plan</w:t>
            </w:r>
            <w:r>
              <w:rPr>
                <w:sz w:val="21"/>
                <w:szCs w:val="21"/>
                <w:lang w:val="en-US"/>
              </w:rPr>
              <w:t xml:space="preserve"> and of Resolution 48 (Rev. Bucharest, 2022)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2E713C51" w14:textId="77777777" w:rsidR="0040172E" w:rsidRPr="009D0E16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7" w:history="1">
              <w:r>
                <w:rPr>
                  <w:rStyle w:val="Hyperlink"/>
                  <w:sz w:val="21"/>
                  <w:szCs w:val="21"/>
                  <w:lang w:val="en-US"/>
                </w:rPr>
                <w:t>C25/66</w:t>
              </w:r>
            </w:hyperlink>
          </w:p>
        </w:tc>
      </w:tr>
      <w:tr w:rsidR="0040172E" w:rsidRPr="003422B2" w14:paraId="66980FAE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C464EDF" w14:textId="77777777" w:rsidR="0040172E" w:rsidRPr="003422B2" w:rsidRDefault="0040172E" w:rsidP="006A2105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304CC99B" w14:textId="77777777" w:rsidR="0040172E" w:rsidRPr="003422B2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Changes in the Conditions of Service under the United Nations Common System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0CDF1E3F" w14:textId="77777777" w:rsidR="0040172E" w:rsidRPr="009D0E16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8" w:history="1">
              <w:r>
                <w:rPr>
                  <w:rStyle w:val="Hyperlink"/>
                  <w:sz w:val="21"/>
                  <w:szCs w:val="21"/>
                  <w:lang w:val="en-US"/>
                </w:rPr>
                <w:t>C25/23</w:t>
              </w:r>
            </w:hyperlink>
          </w:p>
        </w:tc>
      </w:tr>
      <w:tr w:rsidR="0040172E" w:rsidRPr="00242F9A" w14:paraId="175BEAD3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29E7A46" w14:textId="77777777" w:rsidR="0040172E" w:rsidRPr="00160C3F" w:rsidRDefault="0040172E" w:rsidP="006A2105">
            <w:pPr>
              <w:spacing w:before="60" w:after="60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44C5B721" w14:textId="1AF3B93E" w:rsidR="0040172E" w:rsidRPr="00242F9A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</w:t>
            </w:r>
            <w:r w:rsidRPr="00242F9A">
              <w:rPr>
                <w:sz w:val="21"/>
                <w:szCs w:val="21"/>
                <w:lang w:val="en-US"/>
              </w:rPr>
              <w:t xml:space="preserve"> on the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242F9A">
              <w:rPr>
                <w:sz w:val="21"/>
                <w:szCs w:val="21"/>
                <w:lang w:val="en-US"/>
              </w:rPr>
              <w:t>s headquarters premises project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00F55CF" w14:textId="77777777" w:rsidR="0040172E" w:rsidRPr="00242F9A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79" w:history="1">
              <w:r>
                <w:rPr>
                  <w:rStyle w:val="Hyperlink"/>
                  <w:sz w:val="21"/>
                  <w:szCs w:val="21"/>
                  <w:lang w:val="en-US"/>
                </w:rPr>
                <w:t>C25/7</w:t>
              </w:r>
            </w:hyperlink>
          </w:p>
        </w:tc>
      </w:tr>
      <w:tr w:rsidR="0040172E" w:rsidRPr="00242F9A" w14:paraId="62191CF6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3C4C679C" w14:textId="77777777" w:rsidR="0040172E" w:rsidRPr="00160C3F" w:rsidRDefault="0040172E" w:rsidP="006A2105">
            <w:pPr>
              <w:spacing w:before="60" w:after="60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A2FA609" w14:textId="131638C6" w:rsidR="0040172E" w:rsidRPr="00242F9A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242F9A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the Member States Advisory Group (</w:t>
            </w:r>
            <w:r w:rsidRPr="00242F9A">
              <w:rPr>
                <w:sz w:val="21"/>
                <w:szCs w:val="21"/>
                <w:lang w:val="en-US"/>
              </w:rPr>
              <w:t>MSAG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101835B" w14:textId="77777777" w:rsidR="0040172E" w:rsidRPr="00242F9A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0" w:history="1">
              <w:r>
                <w:rPr>
                  <w:rStyle w:val="Hyperlink"/>
                  <w:sz w:val="21"/>
                  <w:szCs w:val="21"/>
                  <w:lang w:val="en-US"/>
                </w:rPr>
                <w:t>C25/48</w:t>
              </w:r>
            </w:hyperlink>
          </w:p>
        </w:tc>
      </w:tr>
      <w:tr w:rsidR="0040172E" w:rsidRPr="00242F9A" w14:paraId="6F9AA2DC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78790093" w14:textId="77777777" w:rsidR="0040172E" w:rsidRPr="00160C3F" w:rsidRDefault="0040172E" w:rsidP="006A2105">
            <w:pPr>
              <w:spacing w:before="60" w:after="60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5518073B" w14:textId="6E177174" w:rsidR="0040172E" w:rsidRPr="00242F9A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</w:t>
            </w:r>
            <w:r w:rsidRPr="009D0E16">
              <w:rPr>
                <w:sz w:val="21"/>
                <w:szCs w:val="21"/>
                <w:lang w:val="en-US"/>
              </w:rPr>
              <w:t xml:space="preserve"> on the campus strategic plan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15DA37C8" w14:textId="77777777" w:rsidR="0040172E" w:rsidRPr="009D0E16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1" w:history="1">
              <w:r>
                <w:rPr>
                  <w:rStyle w:val="Hyperlink"/>
                  <w:sz w:val="21"/>
                  <w:szCs w:val="21"/>
                  <w:lang w:val="en-US"/>
                </w:rPr>
                <w:t>C25/63</w:t>
              </w:r>
            </w:hyperlink>
          </w:p>
        </w:tc>
      </w:tr>
      <w:tr w:rsidR="0040172E" w:rsidRPr="00242F9A" w14:paraId="108BE551" w14:textId="77777777" w:rsidTr="0040172E">
        <w:trPr>
          <w:jc w:val="center"/>
        </w:trPr>
        <w:tc>
          <w:tcPr>
            <w:tcW w:w="1080" w:type="dxa"/>
            <w:tcBorders>
              <w:top w:val="single" w:sz="4" w:space="0" w:color="808080"/>
            </w:tcBorders>
          </w:tcPr>
          <w:p w14:paraId="1A66BC66" w14:textId="77777777" w:rsidR="0040172E" w:rsidRPr="00160C3F" w:rsidRDefault="0040172E" w:rsidP="006A2105">
            <w:pPr>
              <w:spacing w:before="60" w:after="60"/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top w:val="single" w:sz="4" w:space="0" w:color="808080"/>
            </w:tcBorders>
          </w:tcPr>
          <w:p w14:paraId="72564CE0" w14:textId="77777777" w:rsidR="0040172E" w:rsidRPr="00242F9A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Business continuity modalities for ITU meetings 2028-2029</w:t>
            </w:r>
          </w:p>
        </w:tc>
        <w:tc>
          <w:tcPr>
            <w:tcW w:w="1620" w:type="dxa"/>
            <w:tcBorders>
              <w:top w:val="single" w:sz="4" w:space="0" w:color="808080"/>
            </w:tcBorders>
          </w:tcPr>
          <w:p w14:paraId="73D01393" w14:textId="77777777" w:rsidR="0040172E" w:rsidRPr="009D0E16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2" w:history="1">
              <w:r>
                <w:rPr>
                  <w:rStyle w:val="Hyperlink"/>
                  <w:sz w:val="21"/>
                  <w:szCs w:val="21"/>
                  <w:lang w:val="en-US"/>
                </w:rPr>
                <w:t>C25/60</w:t>
              </w:r>
            </w:hyperlink>
          </w:p>
        </w:tc>
      </w:tr>
      <w:tr w:rsidR="0040172E" w:rsidRPr="003422B2" w14:paraId="65D676B0" w14:textId="77777777" w:rsidTr="00E642D0">
        <w:trPr>
          <w:jc w:val="center"/>
        </w:trPr>
        <w:tc>
          <w:tcPr>
            <w:tcW w:w="108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61E91217" w14:textId="77777777" w:rsidR="0040172E" w:rsidRPr="003422B2" w:rsidRDefault="0040172E" w:rsidP="006A210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auto"/>
            </w:tcBorders>
            <w:shd w:val="clear" w:color="auto" w:fill="D9D9D9"/>
          </w:tcPr>
          <w:p w14:paraId="3E628D60" w14:textId="57E8CB6B" w:rsidR="0040172E" w:rsidRPr="003422B2" w:rsidRDefault="0040172E" w:rsidP="006A2105">
            <w:pPr>
              <w:keepNext/>
              <w:keepLines/>
              <w:spacing w:before="60" w:after="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INFORMATION DOCUMENTS AND MISCELLANEOUS</w:t>
            </w:r>
          </w:p>
        </w:tc>
      </w:tr>
      <w:tr w:rsidR="0040172E" w:rsidRPr="003422B2" w14:paraId="1E57B9A4" w14:textId="77777777" w:rsidTr="0040172E">
        <w:trPr>
          <w:jc w:val="center"/>
        </w:trPr>
        <w:tc>
          <w:tcPr>
            <w:tcW w:w="1080" w:type="dxa"/>
          </w:tcPr>
          <w:p w14:paraId="6F941D78" w14:textId="77777777" w:rsidR="0040172E" w:rsidRPr="003422B2" w:rsidRDefault="0040172E" w:rsidP="006A210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203B7523" w14:textId="77777777" w:rsidR="0040172E" w:rsidRPr="003422B2" w:rsidRDefault="0040172E" w:rsidP="006A210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Follow-up of forensic audit and of internal audit recommendations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240992F6" w14:textId="77777777" w:rsidR="0040172E" w:rsidRDefault="0040172E" w:rsidP="006A210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3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C25/INF/1</w:t>
              </w:r>
            </w:hyperlink>
          </w:p>
        </w:tc>
      </w:tr>
      <w:tr w:rsidR="0040172E" w:rsidRPr="003422B2" w14:paraId="506065B3" w14:textId="77777777" w:rsidTr="0040172E">
        <w:trPr>
          <w:jc w:val="center"/>
        </w:trPr>
        <w:tc>
          <w:tcPr>
            <w:tcW w:w="1080" w:type="dxa"/>
          </w:tcPr>
          <w:p w14:paraId="26798CFD" w14:textId="77777777" w:rsidR="0040172E" w:rsidRPr="003422B2" w:rsidRDefault="0040172E" w:rsidP="006A210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20229988" w14:textId="77777777" w:rsidR="0040172E" w:rsidRPr="003422B2" w:rsidRDefault="0040172E" w:rsidP="006A210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Situation of arrears of the Union at 31 March 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6A68C527" w14:textId="77777777" w:rsidR="0040172E" w:rsidRPr="003422B2" w:rsidRDefault="0040172E" w:rsidP="006A210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4" w:history="1">
              <w:r w:rsidRPr="002A68BF">
                <w:rPr>
                  <w:rStyle w:val="Hyperlink"/>
                  <w:sz w:val="21"/>
                  <w:szCs w:val="21"/>
                  <w:lang w:val="en-US"/>
                </w:rPr>
                <w:t>C25/INF/2</w:t>
              </w:r>
            </w:hyperlink>
          </w:p>
        </w:tc>
      </w:tr>
      <w:tr w:rsidR="0040172E" w:rsidRPr="003422B2" w14:paraId="08065541" w14:textId="77777777" w:rsidTr="0040172E">
        <w:trPr>
          <w:jc w:val="center"/>
        </w:trPr>
        <w:tc>
          <w:tcPr>
            <w:tcW w:w="1080" w:type="dxa"/>
          </w:tcPr>
          <w:p w14:paraId="1D2A5986" w14:textId="77777777" w:rsidR="0040172E" w:rsidRPr="003422B2" w:rsidRDefault="0040172E" w:rsidP="006A210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7CB926D1" w14:textId="77777777" w:rsidR="0040172E" w:rsidRPr="003422B2" w:rsidRDefault="0040172E" w:rsidP="006A210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Reports called by Resolution 218 (Bucharest, 2022)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66132885" w14:textId="77777777" w:rsidR="0040172E" w:rsidRDefault="0040172E" w:rsidP="006A210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5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C25/INF/3</w:t>
              </w:r>
            </w:hyperlink>
          </w:p>
        </w:tc>
      </w:tr>
      <w:tr w:rsidR="0040172E" w:rsidRPr="003422B2" w14:paraId="5377EC51" w14:textId="77777777" w:rsidTr="0040172E">
        <w:trPr>
          <w:jc w:val="center"/>
        </w:trPr>
        <w:tc>
          <w:tcPr>
            <w:tcW w:w="1080" w:type="dxa"/>
          </w:tcPr>
          <w:p w14:paraId="76015768" w14:textId="77777777" w:rsidR="0040172E" w:rsidRPr="003422B2" w:rsidRDefault="0040172E" w:rsidP="006A210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  <w:tcBorders>
              <w:right w:val="single" w:sz="4" w:space="0" w:color="auto"/>
            </w:tcBorders>
          </w:tcPr>
          <w:p w14:paraId="2C8324D9" w14:textId="77777777" w:rsidR="0040172E" w:rsidRDefault="0040172E" w:rsidP="006A210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Progress on implementation of Information and Communication Technologies Development Fund (ICT-DF) funded projects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8" w:space="0" w:color="auto"/>
            </w:tcBorders>
          </w:tcPr>
          <w:p w14:paraId="3E295A3F" w14:textId="77777777" w:rsidR="0040172E" w:rsidRDefault="0040172E" w:rsidP="006A210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6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C25/INF/4</w:t>
              </w:r>
            </w:hyperlink>
          </w:p>
        </w:tc>
      </w:tr>
      <w:tr w:rsidR="0040172E" w:rsidRPr="003422B2" w14:paraId="44A03ABD" w14:textId="77777777" w:rsidTr="0040172E">
        <w:trPr>
          <w:jc w:val="center"/>
        </w:trPr>
        <w:tc>
          <w:tcPr>
            <w:tcW w:w="1080" w:type="dxa"/>
          </w:tcPr>
          <w:p w14:paraId="3AB1B991" w14:textId="77777777" w:rsidR="0040172E" w:rsidRPr="003422B2" w:rsidRDefault="0040172E" w:rsidP="006A210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4F28B6DB" w14:textId="77777777" w:rsidR="0040172E" w:rsidRPr="003422B2" w:rsidRDefault="0040172E" w:rsidP="006A210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>ITU Council contribution to the High-Level Political Forum on Sustainable Development (HLPF) 202</w:t>
            </w: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620" w:type="dxa"/>
          </w:tcPr>
          <w:p w14:paraId="67FBDED3" w14:textId="77777777" w:rsidR="0040172E" w:rsidRPr="00242F9A" w:rsidRDefault="0040172E" w:rsidP="006A210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7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C25/INF/5</w:t>
              </w:r>
            </w:hyperlink>
          </w:p>
        </w:tc>
      </w:tr>
      <w:tr w:rsidR="0040172E" w:rsidRPr="003422B2" w14:paraId="34EF0FAD" w14:textId="77777777" w:rsidTr="0040172E">
        <w:trPr>
          <w:jc w:val="center"/>
        </w:trPr>
        <w:tc>
          <w:tcPr>
            <w:tcW w:w="1080" w:type="dxa"/>
          </w:tcPr>
          <w:p w14:paraId="51FA48B0" w14:textId="77777777" w:rsidR="0040172E" w:rsidRPr="003422B2" w:rsidRDefault="0040172E" w:rsidP="006A210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09C37496" w14:textId="77777777" w:rsidR="0040172E" w:rsidRPr="00242F9A" w:rsidRDefault="0040172E" w:rsidP="006A210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Implementation of ITU’s resource mobilization strategy</w:t>
            </w:r>
          </w:p>
        </w:tc>
        <w:tc>
          <w:tcPr>
            <w:tcW w:w="1620" w:type="dxa"/>
          </w:tcPr>
          <w:p w14:paraId="2A5C6081" w14:textId="77777777" w:rsidR="0040172E" w:rsidRDefault="0040172E" w:rsidP="006A210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8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C25/INF/6</w:t>
              </w:r>
            </w:hyperlink>
          </w:p>
        </w:tc>
      </w:tr>
      <w:tr w:rsidR="0040172E" w:rsidRPr="003422B2" w14:paraId="6D14AB85" w14:textId="77777777" w:rsidTr="0040172E">
        <w:trPr>
          <w:jc w:val="center"/>
        </w:trPr>
        <w:tc>
          <w:tcPr>
            <w:tcW w:w="1080" w:type="dxa"/>
          </w:tcPr>
          <w:p w14:paraId="52393F61" w14:textId="77777777" w:rsidR="0040172E" w:rsidRPr="003422B2" w:rsidRDefault="0040172E" w:rsidP="006A210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79415CC7" w14:textId="77777777" w:rsidR="0040172E" w:rsidRDefault="0040172E" w:rsidP="006A210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Challenges in AI interpretation</w:t>
            </w:r>
          </w:p>
        </w:tc>
        <w:tc>
          <w:tcPr>
            <w:tcW w:w="1620" w:type="dxa"/>
          </w:tcPr>
          <w:p w14:paraId="5B9137C0" w14:textId="77777777" w:rsidR="0040172E" w:rsidRDefault="0040172E" w:rsidP="006A210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89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C25/INF/7</w:t>
              </w:r>
            </w:hyperlink>
          </w:p>
        </w:tc>
      </w:tr>
      <w:tr w:rsidR="0040172E" w:rsidRPr="00242F9A" w14:paraId="18B7665F" w14:textId="77777777" w:rsidTr="0040172E">
        <w:trPr>
          <w:jc w:val="center"/>
        </w:trPr>
        <w:tc>
          <w:tcPr>
            <w:tcW w:w="1080" w:type="dxa"/>
          </w:tcPr>
          <w:p w14:paraId="4D05074D" w14:textId="77777777" w:rsidR="0040172E" w:rsidRPr="003422B2" w:rsidRDefault="0040172E" w:rsidP="006A2105">
            <w:pPr>
              <w:keepNext/>
              <w:keepLines/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54F5E3B9" w14:textId="77777777" w:rsidR="0040172E" w:rsidRPr="00242F9A" w:rsidRDefault="0040172E" w:rsidP="006A2105">
            <w:pPr>
              <w:keepNext/>
              <w:keepLines/>
              <w:spacing w:before="60" w:after="60"/>
              <w:rPr>
                <w:sz w:val="21"/>
                <w:szCs w:val="21"/>
                <w:lang w:val="en-US"/>
              </w:rPr>
            </w:pPr>
            <w:r w:rsidRPr="009D0E16">
              <w:rPr>
                <w:sz w:val="21"/>
                <w:szCs w:val="21"/>
                <w:lang w:val="en-US"/>
              </w:rPr>
              <w:t>Report on voluntary contribution revenue 2024</w:t>
            </w:r>
          </w:p>
        </w:tc>
        <w:tc>
          <w:tcPr>
            <w:tcW w:w="1620" w:type="dxa"/>
          </w:tcPr>
          <w:p w14:paraId="782E065F" w14:textId="77777777" w:rsidR="0040172E" w:rsidRPr="009D0E16" w:rsidRDefault="0040172E" w:rsidP="006A2105">
            <w:pPr>
              <w:keepNext/>
              <w:keepLines/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0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C25/INF/9</w:t>
              </w:r>
            </w:hyperlink>
          </w:p>
        </w:tc>
      </w:tr>
      <w:tr w:rsidR="0040172E" w:rsidRPr="009D0E16" w14:paraId="773D93E6" w14:textId="77777777" w:rsidTr="0040172E">
        <w:trPr>
          <w:jc w:val="center"/>
        </w:trPr>
        <w:tc>
          <w:tcPr>
            <w:tcW w:w="1080" w:type="dxa"/>
          </w:tcPr>
          <w:p w14:paraId="4EDF07BA" w14:textId="77777777" w:rsidR="0040172E" w:rsidRPr="003422B2" w:rsidRDefault="0040172E" w:rsidP="006A2105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5D3853C5" w14:textId="77777777" w:rsidR="0040172E" w:rsidRPr="009D0E16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646177">
              <w:rPr>
                <w:sz w:val="21"/>
                <w:szCs w:val="21"/>
                <w:lang w:val="en-US"/>
              </w:rPr>
              <w:t>Collaboration with the UN system</w:t>
            </w:r>
          </w:p>
        </w:tc>
        <w:tc>
          <w:tcPr>
            <w:tcW w:w="1620" w:type="dxa"/>
          </w:tcPr>
          <w:p w14:paraId="54F2874E" w14:textId="77777777" w:rsidR="0040172E" w:rsidRPr="00646177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  <w:hyperlink r:id="rId91" w:history="1">
              <w:r>
                <w:rPr>
                  <w:rStyle w:val="Hyperlink"/>
                  <w:sz w:val="21"/>
                  <w:szCs w:val="21"/>
                  <w:lang w:val="en-US"/>
                </w:rPr>
                <w:t>C25/INF/8</w:t>
              </w:r>
            </w:hyperlink>
          </w:p>
        </w:tc>
      </w:tr>
      <w:tr w:rsidR="0040172E" w:rsidRPr="003422B2" w14:paraId="0E3216D2" w14:textId="77777777" w:rsidTr="0040172E">
        <w:trPr>
          <w:jc w:val="center"/>
        </w:trPr>
        <w:tc>
          <w:tcPr>
            <w:tcW w:w="1080" w:type="dxa"/>
          </w:tcPr>
          <w:p w14:paraId="0103FA76" w14:textId="77777777" w:rsidR="0040172E" w:rsidRPr="003422B2" w:rsidRDefault="0040172E" w:rsidP="006A2105">
            <w:pPr>
              <w:spacing w:before="60" w:after="60"/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712" w:type="dxa"/>
          </w:tcPr>
          <w:p w14:paraId="10AC3E63" w14:textId="77777777" w:rsidR="0040172E" w:rsidRPr="003422B2" w:rsidRDefault="0040172E" w:rsidP="006A2105">
            <w:pPr>
              <w:spacing w:before="60" w:after="6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Statement by the Staff Council</w:t>
            </w:r>
          </w:p>
        </w:tc>
        <w:tc>
          <w:tcPr>
            <w:tcW w:w="1620" w:type="dxa"/>
          </w:tcPr>
          <w:p w14:paraId="3AE21450" w14:textId="77777777" w:rsidR="0040172E" w:rsidRPr="003422B2" w:rsidRDefault="0040172E" w:rsidP="006A2105">
            <w:pPr>
              <w:spacing w:before="60" w:after="60"/>
              <w:jc w:val="center"/>
              <w:rPr>
                <w:sz w:val="21"/>
                <w:szCs w:val="21"/>
                <w:lang w:val="en-US"/>
              </w:rPr>
            </w:pPr>
          </w:p>
        </w:tc>
      </w:tr>
    </w:tbl>
    <w:p w14:paraId="5626F92C" w14:textId="77777777" w:rsidR="009F0B68" w:rsidRDefault="009F0B68" w:rsidP="00054F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</w:pPr>
    </w:p>
    <w:p w14:paraId="48ADF157" w14:textId="0DEA8E50" w:rsidR="00E322D1" w:rsidRDefault="00E322D1" w:rsidP="00E322D1">
      <w:pPr>
        <w:jc w:val="center"/>
      </w:pPr>
      <w:r>
        <w:t>______________</w:t>
      </w:r>
      <w:bookmarkEnd w:id="3"/>
      <w:bookmarkEnd w:id="4"/>
      <w:bookmarkEnd w:id="5"/>
      <w:bookmarkEnd w:id="10"/>
    </w:p>
    <w:sectPr w:rsidR="00E322D1" w:rsidSect="00AD3606">
      <w:footerReference w:type="default" r:id="rId92"/>
      <w:headerReference w:type="first" r:id="rId93"/>
      <w:footerReference w:type="first" r:id="rId9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AFA3" w14:textId="77777777" w:rsidR="004811F8" w:rsidRDefault="004811F8">
      <w:r>
        <w:separator/>
      </w:r>
    </w:p>
  </w:endnote>
  <w:endnote w:type="continuationSeparator" w:id="0">
    <w:p w14:paraId="234D2D80" w14:textId="77777777" w:rsidR="004811F8" w:rsidRDefault="004811F8">
      <w:r>
        <w:continuationSeparator/>
      </w:r>
    </w:p>
  </w:endnote>
  <w:endnote w:type="continuationNotice" w:id="1">
    <w:p w14:paraId="30B5CCAD" w14:textId="77777777" w:rsidR="00AA225A" w:rsidRDefault="00AA225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399E1338" w:rsidR="00EE49E8" w:rsidRPr="00E06FD5" w:rsidRDefault="00EE49E8" w:rsidP="00806CAA">
          <w:pPr>
            <w:pStyle w:val="Header"/>
            <w:tabs>
              <w:tab w:val="left" w:pos="645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806CAA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434D1146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806CAA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FD0" w14:textId="77777777" w:rsidR="004811F8" w:rsidRDefault="004811F8">
      <w:r>
        <w:t>____________________</w:t>
      </w:r>
    </w:p>
  </w:footnote>
  <w:footnote w:type="continuationSeparator" w:id="0">
    <w:p w14:paraId="5AD217CC" w14:textId="77777777" w:rsidR="004811F8" w:rsidRDefault="004811F8">
      <w:r>
        <w:continuationSeparator/>
      </w:r>
    </w:p>
  </w:footnote>
  <w:footnote w:type="continuationNotice" w:id="1">
    <w:p w14:paraId="23B5E482" w14:textId="77777777" w:rsidR="00AA225A" w:rsidRDefault="00AA225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94B46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2E4230"/>
    <w:multiLevelType w:val="hybridMultilevel"/>
    <w:tmpl w:val="514A0B6A"/>
    <w:lvl w:ilvl="0" w:tplc="41D4E62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62122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178DC"/>
    <w:rsid w:val="000210D4"/>
    <w:rsid w:val="00036E85"/>
    <w:rsid w:val="00047917"/>
    <w:rsid w:val="00054F4B"/>
    <w:rsid w:val="0006007D"/>
    <w:rsid w:val="00063016"/>
    <w:rsid w:val="00066795"/>
    <w:rsid w:val="000745AB"/>
    <w:rsid w:val="00076AF6"/>
    <w:rsid w:val="00085CF2"/>
    <w:rsid w:val="000B1705"/>
    <w:rsid w:val="000C1241"/>
    <w:rsid w:val="000D75B2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51DD"/>
    <w:rsid w:val="001C628E"/>
    <w:rsid w:val="001E0F7B"/>
    <w:rsid w:val="001F5569"/>
    <w:rsid w:val="002119FD"/>
    <w:rsid w:val="002130E0"/>
    <w:rsid w:val="00221F46"/>
    <w:rsid w:val="00264425"/>
    <w:rsid w:val="00265875"/>
    <w:rsid w:val="0027303B"/>
    <w:rsid w:val="0028109B"/>
    <w:rsid w:val="002A2188"/>
    <w:rsid w:val="002B1F58"/>
    <w:rsid w:val="002C1C7A"/>
    <w:rsid w:val="002C54E2"/>
    <w:rsid w:val="002D6EA0"/>
    <w:rsid w:val="0030160F"/>
    <w:rsid w:val="00320223"/>
    <w:rsid w:val="00322D0D"/>
    <w:rsid w:val="00361465"/>
    <w:rsid w:val="003877F5"/>
    <w:rsid w:val="003936D3"/>
    <w:rsid w:val="003942D4"/>
    <w:rsid w:val="003958A8"/>
    <w:rsid w:val="003B29C2"/>
    <w:rsid w:val="003C2533"/>
    <w:rsid w:val="003D5A7F"/>
    <w:rsid w:val="003E14C0"/>
    <w:rsid w:val="0040172E"/>
    <w:rsid w:val="0040435A"/>
    <w:rsid w:val="00405651"/>
    <w:rsid w:val="00415FDF"/>
    <w:rsid w:val="00416A24"/>
    <w:rsid w:val="00427BFF"/>
    <w:rsid w:val="004317DA"/>
    <w:rsid w:val="00431D9E"/>
    <w:rsid w:val="00433CE8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33D83"/>
    <w:rsid w:val="00564FBC"/>
    <w:rsid w:val="005800BC"/>
    <w:rsid w:val="00582442"/>
    <w:rsid w:val="005C3648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B77F1"/>
    <w:rsid w:val="006C5ECF"/>
    <w:rsid w:val="006C731E"/>
    <w:rsid w:val="006E142D"/>
    <w:rsid w:val="00702DEF"/>
    <w:rsid w:val="00706861"/>
    <w:rsid w:val="00722551"/>
    <w:rsid w:val="0075051B"/>
    <w:rsid w:val="0077110E"/>
    <w:rsid w:val="00793188"/>
    <w:rsid w:val="00794D34"/>
    <w:rsid w:val="007A3FCD"/>
    <w:rsid w:val="007B19CF"/>
    <w:rsid w:val="007D01AF"/>
    <w:rsid w:val="00806CAA"/>
    <w:rsid w:val="00813E5E"/>
    <w:rsid w:val="0083581B"/>
    <w:rsid w:val="00846FDE"/>
    <w:rsid w:val="008621F1"/>
    <w:rsid w:val="00863874"/>
    <w:rsid w:val="00864AFF"/>
    <w:rsid w:val="00865925"/>
    <w:rsid w:val="00890473"/>
    <w:rsid w:val="008A660E"/>
    <w:rsid w:val="008B4A6A"/>
    <w:rsid w:val="008C7E27"/>
    <w:rsid w:val="008F7448"/>
    <w:rsid w:val="0090147A"/>
    <w:rsid w:val="009173EF"/>
    <w:rsid w:val="00932906"/>
    <w:rsid w:val="00961B0B"/>
    <w:rsid w:val="00962D33"/>
    <w:rsid w:val="009B08F2"/>
    <w:rsid w:val="009B38C3"/>
    <w:rsid w:val="009E17BD"/>
    <w:rsid w:val="009E459E"/>
    <w:rsid w:val="009E485A"/>
    <w:rsid w:val="009F0B68"/>
    <w:rsid w:val="00A00883"/>
    <w:rsid w:val="00A04CEC"/>
    <w:rsid w:val="00A23C23"/>
    <w:rsid w:val="00A27F92"/>
    <w:rsid w:val="00A32257"/>
    <w:rsid w:val="00A36D20"/>
    <w:rsid w:val="00A514A4"/>
    <w:rsid w:val="00A55622"/>
    <w:rsid w:val="00A83502"/>
    <w:rsid w:val="00A94BAB"/>
    <w:rsid w:val="00AA225A"/>
    <w:rsid w:val="00AD15B3"/>
    <w:rsid w:val="00AD3606"/>
    <w:rsid w:val="00AD4A3D"/>
    <w:rsid w:val="00AD677D"/>
    <w:rsid w:val="00AF6E49"/>
    <w:rsid w:val="00B04A67"/>
    <w:rsid w:val="00B0583C"/>
    <w:rsid w:val="00B40A81"/>
    <w:rsid w:val="00B44910"/>
    <w:rsid w:val="00B61DC3"/>
    <w:rsid w:val="00B72267"/>
    <w:rsid w:val="00B76EB6"/>
    <w:rsid w:val="00B7737B"/>
    <w:rsid w:val="00B824C8"/>
    <w:rsid w:val="00B84B9D"/>
    <w:rsid w:val="00B9131F"/>
    <w:rsid w:val="00BB0646"/>
    <w:rsid w:val="00BC1016"/>
    <w:rsid w:val="00BC251A"/>
    <w:rsid w:val="00BD032B"/>
    <w:rsid w:val="00BE01C6"/>
    <w:rsid w:val="00BE2640"/>
    <w:rsid w:val="00BE5B99"/>
    <w:rsid w:val="00BF1FDE"/>
    <w:rsid w:val="00C01189"/>
    <w:rsid w:val="00C0458D"/>
    <w:rsid w:val="00C05922"/>
    <w:rsid w:val="00C374DE"/>
    <w:rsid w:val="00C47AD4"/>
    <w:rsid w:val="00C52D81"/>
    <w:rsid w:val="00C55198"/>
    <w:rsid w:val="00C6520B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65041"/>
    <w:rsid w:val="00DA0502"/>
    <w:rsid w:val="00DB1936"/>
    <w:rsid w:val="00DB384B"/>
    <w:rsid w:val="00DD11ED"/>
    <w:rsid w:val="00DF0189"/>
    <w:rsid w:val="00DF26C9"/>
    <w:rsid w:val="00E06FD5"/>
    <w:rsid w:val="00E10E80"/>
    <w:rsid w:val="00E124F0"/>
    <w:rsid w:val="00E227F3"/>
    <w:rsid w:val="00E322D1"/>
    <w:rsid w:val="00E545C6"/>
    <w:rsid w:val="00E60F04"/>
    <w:rsid w:val="00E65B24"/>
    <w:rsid w:val="00E74BC2"/>
    <w:rsid w:val="00E854E4"/>
    <w:rsid w:val="00E86DBF"/>
    <w:rsid w:val="00E969AF"/>
    <w:rsid w:val="00EB0D6F"/>
    <w:rsid w:val="00EB2232"/>
    <w:rsid w:val="00EC5337"/>
    <w:rsid w:val="00ED4AE6"/>
    <w:rsid w:val="00EE49E8"/>
    <w:rsid w:val="00F02FBB"/>
    <w:rsid w:val="00F14254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94A63"/>
    <w:rsid w:val="00FA1C28"/>
    <w:rsid w:val="00FB1279"/>
    <w:rsid w:val="00FB6B76"/>
    <w:rsid w:val="00FB7596"/>
    <w:rsid w:val="00FC5DBD"/>
    <w:rsid w:val="00FE4077"/>
    <w:rsid w:val="00FE500D"/>
    <w:rsid w:val="00FE77D2"/>
    <w:rsid w:val="00FF26C9"/>
    <w:rsid w:val="00FF39B1"/>
    <w:rsid w:val="31469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99"/>
    <w:qFormat/>
    <w:rsid w:val="009E45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eastAsia="SimSun" w:cs="Calibri"/>
      <w:sz w:val="22"/>
      <w:szCs w:val="22"/>
    </w:rPr>
  </w:style>
  <w:style w:type="paragraph" w:styleId="Revision">
    <w:name w:val="Revision"/>
    <w:hidden/>
    <w:uiPriority w:val="99"/>
    <w:semiHidden/>
    <w:rsid w:val="009E459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5-CL-C-0018/en" TargetMode="External"/><Relationship Id="rId21" Type="http://schemas.openxmlformats.org/officeDocument/2006/relationships/hyperlink" Target="https://www.itu.int/md/S25-CL-C-0008/en" TargetMode="External"/><Relationship Id="rId42" Type="http://schemas.openxmlformats.org/officeDocument/2006/relationships/hyperlink" Target="https://www.itu.int/md/S25-CL-C-0058/en" TargetMode="External"/><Relationship Id="rId47" Type="http://schemas.openxmlformats.org/officeDocument/2006/relationships/hyperlink" Target="https://www.itu.int/md/S25-CL-C-0003/en" TargetMode="External"/><Relationship Id="rId63" Type="http://schemas.openxmlformats.org/officeDocument/2006/relationships/hyperlink" Target="https://www.itu.int/md/S25-CL-C-0034/en" TargetMode="External"/><Relationship Id="rId68" Type="http://schemas.openxmlformats.org/officeDocument/2006/relationships/hyperlink" Target="https://www.itu.int/md/S25-CL-C-0040/en" TargetMode="External"/><Relationship Id="rId84" Type="http://schemas.openxmlformats.org/officeDocument/2006/relationships/hyperlink" Target="https://www.itu.int/md/S25-CL-INF-0002/en" TargetMode="External"/><Relationship Id="rId89" Type="http://schemas.openxmlformats.org/officeDocument/2006/relationships/hyperlink" Target="https://www.itu.int/md/S25-CL-INF-0007/en" TargetMode="External"/><Relationship Id="rId16" Type="http://schemas.openxmlformats.org/officeDocument/2006/relationships/hyperlink" Target="https://www.itu.int/md/S25-CL-C-0015/en" TargetMode="External"/><Relationship Id="rId11" Type="http://schemas.openxmlformats.org/officeDocument/2006/relationships/hyperlink" Target="https://www.itu.int/md/S25-CL-C-0035/en" TargetMode="External"/><Relationship Id="rId32" Type="http://schemas.openxmlformats.org/officeDocument/2006/relationships/hyperlink" Target="https://www.itu.int/md/S25-CL-C-0017/en" TargetMode="External"/><Relationship Id="rId37" Type="http://schemas.openxmlformats.org/officeDocument/2006/relationships/hyperlink" Target="https://www.itu.int/md/S25-CL-C-0024/en" TargetMode="External"/><Relationship Id="rId53" Type="http://schemas.openxmlformats.org/officeDocument/2006/relationships/hyperlink" Target="https://www.itu.int/md/S25-CL-C-0013/en" TargetMode="External"/><Relationship Id="rId58" Type="http://schemas.openxmlformats.org/officeDocument/2006/relationships/hyperlink" Target="https://www.itu.int/md/S25-CL-C-0009/en" TargetMode="External"/><Relationship Id="rId74" Type="http://schemas.openxmlformats.org/officeDocument/2006/relationships/hyperlink" Target="https://www.itu.int/md/S25-CL-C-0049/en" TargetMode="External"/><Relationship Id="rId79" Type="http://schemas.openxmlformats.org/officeDocument/2006/relationships/hyperlink" Target="https://www.itu.int/md/S25-CL-C-0007/en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itu.int/md/S25-CL-INF-0009/en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itu.int/md/S25-CL-C-0061/en" TargetMode="External"/><Relationship Id="rId27" Type="http://schemas.openxmlformats.org/officeDocument/2006/relationships/hyperlink" Target="https://www.itu.int/md/S25-CL-C-0006/en" TargetMode="External"/><Relationship Id="rId43" Type="http://schemas.openxmlformats.org/officeDocument/2006/relationships/hyperlink" Target="https://www.itu.int/md/S25-CL-C-0019/en" TargetMode="External"/><Relationship Id="rId48" Type="http://schemas.openxmlformats.org/officeDocument/2006/relationships/hyperlink" Target="https://www.itu.int/md/S25-CL-C-0067/en" TargetMode="External"/><Relationship Id="rId64" Type="http://schemas.openxmlformats.org/officeDocument/2006/relationships/hyperlink" Target="https://www.itu.int/md/S25-CL-C-0046/en" TargetMode="External"/><Relationship Id="rId69" Type="http://schemas.openxmlformats.org/officeDocument/2006/relationships/hyperlink" Target="https://www.itu.int/md/S25-CL-C-0041/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S25-CL-C-0062/en" TargetMode="External"/><Relationship Id="rId72" Type="http://schemas.openxmlformats.org/officeDocument/2006/relationships/hyperlink" Target="https://www.itu.int/md/S25-CL-C-0039/en" TargetMode="External"/><Relationship Id="rId80" Type="http://schemas.openxmlformats.org/officeDocument/2006/relationships/hyperlink" Target="https://www.itu.int/md/S25-CL-C-0048/en" TargetMode="External"/><Relationship Id="rId85" Type="http://schemas.openxmlformats.org/officeDocument/2006/relationships/hyperlink" Target="https://www.itu.int/md/S25-CL-INF-0003/en" TargetMode="External"/><Relationship Id="rId93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S25-CL-C-0055/en" TargetMode="External"/><Relationship Id="rId17" Type="http://schemas.openxmlformats.org/officeDocument/2006/relationships/hyperlink" Target="https://www.itu.int/md/S25-CL-C-0012/en" TargetMode="External"/><Relationship Id="rId25" Type="http://schemas.openxmlformats.org/officeDocument/2006/relationships/hyperlink" Target="https://www.itu.int/md/S25-CL-C-0033/en" TargetMode="External"/><Relationship Id="rId33" Type="http://schemas.openxmlformats.org/officeDocument/2006/relationships/hyperlink" Target="https://www.itu.int/md/S25-CL-C-0068/en" TargetMode="External"/><Relationship Id="rId38" Type="http://schemas.openxmlformats.org/officeDocument/2006/relationships/hyperlink" Target="https://www.itu.int/md/S25-CL-C-0030/en" TargetMode="External"/><Relationship Id="rId46" Type="http://schemas.openxmlformats.org/officeDocument/2006/relationships/hyperlink" Target="https://www.itu.int/md/S25-CL-C-0037/en" TargetMode="External"/><Relationship Id="rId59" Type="http://schemas.openxmlformats.org/officeDocument/2006/relationships/hyperlink" Target="https://www.itu.int/md/S25-CL-C-0059/en" TargetMode="External"/><Relationship Id="rId67" Type="http://schemas.openxmlformats.org/officeDocument/2006/relationships/hyperlink" Target="https://www.itu.int/md/S25-CL-C-0020/en" TargetMode="External"/><Relationship Id="rId20" Type="http://schemas.openxmlformats.org/officeDocument/2006/relationships/hyperlink" Target="https://www.itu.int/md/S25-CL-C-0031/en" TargetMode="External"/><Relationship Id="rId41" Type="http://schemas.openxmlformats.org/officeDocument/2006/relationships/hyperlink" Target="https://www.itu.int/md/S25-CL-C-0029/en" TargetMode="External"/><Relationship Id="rId54" Type="http://schemas.openxmlformats.org/officeDocument/2006/relationships/hyperlink" Target="https://www.itu.int/md/S25-CL-C-0010/en" TargetMode="External"/><Relationship Id="rId62" Type="http://schemas.openxmlformats.org/officeDocument/2006/relationships/hyperlink" Target="https://www.itu.int/md/S25-CL-C-0038/en" TargetMode="External"/><Relationship Id="rId70" Type="http://schemas.openxmlformats.org/officeDocument/2006/relationships/hyperlink" Target="https://www.itu.int/md/S25-CL-C-0042/en" TargetMode="External"/><Relationship Id="rId75" Type="http://schemas.openxmlformats.org/officeDocument/2006/relationships/hyperlink" Target="https://www.itu.int/md/S25-CL-C-0022/en" TargetMode="External"/><Relationship Id="rId83" Type="http://schemas.openxmlformats.org/officeDocument/2006/relationships/hyperlink" Target="https://www.itu.int/md/S25-CL-INF-0001/en" TargetMode="External"/><Relationship Id="rId88" Type="http://schemas.openxmlformats.org/officeDocument/2006/relationships/hyperlink" Target="https://www.itu.int/md/S25-CL-INF-0006/en" TargetMode="External"/><Relationship Id="rId91" Type="http://schemas.openxmlformats.org/officeDocument/2006/relationships/hyperlink" Target="https://www.itu.int/md/S25-CL-INF-0008/en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S25-CL-C-0025/en" TargetMode="External"/><Relationship Id="rId23" Type="http://schemas.openxmlformats.org/officeDocument/2006/relationships/hyperlink" Target="https://www.itu.int/md/S25-CL-C-0053/en" TargetMode="External"/><Relationship Id="rId28" Type="http://schemas.openxmlformats.org/officeDocument/2006/relationships/hyperlink" Target="https://www.itu.int/md/S25-CL-C-0032/en" TargetMode="External"/><Relationship Id="rId36" Type="http://schemas.openxmlformats.org/officeDocument/2006/relationships/hyperlink" Target="https://www.itu.int/md/S25-CL-C-0045/en" TargetMode="External"/><Relationship Id="rId49" Type="http://schemas.openxmlformats.org/officeDocument/2006/relationships/hyperlink" Target="https://www.itu.int/md/S25-CL-C-0050/en" TargetMode="External"/><Relationship Id="rId57" Type="http://schemas.openxmlformats.org/officeDocument/2006/relationships/hyperlink" Target="https://www.itu.int/md/S25-CL-C-0074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S25-CL-C-0056/en" TargetMode="External"/><Relationship Id="rId44" Type="http://schemas.openxmlformats.org/officeDocument/2006/relationships/hyperlink" Target="https://www.itu.int/md/S25-CL-C-0021/en" TargetMode="External"/><Relationship Id="rId52" Type="http://schemas.openxmlformats.org/officeDocument/2006/relationships/hyperlink" Target="https://www.itu.int/md/S25-CL-C-0043/en" TargetMode="External"/><Relationship Id="rId60" Type="http://schemas.openxmlformats.org/officeDocument/2006/relationships/hyperlink" Target="https://www.itu.int/md/S25-CL-C-0011/en" TargetMode="External"/><Relationship Id="rId65" Type="http://schemas.openxmlformats.org/officeDocument/2006/relationships/hyperlink" Target="https://www.itu.int/md/S25-CL-C-0054/en" TargetMode="External"/><Relationship Id="rId73" Type="http://schemas.openxmlformats.org/officeDocument/2006/relationships/hyperlink" Target="https://www.itu.int/md/S25-CL-C-0014/en" TargetMode="External"/><Relationship Id="rId78" Type="http://schemas.openxmlformats.org/officeDocument/2006/relationships/hyperlink" Target="https://www.itu.int/md/S25-CL-C-0023/en" TargetMode="External"/><Relationship Id="rId81" Type="http://schemas.openxmlformats.org/officeDocument/2006/relationships/hyperlink" Target="https://www.itu.int/md/S25-CL-C-0063/en" TargetMode="External"/><Relationship Id="rId86" Type="http://schemas.openxmlformats.org/officeDocument/2006/relationships/hyperlink" Target="https://www.itu.int/md/S25-CL-INF-0004/en" TargetMode="External"/><Relationship Id="rId9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S25-CL-C-0027/en" TargetMode="External"/><Relationship Id="rId18" Type="http://schemas.openxmlformats.org/officeDocument/2006/relationships/hyperlink" Target="https://www.itu.int/md/S25-CL-C-0051/en" TargetMode="External"/><Relationship Id="rId39" Type="http://schemas.openxmlformats.org/officeDocument/2006/relationships/hyperlink" Target="https://www.itu.int/md/S25-CL-C-0005/en" TargetMode="External"/><Relationship Id="rId34" Type="http://schemas.openxmlformats.org/officeDocument/2006/relationships/hyperlink" Target="https://www.itu.int/md/S25-CL-C-0071/en" TargetMode="External"/><Relationship Id="rId50" Type="http://schemas.openxmlformats.org/officeDocument/2006/relationships/hyperlink" Target="https://www.itu.int/md/S25-CL-C-0069/en" TargetMode="External"/><Relationship Id="rId55" Type="http://schemas.openxmlformats.org/officeDocument/2006/relationships/hyperlink" Target="https://www.itu.int/md/S25-CL-C-0016/en" TargetMode="External"/><Relationship Id="rId76" Type="http://schemas.openxmlformats.org/officeDocument/2006/relationships/hyperlink" Target="https://www.itu.int/md/S25-CL-C-0057/en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S25-CL-C-0044/en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S25-CL-C-0070/en" TargetMode="External"/><Relationship Id="rId24" Type="http://schemas.openxmlformats.org/officeDocument/2006/relationships/hyperlink" Target="https://www.itu.int/md/S25-CL-C-0052/en" TargetMode="External"/><Relationship Id="rId40" Type="http://schemas.openxmlformats.org/officeDocument/2006/relationships/hyperlink" Target="https://www.itu.int/md/S25-CL-C-0004/en" TargetMode="External"/><Relationship Id="rId45" Type="http://schemas.openxmlformats.org/officeDocument/2006/relationships/hyperlink" Target="https://www.itu.int/md/S25-CL-C-0002/en" TargetMode="External"/><Relationship Id="rId66" Type="http://schemas.openxmlformats.org/officeDocument/2006/relationships/hyperlink" Target="https://www.itu.int/md/S25-CL-C-0065/en" TargetMode="External"/><Relationship Id="rId87" Type="http://schemas.openxmlformats.org/officeDocument/2006/relationships/hyperlink" Target="https://www.itu.int/md/S25-CL-INF-0005/en" TargetMode="External"/><Relationship Id="rId61" Type="http://schemas.openxmlformats.org/officeDocument/2006/relationships/hyperlink" Target="https://www.itu.int/md/S25-CL-C-0047/en" TargetMode="External"/><Relationship Id="rId82" Type="http://schemas.openxmlformats.org/officeDocument/2006/relationships/hyperlink" Target="https://www.itu.int/md/S25-CL-C-0060/en" TargetMode="External"/><Relationship Id="rId19" Type="http://schemas.openxmlformats.org/officeDocument/2006/relationships/hyperlink" Target="https://www.itu.int/md/S25-CL-C-0026/en" TargetMode="External"/><Relationship Id="rId14" Type="http://schemas.openxmlformats.org/officeDocument/2006/relationships/hyperlink" Target="https://www.itu.int/md/S25-CL-C-0028/en" TargetMode="External"/><Relationship Id="rId30" Type="http://schemas.openxmlformats.org/officeDocument/2006/relationships/hyperlink" Target="https://www.itu.int/md/S25-CL-C-0036/en" TargetMode="External"/><Relationship Id="rId35" Type="http://schemas.openxmlformats.org/officeDocument/2006/relationships/hyperlink" Target="https://www.itu.int/md/S25-CL-C-0072/en" TargetMode="External"/><Relationship Id="rId56" Type="http://schemas.openxmlformats.org/officeDocument/2006/relationships/hyperlink" Target="https://www.itu.int/md/S25-CL-C-0064/en" TargetMode="External"/><Relationship Id="rId77" Type="http://schemas.openxmlformats.org/officeDocument/2006/relationships/hyperlink" Target="https://www.itu.int/md/S25-CL-C-006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2F2AC-2255-4DBF-9278-6619577B4509}">
  <ds:schemaRefs>
    <ds:schemaRef ds:uri="http://schemas.microsoft.com/office/2006/documentManagement/types"/>
    <ds:schemaRef ds:uri="http://schemas.openxmlformats.org/package/2006/metadata/core-properties"/>
    <ds:schemaRef ds:uri="a1cf676c-2816-4389-ad5d-0f2e7c7e67c4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7</TotalTime>
  <Pages>4</Pages>
  <Words>1050</Words>
  <Characters>11111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2025 session of the ITU Council</dc:title>
  <dc:subject>Council 2025</dc:subject>
  <dc:creator>LRT</dc:creator>
  <cp:keywords>C25; C2025; Council 2025; ITU160</cp:keywords>
  <dc:description/>
  <cp:lastModifiedBy>GBS</cp:lastModifiedBy>
  <cp:revision>4</cp:revision>
  <cp:lastPrinted>2000-07-18T13:30:00Z</cp:lastPrinted>
  <dcterms:created xsi:type="dcterms:W3CDTF">2025-05-22T14:57:00Z</dcterms:created>
  <dcterms:modified xsi:type="dcterms:W3CDTF">2025-05-22T14:59:00Z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