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6C15" w14:textId="154E571F" w:rsidR="00756188" w:rsidRDefault="00756188"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bookmarkStart w:id="0" w:name="_Hlk182852311"/>
      <w:r>
        <w:rPr>
          <w:noProof/>
        </w:rPr>
        <w:drawing>
          <wp:inline distT="0" distB="0" distL="0" distR="0" wp14:anchorId="7970EC8B" wp14:editId="62694068">
            <wp:extent cx="604800" cy="669600"/>
            <wp:effectExtent l="0" t="0" r="5080" b="0"/>
            <wp:docPr id="10605280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28048" name="Picture 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800" cy="669600"/>
                    </a:xfrm>
                    <a:prstGeom prst="rect">
                      <a:avLst/>
                    </a:prstGeom>
                  </pic:spPr>
                </pic:pic>
              </a:graphicData>
            </a:graphic>
          </wp:inline>
        </w:drawing>
      </w:r>
    </w:p>
    <w:p w14:paraId="712A0D44" w14:textId="1F3686D4" w:rsidR="00756188" w:rsidRPr="00756188" w:rsidRDefault="006735B9" w:rsidP="00756188">
      <w:pPr>
        <w:tabs>
          <w:tab w:val="clear" w:pos="567"/>
          <w:tab w:val="clear" w:pos="1134"/>
          <w:tab w:val="clear" w:pos="1701"/>
          <w:tab w:val="clear" w:pos="2268"/>
          <w:tab w:val="clear" w:pos="2835"/>
        </w:tabs>
        <w:overflowPunct/>
        <w:autoSpaceDE/>
        <w:autoSpaceDN/>
        <w:adjustRightInd/>
        <w:spacing w:before="160"/>
        <w:jc w:val="right"/>
        <w:textAlignment w:val="auto"/>
        <w:rPr>
          <w:rFonts w:asciiTheme="minorHAnsi" w:eastAsiaTheme="minorEastAsia" w:hAnsiTheme="minorHAnsi" w:cstheme="minorBidi"/>
          <w:szCs w:val="22"/>
          <w:lang w:eastAsia="zh-CN"/>
        </w:rPr>
      </w:pPr>
      <w:r>
        <w:rPr>
          <w:rFonts w:asciiTheme="minorHAnsi" w:eastAsiaTheme="minorEastAsia" w:hAnsiTheme="minorHAnsi" w:cstheme="minorBidi"/>
          <w:szCs w:val="22"/>
          <w:lang w:eastAsia="zh-CN"/>
        </w:rPr>
        <w:t>3 November</w:t>
      </w:r>
      <w:r w:rsidR="00756188" w:rsidRPr="00756188">
        <w:rPr>
          <w:rFonts w:asciiTheme="minorHAnsi" w:eastAsiaTheme="minorEastAsia" w:hAnsiTheme="minorHAnsi" w:cstheme="minorBidi"/>
          <w:szCs w:val="22"/>
          <w:lang w:eastAsia="zh-CN"/>
        </w:rPr>
        <w:t xml:space="preserve"> 2025</w:t>
      </w:r>
    </w:p>
    <w:p w14:paraId="754BD6DF" w14:textId="0D1140BE" w:rsidR="00756188" w:rsidRPr="00756188" w:rsidRDefault="00344520" w:rsidP="00756188">
      <w:pPr>
        <w:keepNext/>
        <w:keepLines/>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eastAsiaTheme="minorEastAsia" w:hAnsiTheme="minorHAnsi" w:cstheme="minorBidi"/>
          <w:bCs/>
          <w:color w:val="4F81BD" w:themeColor="accent1"/>
          <w:sz w:val="28"/>
          <w:szCs w:val="22"/>
          <w:lang w:eastAsia="zh-CN"/>
        </w:rPr>
      </w:pPr>
      <w:r>
        <w:rPr>
          <w:rFonts w:asciiTheme="minorHAnsi" w:eastAsiaTheme="minorEastAsia" w:hAnsiTheme="minorHAnsi" w:cstheme="minorHAnsi"/>
          <w:b/>
          <w:color w:val="4F81BD" w:themeColor="accent1"/>
          <w:sz w:val="28"/>
          <w:szCs w:val="22"/>
          <w:lang w:eastAsia="zh-CN"/>
        </w:rPr>
        <w:t>Fourth</w:t>
      </w:r>
      <w:r w:rsidR="00756188" w:rsidRPr="00756188">
        <w:rPr>
          <w:rFonts w:asciiTheme="minorHAnsi" w:eastAsiaTheme="minorEastAsia" w:hAnsiTheme="minorHAnsi" w:cstheme="minorHAnsi"/>
          <w:b/>
          <w:color w:val="4F81BD" w:themeColor="accent1"/>
          <w:sz w:val="28"/>
          <w:szCs w:val="22"/>
          <w:lang w:eastAsia="zh-CN"/>
        </w:rPr>
        <w:t xml:space="preserve"> draft Report by the ITU Secretary-General</w:t>
      </w:r>
      <w:r w:rsidR="00756188" w:rsidRPr="00756188">
        <w:rPr>
          <w:rFonts w:asciiTheme="minorHAnsi" w:eastAsiaTheme="minorEastAsia" w:hAnsiTheme="minorHAnsi" w:cstheme="minorBidi"/>
          <w:b/>
          <w:color w:val="4F81BD" w:themeColor="accent1"/>
          <w:sz w:val="28"/>
          <w:szCs w:val="22"/>
          <w:lang w:eastAsia="zh-CN"/>
        </w:rPr>
        <w:t xml:space="preserve"> </w:t>
      </w:r>
      <w:r w:rsidR="00756188" w:rsidRPr="00756188">
        <w:rPr>
          <w:rFonts w:asciiTheme="minorHAnsi" w:eastAsiaTheme="minorEastAsia" w:hAnsiTheme="minorHAnsi" w:cstheme="minorBidi"/>
          <w:b/>
          <w:color w:val="4F81BD" w:themeColor="accent1"/>
          <w:sz w:val="28"/>
          <w:szCs w:val="22"/>
          <w:lang w:eastAsia="zh-CN"/>
        </w:rPr>
        <w:br/>
      </w:r>
      <w:r w:rsidR="00756188" w:rsidRPr="00756188">
        <w:rPr>
          <w:rFonts w:asciiTheme="minorHAnsi" w:eastAsiaTheme="minorEastAsia" w:hAnsiTheme="minorHAnsi" w:cstheme="minorBidi"/>
          <w:bCs/>
          <w:color w:val="4F81BD" w:themeColor="accent1"/>
          <w:sz w:val="28"/>
          <w:szCs w:val="22"/>
          <w:lang w:eastAsia="zh-CN"/>
        </w:rPr>
        <w:t xml:space="preserve">for the World Telecommunication/Information and Communication </w:t>
      </w:r>
      <w:r w:rsidR="00756188" w:rsidRPr="00756188">
        <w:rPr>
          <w:rFonts w:asciiTheme="minorHAnsi" w:eastAsiaTheme="minorEastAsia" w:hAnsiTheme="minorHAnsi" w:cstheme="minorBidi"/>
          <w:bCs/>
          <w:color w:val="4F81BD" w:themeColor="accent1"/>
          <w:sz w:val="28"/>
          <w:szCs w:val="22"/>
          <w:lang w:eastAsia="zh-CN"/>
        </w:rPr>
        <w:br/>
        <w:t>Technology Policy Forum 2026</w:t>
      </w:r>
    </w:p>
    <w:p w14:paraId="797F1BE0"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The Seventh World Telecommunication/Information and Communication Technology Policy Forum 2026 (WTPF-26)</w:t>
      </w:r>
    </w:p>
    <w:p w14:paraId="1C5D4BC0"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Originally established by the Plenipotentiary Conference (Kyoto, 1994) of the International Telecommunication Union (ITU), the World Telecommunication/Information and Communication Technology Policy Forum (WTPF) </w:t>
      </w:r>
      <w:proofErr w:type="gramStart"/>
      <w:r w:rsidRPr="00756188">
        <w:rPr>
          <w:rFonts w:asciiTheme="minorHAnsi" w:eastAsiaTheme="minorEastAsia" w:hAnsiTheme="minorHAnsi" w:cstheme="minorBidi"/>
          <w:szCs w:val="28"/>
          <w:lang w:eastAsia="zh-CN"/>
        </w:rPr>
        <w:t>has</w:t>
      </w:r>
      <w:proofErr w:type="gramEnd"/>
      <w:r w:rsidRPr="00756188">
        <w:rPr>
          <w:rFonts w:asciiTheme="minorHAnsi" w:eastAsiaTheme="minorEastAsia" w:hAnsiTheme="minorHAnsi" w:cstheme="minorBidi"/>
          <w:szCs w:val="28"/>
          <w:lang w:eastAsia="zh-CN"/>
        </w:rPr>
        <w:t xml:space="preserve"> been successfully convened in 1996, 1998, 2001, 2009, 2013 and 2021. By its </w:t>
      </w:r>
      <w:hyperlink r:id="rId9">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 xml:space="preserve">, the Plenipotentiary Conference of the ITU resolved to hold the next WTPF in 2026. </w:t>
      </w:r>
    </w:p>
    <w:p w14:paraId="422FC377"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0" w:history="1">
        <w:r w:rsidRPr="00756188">
          <w:rPr>
            <w:rFonts w:asciiTheme="minorHAnsi" w:eastAsiaTheme="minorEastAsia" w:hAnsiTheme="minorHAnsi" w:cstheme="minorBidi"/>
            <w:szCs w:val="28"/>
            <w:lang w:eastAsia="zh-CN"/>
          </w:rPr>
          <w:t>Resolution 2 (Rev. Bucharest, 2022)</w:t>
        </w:r>
      </w:hyperlink>
      <w:r w:rsidRPr="00756188">
        <w:rPr>
          <w:rFonts w:asciiTheme="minorHAnsi" w:eastAsiaTheme="minorEastAsia" w:hAnsiTheme="minorHAnsi" w:cstheme="minorBidi"/>
          <w:szCs w:val="28"/>
          <w:lang w:eastAsia="zh-CN"/>
        </w:rPr>
        <w:t>.</w:t>
      </w:r>
    </w:p>
    <w:p w14:paraId="3D6A8758"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HAnsi"/>
          <w:szCs w:val="28"/>
          <w:lang w:eastAsia="zh-CN"/>
        </w:rPr>
      </w:pPr>
      <w:r w:rsidRPr="00756188">
        <w:rPr>
          <w:rFonts w:asciiTheme="minorHAnsi" w:eastAsiaTheme="minorEastAsia" w:hAnsiTheme="minorHAnsi" w:cstheme="minorBidi"/>
          <w:szCs w:val="28"/>
          <w:lang w:eastAsia="zh-CN"/>
        </w:rPr>
        <w:t xml:space="preserve">By its </w:t>
      </w:r>
      <w:hyperlink r:id="rId11" w:history="1">
        <w:r w:rsidRPr="00756188">
          <w:rPr>
            <w:rFonts w:asciiTheme="minorHAnsi" w:eastAsiaTheme="minorEastAsia" w:hAnsiTheme="minorHAnsi" w:cstheme="minorHAnsi"/>
            <w:szCs w:val="28"/>
            <w:lang w:eastAsia="zh-CN"/>
          </w:rPr>
          <w:t>Decision 641 (Rev. Council 2024)</w:t>
        </w:r>
      </w:hyperlink>
      <w:r w:rsidRPr="00756188">
        <w:rPr>
          <w:rFonts w:asciiTheme="minorHAnsi" w:eastAsiaTheme="minorEastAsia" w:hAnsiTheme="minorHAnsi" w:cstheme="minorBidi"/>
          <w:szCs w:val="28"/>
          <w:lang w:eastAsia="zh-CN"/>
        </w:rPr>
        <w:t xml:space="preserve">, the ITU Council decided that </w:t>
      </w:r>
      <w:r w:rsidRPr="00756188">
        <w:rPr>
          <w:rFonts w:asciiTheme="minorHAnsi" w:eastAsiaTheme="minorEastAsia" w:hAnsiTheme="minorHAnsi" w:cstheme="minorHAnsi"/>
          <w:szCs w:val="28"/>
          <w:lang w:eastAsia="zh-CN"/>
        </w:rPr>
        <w:t>the theme for WTPF-26 is as follows:</w:t>
      </w:r>
    </w:p>
    <w:p w14:paraId="3AD7100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iCs/>
          <w:szCs w:val="22"/>
          <w:lang w:eastAsia="zh-CN"/>
        </w:rPr>
      </w:pPr>
      <w:r w:rsidRPr="00756188">
        <w:rPr>
          <w:rFonts w:asciiTheme="minorHAnsi" w:eastAsiaTheme="minorEastAsia" w:hAnsiTheme="minorHAnsi" w:cstheme="minorBidi"/>
          <w:szCs w:val="22"/>
          <w:lang w:eastAsia="zh-CN"/>
        </w:rPr>
        <w:tab/>
        <w:t>“</w:t>
      </w:r>
      <w:r w:rsidRPr="00756188">
        <w:rPr>
          <w:rFonts w:asciiTheme="minorHAnsi" w:eastAsiaTheme="minorEastAsia" w:hAnsiTheme="minorHAnsi" w:cstheme="minorBidi"/>
          <w:b/>
          <w:i/>
          <w:szCs w:val="22"/>
          <w:lang w:eastAsia="zh-CN"/>
        </w:rPr>
        <w:t>Accelerating an inclusive, sustainable, resilient, and innovative digital future</w:t>
      </w:r>
      <w:r w:rsidRPr="00756188">
        <w:rPr>
          <w:rFonts w:asciiTheme="minorHAnsi" w:eastAsiaTheme="minorEastAsia" w:hAnsiTheme="minorHAnsi" w:cstheme="minorBidi"/>
          <w:szCs w:val="22"/>
          <w:lang w:eastAsia="zh-CN"/>
        </w:rPr>
        <w:t>: In this regard, the WTPF-26 will discuss opportunities, challenges and policies to address the following:</w:t>
      </w:r>
    </w:p>
    <w:p w14:paraId="678E2325"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bridging digital divides, particularly on gender and age as well as skills and connectivity</w:t>
      </w:r>
    </w:p>
    <w:p w14:paraId="52E73D6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green digital transformation: climate change and environmental sustainability</w:t>
      </w:r>
    </w:p>
    <w:p w14:paraId="0C2B4EAB"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resilience of telecommunication/ICTs</w:t>
      </w:r>
    </w:p>
    <w:p w14:paraId="7475BD13"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space connectivity </w:t>
      </w:r>
    </w:p>
    <w:p w14:paraId="63E382A1"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strengthening ICT-centric innovation ecosystems and entrepreneurship”</w:t>
      </w:r>
    </w:p>
    <w:p w14:paraId="2A1736BA"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lastRenderedPageBreak/>
        <w:t>WTPF-26 shall not produce prescriptive regulatory outcomes; however, it shall prepare reports and adopt non-</w:t>
      </w:r>
      <w:r w:rsidRPr="00756188">
        <w:rPr>
          <w:rFonts w:asciiTheme="minorHAnsi" w:eastAsiaTheme="minorEastAsia" w:hAnsiTheme="minorHAnsi" w:cstheme="minorHAnsi"/>
          <w:szCs w:val="28"/>
          <w:lang w:eastAsia="zh-CN"/>
        </w:rPr>
        <w:t>binding</w:t>
      </w:r>
      <w:r w:rsidRPr="00756188">
        <w:rPr>
          <w:rFonts w:asciiTheme="minorHAnsi" w:eastAsiaTheme="minorEastAsia" w:hAnsiTheme="minorHAnsi" w:cstheme="minorBidi"/>
          <w:szCs w:val="28"/>
          <w:lang w:eastAsia="zh-CN"/>
        </w:rPr>
        <w:t xml:space="preserve"> opinions by consensus for consideration by Member States, Sector Members, and relevant ITU meetings as per </w:t>
      </w:r>
      <w:hyperlink r:id="rId12">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 xml:space="preserve">. </w:t>
      </w:r>
    </w:p>
    <w:p w14:paraId="579B480C"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More </w:t>
      </w:r>
      <w:r w:rsidRPr="00756188">
        <w:rPr>
          <w:rFonts w:asciiTheme="minorHAnsi" w:eastAsiaTheme="minorEastAsia" w:hAnsiTheme="minorHAnsi" w:cstheme="minorHAnsi"/>
          <w:szCs w:val="28"/>
          <w:lang w:eastAsia="zh-CN"/>
        </w:rPr>
        <w:t>information</w:t>
      </w:r>
      <w:r w:rsidRPr="00756188">
        <w:rPr>
          <w:rFonts w:asciiTheme="minorHAnsi" w:eastAsiaTheme="minorEastAsia" w:hAnsiTheme="minorHAnsi" w:cstheme="minorBidi"/>
          <w:szCs w:val="28"/>
          <w:lang w:eastAsia="zh-CN"/>
        </w:rPr>
        <w:t xml:space="preserve"> relating to the preparatory process of WTPF-26 is posted on </w:t>
      </w:r>
      <w:hyperlink r:id="rId13" w:history="1">
        <w:r w:rsidRPr="00756188">
          <w:rPr>
            <w:rFonts w:asciiTheme="minorHAnsi" w:eastAsiaTheme="minorEastAsia" w:hAnsiTheme="minorHAnsi" w:cstheme="minorBidi"/>
            <w:color w:val="0000FF"/>
            <w:szCs w:val="28"/>
            <w:u w:val="single"/>
            <w:lang w:eastAsia="zh-CN"/>
          </w:rPr>
          <w:t>https://www.itu.int/en/council/Pages/ieg-wtpf-26.aspx</w:t>
        </w:r>
      </w:hyperlink>
      <w:r w:rsidRPr="00756188">
        <w:rPr>
          <w:rFonts w:asciiTheme="minorHAnsi" w:eastAsiaTheme="minorEastAsia" w:hAnsiTheme="minorHAnsi" w:cstheme="minorBidi"/>
          <w:szCs w:val="28"/>
          <w:lang w:eastAsia="zh-CN"/>
        </w:rPr>
        <w:t>.</w:t>
      </w:r>
    </w:p>
    <w:p w14:paraId="7B27E353"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Preparatory process for the ITU Secretary-General’s Report</w:t>
      </w:r>
    </w:p>
    <w:p w14:paraId="4448E7BB"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Discussions at WTPF-26 shall be based solely on a single report by the ITU Secretary-General, and contributions from participants based on that report, prepared in accordance with a procedure adopted by the Council and based on the proposals of Member States and Sector Members, and on the views of Associates, Academia and stakeholders, and WTPF shall not consider drafts of any new opinions that were not presented during the preparatory period foreseen for drawing up the Secretary-General’s report prior to the forum as set out in </w:t>
      </w:r>
      <w:hyperlink r:id="rId14" w:history="1">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w:t>
      </w:r>
    </w:p>
    <w:p w14:paraId="3BEEBF16"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In accordance with </w:t>
      </w:r>
      <w:hyperlink r:id="rId15" w:history="1">
        <w:r w:rsidRPr="00756188">
          <w:rPr>
            <w:rFonts w:asciiTheme="minorHAnsi" w:eastAsiaTheme="minorEastAsia" w:hAnsiTheme="minorHAnsi" w:cstheme="minorBidi"/>
            <w:color w:val="0000FF"/>
            <w:szCs w:val="28"/>
            <w:u w:val="single"/>
            <w:lang w:eastAsia="zh-CN"/>
          </w:rPr>
          <w:t>Decision 641 (Council 2024)</w:t>
        </w:r>
      </w:hyperlink>
      <w:r w:rsidRPr="00756188">
        <w:rPr>
          <w:rFonts w:asciiTheme="minorHAnsi" w:eastAsiaTheme="minorEastAsia" w:hAnsiTheme="minorHAnsi" w:cstheme="minorBidi"/>
          <w:szCs w:val="28"/>
          <w:lang w:eastAsia="zh-CN"/>
        </w:rPr>
        <w:t>, the ITU Secretary-General shall convene a balanced, informal group of experts (IEG), each of whom is active in preparing for WTPF-26 in his/her own country, to assist in this process. In this regard, a circular letter (</w:t>
      </w:r>
      <w:hyperlink r:id="rId16" w:history="1">
        <w:r w:rsidRPr="00756188">
          <w:rPr>
            <w:rFonts w:asciiTheme="minorHAnsi" w:eastAsiaTheme="minorEastAsia" w:hAnsiTheme="minorHAnsi" w:cstheme="minorBidi"/>
            <w:color w:val="0000FF"/>
            <w:szCs w:val="28"/>
            <w:u w:val="single"/>
            <w:lang w:eastAsia="zh-CN"/>
          </w:rPr>
          <w:t>CL-24/44</w:t>
        </w:r>
      </w:hyperlink>
      <w:r w:rsidRPr="00756188">
        <w:rPr>
          <w:rFonts w:asciiTheme="minorHAnsi" w:eastAsiaTheme="minorEastAsia" w:hAnsiTheme="minorHAnsi" w:cstheme="minorBidi"/>
          <w:szCs w:val="28"/>
          <w:lang w:eastAsia="zh-CN"/>
        </w:rPr>
        <w:t>) has been sent on 14 June 2024 to Member States, the State of Palestine, Sector Members, Associates, Academia, and Organizations which have the right to attend ITU conferences and meetings as observers, calling for nomination of experts to constitute the IEG.</w:t>
      </w:r>
    </w:p>
    <w:p w14:paraId="512573C7"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preparatory process will be guided by the timetable set out as in Annex 2 of Decision 641 and in Table 1 below (revised based on agreement of the first IEG meeting). </w:t>
      </w:r>
    </w:p>
    <w:p w14:paraId="24D76965" w14:textId="77777777" w:rsidR="00756188" w:rsidRPr="00756188" w:rsidRDefault="00756188" w:rsidP="00756188">
      <w:pPr>
        <w:keepNext/>
        <w:keepLines/>
        <w:tabs>
          <w:tab w:val="clear" w:pos="567"/>
          <w:tab w:val="clear" w:pos="1134"/>
          <w:tab w:val="clear" w:pos="1701"/>
          <w:tab w:val="clear" w:pos="2268"/>
          <w:tab w:val="clear" w:pos="2835"/>
        </w:tabs>
        <w:overflowPunct/>
        <w:autoSpaceDE/>
        <w:autoSpaceDN/>
        <w:adjustRightInd/>
        <w:spacing w:before="360" w:after="120"/>
        <w:jc w:val="center"/>
        <w:textAlignment w:val="auto"/>
        <w:rPr>
          <w:rFonts w:asciiTheme="minorHAnsi" w:eastAsiaTheme="minorEastAsia" w:hAnsiTheme="minorHAnsi" w:cstheme="minorBidi"/>
          <w:b/>
          <w:szCs w:val="22"/>
          <w:lang w:eastAsia="zh-CN"/>
        </w:rPr>
      </w:pPr>
      <w:r w:rsidRPr="00756188">
        <w:rPr>
          <w:rFonts w:asciiTheme="minorHAnsi" w:eastAsiaTheme="minorEastAsia" w:hAnsiTheme="minorHAnsi" w:cstheme="minorBidi"/>
          <w:b/>
          <w:szCs w:val="22"/>
          <w:lang w:eastAsia="zh-CN"/>
        </w:rPr>
        <w:t>Table 1: Timetable for the elaboration of the ITU Secretary-General’s Report</w:t>
      </w:r>
    </w:p>
    <w:tbl>
      <w:tblPr>
        <w:tblStyle w:val="TableGrid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3"/>
        <w:gridCol w:w="7396"/>
      </w:tblGrid>
      <w:tr w:rsidR="00756188" w:rsidRPr="00756188" w14:paraId="309A50FB" w14:textId="77777777" w:rsidTr="008F7FBC">
        <w:trPr>
          <w:cantSplit/>
          <w:jc w:val="center"/>
        </w:trPr>
        <w:tc>
          <w:tcPr>
            <w:tcW w:w="2243" w:type="dxa"/>
          </w:tcPr>
          <w:p w14:paraId="76F301D5"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5 August 2024</w:t>
            </w:r>
          </w:p>
        </w:tc>
        <w:tc>
          <w:tcPr>
            <w:tcW w:w="7396" w:type="dxa"/>
          </w:tcPr>
          <w:p w14:paraId="639A46C8"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A First Draft outline of the Report by the Secretary-General shall be posted online for comments</w:t>
            </w:r>
          </w:p>
        </w:tc>
      </w:tr>
      <w:tr w:rsidR="00756188" w:rsidRPr="00756188" w14:paraId="47CF248F" w14:textId="77777777" w:rsidTr="008F7FBC">
        <w:trPr>
          <w:cantSplit/>
          <w:jc w:val="center"/>
        </w:trPr>
        <w:tc>
          <w:tcPr>
            <w:tcW w:w="2243" w:type="dxa"/>
          </w:tcPr>
          <w:p w14:paraId="2B217D5C"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26 August 2024</w:t>
            </w:r>
          </w:p>
        </w:tc>
        <w:tc>
          <w:tcPr>
            <w:tcW w:w="7396" w:type="dxa"/>
          </w:tcPr>
          <w:p w14:paraId="3ED2F389"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First Draft, and for contribution on outlines for possible draft opinions</w:t>
            </w:r>
          </w:p>
          <w:p w14:paraId="3DD5A2B1"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nominations for a balanced group of experts to advise the Secretary-General on further elaboration of the report and of draft opinions associated with it</w:t>
            </w:r>
          </w:p>
        </w:tc>
      </w:tr>
      <w:tr w:rsidR="00756188" w:rsidRPr="00756188" w14:paraId="087743FC" w14:textId="77777777" w:rsidTr="008F7FBC">
        <w:trPr>
          <w:cantSplit/>
          <w:jc w:val="center"/>
        </w:trPr>
        <w:tc>
          <w:tcPr>
            <w:tcW w:w="2243" w:type="dxa"/>
          </w:tcPr>
          <w:p w14:paraId="70BA6DFE"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1st IEG Meeting (7-8 October 2024 during the CWG cluster)</w:t>
            </w:r>
          </w:p>
        </w:tc>
        <w:tc>
          <w:tcPr>
            <w:tcW w:w="7396" w:type="dxa"/>
          </w:tcPr>
          <w:p w14:paraId="3B1AA6A1"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First meeting of the group of experts to discuss the First Draft of the report by the Secretary-General and the comments received</w:t>
            </w:r>
          </w:p>
        </w:tc>
      </w:tr>
      <w:tr w:rsidR="00756188" w:rsidRPr="00756188" w14:paraId="1BDF5BE0" w14:textId="77777777" w:rsidTr="008F7FBC">
        <w:trPr>
          <w:cantSplit/>
          <w:jc w:val="center"/>
        </w:trPr>
        <w:tc>
          <w:tcPr>
            <w:tcW w:w="2243" w:type="dxa"/>
          </w:tcPr>
          <w:p w14:paraId="6277D7B0"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18 November 2024</w:t>
            </w:r>
          </w:p>
        </w:tc>
        <w:tc>
          <w:tcPr>
            <w:tcW w:w="7396" w:type="dxa"/>
          </w:tcPr>
          <w:p w14:paraId="2A9A5D2C"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Second Draft of the report by the Secretary-General will be posted online, incorporating discussions from the 1st IEG meeting and including outlines of draft Opinions</w:t>
            </w:r>
          </w:p>
          <w:p w14:paraId="7EF5197A"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This draft will also be made available online for open public consultations</w:t>
            </w:r>
          </w:p>
        </w:tc>
      </w:tr>
      <w:tr w:rsidR="00756188" w:rsidRPr="00756188" w14:paraId="358A612F" w14:textId="77777777" w:rsidTr="008F7FBC">
        <w:trPr>
          <w:cantSplit/>
          <w:jc w:val="center"/>
        </w:trPr>
        <w:tc>
          <w:tcPr>
            <w:tcW w:w="2243" w:type="dxa"/>
          </w:tcPr>
          <w:p w14:paraId="62D47245"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13 January 2025</w:t>
            </w:r>
          </w:p>
        </w:tc>
        <w:tc>
          <w:tcPr>
            <w:tcW w:w="7396" w:type="dxa"/>
          </w:tcPr>
          <w:p w14:paraId="0B30AF5D"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Second Draft and for contribution on possible draft Opinions</w:t>
            </w:r>
          </w:p>
          <w:p w14:paraId="65C444A5"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inputs from the open public consultations</w:t>
            </w:r>
          </w:p>
        </w:tc>
      </w:tr>
      <w:tr w:rsidR="00756188" w:rsidRPr="00756188" w14:paraId="51DB173E" w14:textId="77777777" w:rsidTr="008F7FBC">
        <w:trPr>
          <w:cantSplit/>
          <w:jc w:val="center"/>
        </w:trPr>
        <w:tc>
          <w:tcPr>
            <w:tcW w:w="2243" w:type="dxa"/>
          </w:tcPr>
          <w:p w14:paraId="18BF097D"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2nd IEG Meeting (13 – 14 February 2025 during the CWG cluster)</w:t>
            </w:r>
          </w:p>
        </w:tc>
        <w:tc>
          <w:tcPr>
            <w:tcW w:w="7396" w:type="dxa"/>
          </w:tcPr>
          <w:p w14:paraId="73DBC9D6"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Second meeting of the group of experts to discuss the Second Draft of the report by the Secretary-General as well as the possible draft Opinions and the comments received, including from the open public consultation</w:t>
            </w:r>
          </w:p>
        </w:tc>
      </w:tr>
      <w:tr w:rsidR="00756188" w:rsidRPr="00756188" w14:paraId="3F7D1606" w14:textId="77777777" w:rsidTr="008F7FBC">
        <w:trPr>
          <w:cantSplit/>
          <w:jc w:val="center"/>
        </w:trPr>
        <w:tc>
          <w:tcPr>
            <w:tcW w:w="2243" w:type="dxa"/>
          </w:tcPr>
          <w:p w14:paraId="5D179324"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31 March 2025</w:t>
            </w:r>
          </w:p>
        </w:tc>
        <w:tc>
          <w:tcPr>
            <w:tcW w:w="7396" w:type="dxa"/>
          </w:tcPr>
          <w:p w14:paraId="6C74C250"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Third Draft of the report by the Secretary-General will be posted online, incorporating discussions from the 2nd IEG meeting, and including the text of the possible draft Opinions as an Annex</w:t>
            </w:r>
          </w:p>
          <w:p w14:paraId="564F6907"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This draft will also be made available online for open public consultations.</w:t>
            </w:r>
          </w:p>
        </w:tc>
      </w:tr>
      <w:tr w:rsidR="00756188" w:rsidRPr="00756188" w14:paraId="3F767E1A" w14:textId="77777777" w:rsidTr="008F7FBC">
        <w:trPr>
          <w:cantSplit/>
          <w:jc w:val="center"/>
        </w:trPr>
        <w:tc>
          <w:tcPr>
            <w:tcW w:w="2243" w:type="dxa"/>
          </w:tcPr>
          <w:p w14:paraId="3CC2ADE9"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16 June 2025</w:t>
            </w:r>
          </w:p>
        </w:tc>
        <w:tc>
          <w:tcPr>
            <w:tcW w:w="7396" w:type="dxa"/>
          </w:tcPr>
          <w:p w14:paraId="1396934C"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Third Draft, including the possible draft Opinions</w:t>
            </w:r>
          </w:p>
          <w:p w14:paraId="129D814F"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from the open public consultation</w:t>
            </w:r>
          </w:p>
        </w:tc>
      </w:tr>
      <w:tr w:rsidR="009D5CD5" w:rsidRPr="00756188" w14:paraId="35A62A38" w14:textId="77777777" w:rsidTr="008F7FBC">
        <w:trPr>
          <w:cantSplit/>
          <w:jc w:val="center"/>
        </w:trPr>
        <w:tc>
          <w:tcPr>
            <w:tcW w:w="2243" w:type="dxa"/>
          </w:tcPr>
          <w:p w14:paraId="7781CD90" w14:textId="2049E29A" w:rsidR="009D5CD5" w:rsidRPr="00E8233C" w:rsidRDefault="004859DD"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b/>
                <w:bCs/>
                <w:sz w:val="22"/>
                <w:lang w:val="en-US"/>
              </w:rPr>
              <w:t>7 August 2025</w:t>
            </w:r>
          </w:p>
        </w:tc>
        <w:tc>
          <w:tcPr>
            <w:tcW w:w="7396" w:type="dxa"/>
          </w:tcPr>
          <w:p w14:paraId="26D317CF" w14:textId="77777777" w:rsidR="000B0C5E" w:rsidRPr="00E8233C" w:rsidRDefault="000B0C5E" w:rsidP="000B0C5E">
            <w:pPr>
              <w:pStyle w:val="Tabletext"/>
            </w:pPr>
            <w:r w:rsidRPr="00E8233C">
              <w:t>Interim deadline for written inputs following the publication, on 16 June 2025, of the Chair’s Report, containing baseline draft Opinions</w:t>
            </w:r>
          </w:p>
          <w:p w14:paraId="49B81263" w14:textId="0B4514E1" w:rsidR="009D5CD5" w:rsidRPr="00E8233C" w:rsidRDefault="000B0C5E" w:rsidP="000B0C5E">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sz w:val="22"/>
              </w:rPr>
              <w:t>The deadline is intended to support continued consideration of the draft Opinions ahead of the next meeting of the Informal Expert Group</w:t>
            </w:r>
          </w:p>
        </w:tc>
      </w:tr>
      <w:tr w:rsidR="00756188" w:rsidRPr="00756188" w14:paraId="2B674587" w14:textId="77777777" w:rsidTr="008F7FBC">
        <w:trPr>
          <w:cantSplit/>
          <w:jc w:val="center"/>
        </w:trPr>
        <w:tc>
          <w:tcPr>
            <w:tcW w:w="2243" w:type="dxa"/>
          </w:tcPr>
          <w:p w14:paraId="3FD09372" w14:textId="4C35394B"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3rd IEG Meeting (</w:t>
            </w:r>
            <w:r w:rsidR="00344520" w:rsidRPr="00E8233C">
              <w:rPr>
                <w:rFonts w:asciiTheme="minorHAnsi" w:eastAsiaTheme="minorEastAsia" w:hAnsiTheme="minorHAnsi"/>
                <w:b/>
                <w:bCs/>
                <w:sz w:val="22"/>
              </w:rPr>
              <w:t>17-19 September </w:t>
            </w:r>
            <w:r w:rsidRPr="00E8233C">
              <w:rPr>
                <w:rFonts w:asciiTheme="minorHAnsi" w:eastAsiaTheme="minorEastAsia" w:hAnsiTheme="minorHAnsi"/>
                <w:b/>
                <w:bCs/>
                <w:sz w:val="22"/>
              </w:rPr>
              <w:t>2025 during the CWG cluster)</w:t>
            </w:r>
          </w:p>
        </w:tc>
        <w:tc>
          <w:tcPr>
            <w:tcW w:w="7396" w:type="dxa"/>
          </w:tcPr>
          <w:p w14:paraId="3FB55AC0"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Third meeting of the group of experts to discuss the Third Draft of the report by the Secretary-General as well as the draft Opinions and the comments received, including from the open public consultation</w:t>
            </w:r>
          </w:p>
        </w:tc>
      </w:tr>
      <w:tr w:rsidR="00756188" w:rsidRPr="00756188" w14:paraId="27665AE8" w14:textId="77777777" w:rsidTr="008F7FBC">
        <w:trPr>
          <w:cantSplit/>
          <w:jc w:val="center"/>
        </w:trPr>
        <w:tc>
          <w:tcPr>
            <w:tcW w:w="2243" w:type="dxa"/>
          </w:tcPr>
          <w:p w14:paraId="33E3145A"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 November 2025</w:t>
            </w:r>
          </w:p>
        </w:tc>
        <w:tc>
          <w:tcPr>
            <w:tcW w:w="7396" w:type="dxa"/>
          </w:tcPr>
          <w:p w14:paraId="29907F0A"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Fourth Draft of the report by the Secretary-General will be posted online, incorporating discussions from the 3rd IEG meeting and including the draft Opinions as an Annex</w:t>
            </w:r>
          </w:p>
        </w:tc>
      </w:tr>
      <w:tr w:rsidR="00756188" w:rsidRPr="00756188" w14:paraId="2A9AD720" w14:textId="77777777" w:rsidTr="008F7FBC">
        <w:trPr>
          <w:cantSplit/>
          <w:jc w:val="center"/>
        </w:trPr>
        <w:tc>
          <w:tcPr>
            <w:tcW w:w="2243" w:type="dxa"/>
          </w:tcPr>
          <w:p w14:paraId="1CBA3992"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19 December 2025</w:t>
            </w:r>
          </w:p>
        </w:tc>
        <w:tc>
          <w:tcPr>
            <w:tcW w:w="7396" w:type="dxa"/>
          </w:tcPr>
          <w:p w14:paraId="2F3F4DDD"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Fourth Draft, including the text of the draft Opinions</w:t>
            </w:r>
          </w:p>
        </w:tc>
      </w:tr>
      <w:tr w:rsidR="00756188" w:rsidRPr="00756188" w14:paraId="7C843ADD" w14:textId="77777777" w:rsidTr="008F7FBC">
        <w:trPr>
          <w:cantSplit/>
          <w:jc w:val="center"/>
        </w:trPr>
        <w:tc>
          <w:tcPr>
            <w:tcW w:w="2243" w:type="dxa"/>
          </w:tcPr>
          <w:p w14:paraId="113BB72D" w14:textId="4F21CB0D"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4th IEG Meeting (</w:t>
            </w:r>
            <w:r w:rsidR="001C636F" w:rsidRPr="00E8233C">
              <w:rPr>
                <w:rFonts w:asciiTheme="minorHAnsi" w:eastAsiaTheme="minorEastAsia" w:hAnsiTheme="minorHAnsi"/>
                <w:b/>
                <w:bCs/>
                <w:sz w:val="22"/>
              </w:rPr>
              <w:t>21 -23 January</w:t>
            </w:r>
            <w:r w:rsidRPr="00E8233C">
              <w:rPr>
                <w:rFonts w:asciiTheme="minorHAnsi" w:eastAsiaTheme="minorEastAsia" w:hAnsiTheme="minorHAnsi"/>
                <w:b/>
                <w:bCs/>
                <w:sz w:val="22"/>
              </w:rPr>
              <w:t xml:space="preserve"> 2026 during the CWG cluster)</w:t>
            </w:r>
          </w:p>
        </w:tc>
        <w:tc>
          <w:tcPr>
            <w:tcW w:w="7396" w:type="dxa"/>
          </w:tcPr>
          <w:p w14:paraId="3AEEF6F0"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Fourth meeting of the group of experts to finalize the Draft Report by the Secretary-General, including the final text of the draft Opinions to be submitted to the seventh WTPF</w:t>
            </w:r>
          </w:p>
        </w:tc>
      </w:tr>
      <w:tr w:rsidR="00756188" w:rsidRPr="00756188" w14:paraId="295E1EDA" w14:textId="77777777" w:rsidTr="008F7FBC">
        <w:trPr>
          <w:cantSplit/>
          <w:jc w:val="center"/>
        </w:trPr>
        <w:tc>
          <w:tcPr>
            <w:tcW w:w="2243" w:type="dxa"/>
          </w:tcPr>
          <w:p w14:paraId="77D31CC7"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13 April 2026</w:t>
            </w:r>
          </w:p>
        </w:tc>
        <w:tc>
          <w:tcPr>
            <w:tcW w:w="7396" w:type="dxa"/>
          </w:tcPr>
          <w:p w14:paraId="7903FF17" w14:textId="77777777" w:rsidR="00756188" w:rsidRPr="00E8233C" w:rsidRDefault="00756188"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final report of the Secretary-General to WTPF will be posted online, including the draft Opinions</w:t>
            </w:r>
          </w:p>
        </w:tc>
      </w:tr>
      <w:tr w:rsidR="00756188" w:rsidRPr="00756188" w14:paraId="25F5A26E" w14:textId="77777777" w:rsidTr="008F7FBC">
        <w:trPr>
          <w:cantSplit/>
          <w:jc w:val="center"/>
        </w:trPr>
        <w:tc>
          <w:tcPr>
            <w:tcW w:w="2243" w:type="dxa"/>
          </w:tcPr>
          <w:p w14:paraId="1AD250AA" w14:textId="73031964" w:rsidR="00756188" w:rsidRPr="00E8233C" w:rsidRDefault="009D5CD5"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b/>
                <w:bCs/>
                <w:sz w:val="22"/>
                <w:lang w:val="en-US"/>
              </w:rPr>
              <w:t>8-11 June 2026</w:t>
            </w:r>
          </w:p>
        </w:tc>
        <w:tc>
          <w:tcPr>
            <w:tcW w:w="7396" w:type="dxa"/>
          </w:tcPr>
          <w:p w14:paraId="116D3778" w14:textId="2E2BBF34" w:rsidR="00756188" w:rsidRPr="00E8233C" w:rsidRDefault="00E301C7" w:rsidP="00756188">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2A6504">
              <w:rPr>
                <w:rFonts w:asciiTheme="minorHAnsi" w:eastAsiaTheme="minorEastAsia" w:hAnsiTheme="minorHAnsi"/>
                <w:sz w:val="22"/>
              </w:rPr>
              <w:t>Seventh World Telecommunication/Information and Communication Technology</w:t>
            </w:r>
            <w:r w:rsidR="00413A23" w:rsidRPr="002A6504">
              <w:rPr>
                <w:rFonts w:asciiTheme="minorHAnsi" w:eastAsiaTheme="minorEastAsia" w:hAnsiTheme="minorHAnsi"/>
                <w:sz w:val="22"/>
              </w:rPr>
              <w:t xml:space="preserve"> WTPF (WTPF-26) in the Bahamas from 9 to 11 June 2026, with a Strategic Dialogue hosted on 8 June 2026</w:t>
            </w:r>
          </w:p>
        </w:tc>
      </w:tr>
    </w:tbl>
    <w:p w14:paraId="5B651367"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4FA62E29"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bookmarkStart w:id="1" w:name="_Hlk181690953"/>
      <w:r w:rsidRPr="00756188">
        <w:rPr>
          <w:rFonts w:asciiTheme="minorHAnsi" w:eastAsiaTheme="minorEastAsia" w:hAnsiTheme="minorHAnsi" w:cstheme="minorBidi"/>
          <w:b/>
          <w:sz w:val="28"/>
          <w:szCs w:val="28"/>
          <w:lang w:eastAsia="zh-CN"/>
        </w:rPr>
        <w:t xml:space="preserve">Theme for WTPF-26 </w:t>
      </w:r>
    </w:p>
    <w:bookmarkEnd w:id="1"/>
    <w:p w14:paraId="3545A945"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By Decision 641 (Council 2024), the 2024 session of Council decided that the theme for WTPF-26 is as set out in paragraph 1.3. </w:t>
      </w:r>
    </w:p>
    <w:p w14:paraId="4C7B95C1" w14:textId="622756CE"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With the aim to accelerate an inclusive, sustainable, resilient and innovative digital future, the theme presents five key topics for consideration and discussion at WTPF-26. As technological breakthroughs </w:t>
      </w:r>
      <w:r w:rsidR="007A04D6" w:rsidRPr="007A04D6">
        <w:rPr>
          <w:rFonts w:asciiTheme="minorHAnsi" w:eastAsiaTheme="minorEastAsia" w:hAnsiTheme="minorHAnsi" w:cstheme="minorBidi"/>
          <w:szCs w:val="28"/>
          <w:lang w:eastAsia="zh-CN"/>
        </w:rPr>
        <w:t xml:space="preserve">in areas such as Artificial Intelligence (AI), Quantum Computing, Space Technologies and others </w:t>
      </w:r>
      <w:r w:rsidRPr="00756188">
        <w:rPr>
          <w:rFonts w:asciiTheme="minorHAnsi" w:eastAsiaTheme="minorEastAsia" w:hAnsiTheme="minorHAnsi" w:cstheme="minorBidi"/>
          <w:szCs w:val="28"/>
          <w:lang w:eastAsia="zh-CN"/>
        </w:rPr>
        <w:t xml:space="preserve">reshape the global digital economy, it is essential to address a wide range of interconnected issues while designing public policy interventions that can maximize opportunities and address the challenges related to the adoption and use of new and emerging telecommunication/ICT services and technologies. Looking towards 2026 and </w:t>
      </w:r>
      <w:proofErr w:type="gramStart"/>
      <w:r w:rsidRPr="00756188">
        <w:rPr>
          <w:rFonts w:asciiTheme="minorHAnsi" w:eastAsiaTheme="minorEastAsia" w:hAnsiTheme="minorHAnsi" w:cstheme="minorBidi"/>
          <w:szCs w:val="28"/>
          <w:lang w:eastAsia="zh-CN"/>
        </w:rPr>
        <w:t>beyond, and</w:t>
      </w:r>
      <w:proofErr w:type="gramEnd"/>
      <w:r w:rsidRPr="00756188">
        <w:rPr>
          <w:rFonts w:asciiTheme="minorHAnsi" w:eastAsiaTheme="minorEastAsia" w:hAnsiTheme="minorHAnsi" w:cstheme="minorBidi"/>
          <w:szCs w:val="28"/>
          <w:lang w:eastAsia="zh-CN"/>
        </w:rPr>
        <w:t xml:space="preserve"> recognizing the limited time left for the global community to make progress on the 17 UN Sustainable Development Goals (SDGs), it is imperative for policymakers and other stakeholders to adopt a holistic and complementary approach for developing the integrated policy frameworks necessary to address the topics presented in the theme. </w:t>
      </w:r>
    </w:p>
    <w:p w14:paraId="3C2CF736" w14:textId="77777777"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 robust enabling environment through effective policymaking is key for facilitating efforts, particularly in developing countries, to ensure universally accessible, affordable, high-quality, interoperable, and secure infrastructure and services, for enhanced international coordination and the international standardization of telecommunication/ICT services and technologies, and to leverage existing and emerging technologies, connectivity solutions, and business models to close the digital divide, ensuring access in all countries and regions.</w:t>
      </w:r>
    </w:p>
    <w:p w14:paraId="2414B440" w14:textId="77777777"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This report was developed through an open and inclusive preparatory process in accordance </w:t>
      </w:r>
      <w:r w:rsidRPr="000632A7">
        <w:rPr>
          <w:rFonts w:asciiTheme="minorHAnsi" w:eastAsiaTheme="minorEastAsia" w:hAnsiTheme="minorHAnsi" w:cstheme="minorBidi"/>
          <w:spacing w:val="-2"/>
          <w:szCs w:val="28"/>
          <w:lang w:eastAsia="zh-CN"/>
        </w:rPr>
        <w:t>with the schedule set out in Decision 641 (Council, 2024) and will serve as the basis for discussions at the WTPF-26, considering the inputs and contributions from experts and stakeholders.</w:t>
      </w:r>
      <w:r w:rsidRPr="00756188">
        <w:rPr>
          <w:rFonts w:asciiTheme="minorHAnsi" w:eastAsiaTheme="minorEastAsia" w:hAnsiTheme="minorHAnsi" w:cstheme="minorBidi"/>
          <w:szCs w:val="28"/>
          <w:lang w:eastAsia="zh-CN"/>
        </w:rPr>
        <w:t xml:space="preserve"> </w:t>
      </w:r>
    </w:p>
    <w:p w14:paraId="4953C8BA" w14:textId="77777777"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report presents the policy issues and key questions for consideration for each of the topics of the theme, with an aim to help policymakers explore ways to leverage new and emerging telecommunication/ICT services and technologies for 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to address the dual climate and environmental crisis, foster the continued advancement of science, promote the sustainable exploration of Earth and space, and encourage resource use for the benefit of all.</w:t>
      </w:r>
    </w:p>
    <w:p w14:paraId="2E485A5E" w14:textId="77777777" w:rsidR="00756188" w:rsidRPr="00756188" w:rsidRDefault="00756188" w:rsidP="00F95A68">
      <w:pPr>
        <w:keepNext/>
        <w:keepLines/>
        <w:numPr>
          <w:ilvl w:val="1"/>
          <w:numId w:val="2"/>
        </w:numPr>
        <w:tabs>
          <w:tab w:val="clear" w:pos="567"/>
          <w:tab w:val="clear" w:pos="1134"/>
          <w:tab w:val="clear" w:pos="1701"/>
          <w:tab w:val="clear" w:pos="2268"/>
          <w:tab w:val="clear" w:pos="2835"/>
        </w:tabs>
        <w:overflowPunct/>
        <w:autoSpaceDE/>
        <w:autoSpaceDN/>
        <w:adjustRightInd/>
        <w:spacing w:before="22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Each of the topics is explored in the following sections and the Draft Opinions as agreed by the Informal Expert Group during the preparatory process are presented in the Annex:</w:t>
      </w:r>
    </w:p>
    <w:p w14:paraId="28BF96FA"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4: Bridging digital divides, particularly on gender and age as well as skills and connectivity</w:t>
      </w:r>
    </w:p>
    <w:p w14:paraId="590FAB97"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5: Green digital transformation: climate change and environmental sustainability</w:t>
      </w:r>
    </w:p>
    <w:p w14:paraId="4936B797"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6: Resilience of telecommunication/ICTs</w:t>
      </w:r>
    </w:p>
    <w:p w14:paraId="532DFFBC"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7: Space connectivity</w:t>
      </w:r>
    </w:p>
    <w:p w14:paraId="26B8AE02"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8: Strengthening ICT-centric innovation ecosystems and entrepreneurship</w:t>
      </w:r>
    </w:p>
    <w:p w14:paraId="15F84CFC" w14:textId="77777777" w:rsidR="00756188" w:rsidRPr="00756188" w:rsidRDefault="00756188" w:rsidP="001C502A">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Annex: Draft Opinions</w:t>
      </w:r>
    </w:p>
    <w:p w14:paraId="71AE133F"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Bridging digital divides, particularly on gender and age as well as skills and connectivity</w:t>
      </w:r>
    </w:p>
    <w:p w14:paraId="3E253E77" w14:textId="1AEA8E35" w:rsid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0" behindDoc="0" locked="1" layoutInCell="1" allowOverlap="1" wp14:anchorId="47D04588" wp14:editId="1C08516B">
                <wp:simplePos x="0" y="0"/>
                <wp:positionH relativeFrom="column">
                  <wp:posOffset>3688213</wp:posOffset>
                </wp:positionH>
                <wp:positionV relativeFrom="page">
                  <wp:posOffset>2368550</wp:posOffset>
                </wp:positionV>
                <wp:extent cx="2496312" cy="3557016"/>
                <wp:effectExtent l="0" t="0" r="18415" b="2476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312" cy="3557016"/>
                        </a:xfrm>
                        <a:prstGeom prst="rect">
                          <a:avLst/>
                        </a:prstGeom>
                        <a:solidFill>
                          <a:srgbClr val="FFFFFF"/>
                        </a:solidFill>
                        <a:ln w="12700">
                          <a:solidFill>
                            <a:srgbClr val="4F81BD">
                              <a:lumMod val="75000"/>
                            </a:srgbClr>
                          </a:solidFill>
                          <a:miter lim="800000"/>
                          <a:headEnd/>
                          <a:tailEnd/>
                        </a:ln>
                      </wps:spPr>
                      <wps:txbx>
                        <w:txbxContent>
                          <w:p w14:paraId="0E3F8DCA" w14:textId="77777777" w:rsidR="00756188" w:rsidRPr="008C07EF" w:rsidRDefault="00756188" w:rsidP="00756188">
                            <w:pPr>
                              <w:rPr>
                                <w:color w:val="4F81BD" w:themeColor="accent1"/>
                                <w:sz w:val="22"/>
                              </w:rPr>
                            </w:pPr>
                            <w:r w:rsidRPr="008C07EF">
                              <w:rPr>
                                <w:color w:val="4F81BD" w:themeColor="accent1"/>
                                <w:sz w:val="22"/>
                              </w:rPr>
                              <w:t xml:space="preserve">State of the Digital Divide </w:t>
                            </w:r>
                            <w:proofErr w:type="gramStart"/>
                            <w:r w:rsidRPr="008C07EF">
                              <w:rPr>
                                <w:color w:val="4F81BD" w:themeColor="accent1"/>
                                <w:sz w:val="22"/>
                              </w:rPr>
                              <w:t>at a Glance</w:t>
                            </w:r>
                            <w:proofErr w:type="gramEnd"/>
                            <w:r w:rsidRPr="008C07EF">
                              <w:rPr>
                                <w:color w:val="4F81BD" w:themeColor="accent1"/>
                                <w:sz w:val="22"/>
                              </w:rPr>
                              <w:t>:</w:t>
                            </w:r>
                          </w:p>
                          <w:p w14:paraId="372F4125"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2AE2FC36"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60F2804D"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5230FE43" w14:textId="77777777" w:rsidR="00756188" w:rsidRPr="008C07EF" w:rsidRDefault="00756188" w:rsidP="00756188">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04588" id="_x0000_t202" coordsize="21600,21600" o:spt="202" path="m,l,21600r21600,l21600,xe">
                <v:stroke joinstyle="miter"/>
                <v:path gradientshapeok="t" o:connecttype="rect"/>
              </v:shapetype>
              <v:shape id="_x0000_s1026" type="#_x0000_t202" style="position:absolute;left:0;text-align:left;margin-left:290.4pt;margin-top:186.5pt;width:196.55pt;height:28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" strokecolor="#376092" strokeweight="1pt">
                <v:textbox>
                  <w:txbxContent>
                    <w:p w14:paraId="0E3F8DCA" w14:textId="77777777" w:rsidR="00756188" w:rsidRPr="008C07EF" w:rsidRDefault="00756188" w:rsidP="00756188">
                      <w:pPr>
                        <w:rPr>
                          <w:color w:val="4F81BD" w:themeColor="accent1"/>
                          <w:sz w:val="22"/>
                        </w:rPr>
                      </w:pPr>
                      <w:r w:rsidRPr="008C07EF">
                        <w:rPr>
                          <w:color w:val="4F81BD" w:themeColor="accent1"/>
                          <w:sz w:val="22"/>
                        </w:rPr>
                        <w:t xml:space="preserve">State of the Digital Divide </w:t>
                      </w:r>
                      <w:proofErr w:type="gramStart"/>
                      <w:r w:rsidRPr="008C07EF">
                        <w:rPr>
                          <w:color w:val="4F81BD" w:themeColor="accent1"/>
                          <w:sz w:val="22"/>
                        </w:rPr>
                        <w:t>at a Glance</w:t>
                      </w:r>
                      <w:proofErr w:type="gramEnd"/>
                      <w:r w:rsidRPr="008C07EF">
                        <w:rPr>
                          <w:color w:val="4F81BD" w:themeColor="accent1"/>
                          <w:sz w:val="22"/>
                        </w:rPr>
                        <w:t>:</w:t>
                      </w:r>
                    </w:p>
                    <w:p w14:paraId="372F4125"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2AE2FC36"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60F2804D" w14:textId="77777777" w:rsidR="00756188" w:rsidRPr="008C07EF" w:rsidRDefault="00756188" w:rsidP="00DD3DEE">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5230FE43" w14:textId="77777777" w:rsidR="00756188" w:rsidRPr="008C07EF" w:rsidRDefault="00756188" w:rsidP="00756188">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 xml:space="preserve">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(UMC), as developed through ITU's work with the </w:t>
      </w:r>
      <w:r w:rsidR="00B77B23">
        <w:rPr>
          <w:rFonts w:asciiTheme="minorHAnsi" w:eastAsiaTheme="minorEastAsia" w:hAnsiTheme="minorHAnsi" w:cstheme="minorBidi"/>
          <w:szCs w:val="28"/>
          <w:lang w:eastAsia="zh-CN"/>
        </w:rPr>
        <w:t xml:space="preserve">2024 </w:t>
      </w:r>
      <w:r w:rsidRPr="00756188">
        <w:rPr>
          <w:rFonts w:asciiTheme="minorHAnsi" w:eastAsiaTheme="minorEastAsia" w:hAnsiTheme="minorHAnsi" w:cstheme="minorBidi"/>
          <w:szCs w:val="28"/>
          <w:lang w:eastAsia="zh-CN"/>
        </w:rPr>
        <w:t>G20 Digital Economy Working Group, provides a comprehensive framework for addressing these interrelated challenges.</w:t>
      </w:r>
    </w:p>
    <w:p w14:paraId="47DC5A3E" w14:textId="18316C41" w:rsidR="00756188" w:rsidRPr="0095099C" w:rsidRDefault="00404450"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404450">
        <w:rPr>
          <w:rFonts w:asciiTheme="minorHAnsi" w:eastAsiaTheme="minorEastAsia" w:hAnsiTheme="minorHAnsi" w:cstheme="minorBidi"/>
          <w:szCs w:val="28"/>
          <w:lang w:eastAsia="zh-CN"/>
        </w:rPr>
        <w:t xml:space="preserve">Achieving universal digital inclusion requires a dual focus on expanding infrastructure reach and building digital capabilities. Ensuring that rural, remote, and marginalized communities have access to affordable, reliable connectivity remains a priority, alongside recognizing that access must be complemented by skills development. Digital literacy and competencies serve as the bridge between connectivity and meaningful use, enabling all populations to actively engage with digital opportunities in education, healthcare, </w:t>
      </w:r>
      <w:r w:rsidR="006823A7" w:rsidRPr="007C022C">
        <w:rPr>
          <w:rFonts w:asciiTheme="minorHAnsi" w:eastAsiaTheme="minorEastAsia" w:hAnsiTheme="minorHAnsi" w:cstheme="minorBidi"/>
          <w:szCs w:val="28"/>
          <w:lang w:eastAsia="zh-CN"/>
        </w:rPr>
        <w:t>and</w:t>
      </w:r>
      <w:r w:rsidR="006823A7">
        <w:rPr>
          <w:rFonts w:asciiTheme="minorHAnsi" w:eastAsiaTheme="minorEastAsia" w:hAnsiTheme="minorHAnsi" w:cstheme="minorBidi"/>
          <w:szCs w:val="28"/>
          <w:lang w:eastAsia="zh-CN"/>
        </w:rPr>
        <w:t xml:space="preserve"> </w:t>
      </w:r>
      <w:r w:rsidRPr="00404450">
        <w:rPr>
          <w:rFonts w:asciiTheme="minorHAnsi" w:eastAsiaTheme="minorEastAsia" w:hAnsiTheme="minorHAnsi" w:cstheme="minorBidi"/>
          <w:szCs w:val="28"/>
          <w:lang w:eastAsia="zh-CN"/>
        </w:rPr>
        <w:t xml:space="preserve">governance, and </w:t>
      </w:r>
      <w:r w:rsidR="004C12DD" w:rsidRPr="007C022C">
        <w:rPr>
          <w:rFonts w:asciiTheme="minorHAnsi" w:eastAsiaTheme="minorEastAsia" w:hAnsiTheme="minorHAnsi" w:cstheme="minorBidi"/>
          <w:szCs w:val="28"/>
          <w:lang w:eastAsia="zh-CN"/>
        </w:rPr>
        <w:t>to facilitate</w:t>
      </w:r>
      <w:r w:rsidR="004C12DD">
        <w:rPr>
          <w:rFonts w:asciiTheme="minorHAnsi" w:eastAsiaTheme="minorEastAsia" w:hAnsiTheme="minorHAnsi" w:cstheme="minorBidi"/>
          <w:szCs w:val="28"/>
          <w:lang w:eastAsia="zh-CN"/>
        </w:rPr>
        <w:t xml:space="preserve"> </w:t>
      </w:r>
      <w:r w:rsidRPr="00404450">
        <w:rPr>
          <w:rFonts w:asciiTheme="minorHAnsi" w:eastAsiaTheme="minorEastAsia" w:hAnsiTheme="minorHAnsi" w:cstheme="minorBidi"/>
          <w:szCs w:val="28"/>
          <w:lang w:eastAsia="zh-CN"/>
        </w:rPr>
        <w:t>economic participation</w:t>
      </w:r>
      <w:r w:rsidR="004C12DD">
        <w:rPr>
          <w:rFonts w:asciiTheme="minorHAnsi" w:eastAsiaTheme="minorEastAsia" w:hAnsiTheme="minorHAnsi" w:cstheme="minorBidi"/>
          <w:szCs w:val="28"/>
          <w:lang w:eastAsia="zh-CN"/>
        </w:rPr>
        <w:t>.</w:t>
      </w:r>
    </w:p>
    <w:p w14:paraId="6B7EE01A" w14:textId="23C4B725" w:rsid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It is important to address the multifaceted dimensions of digital inclusion. This requires prioritizing a comprehensive approach that empowers older generations to confidently navigate digital spaces, enables youth as digital natives to actively shape the digital future, and ensures that women and girls have equal opportunities to participate in the digital world. </w:t>
      </w:r>
      <w:r w:rsidR="0081074E" w:rsidRPr="0081074E">
        <w:rPr>
          <w:rFonts w:asciiTheme="minorHAnsi" w:eastAsiaTheme="minorEastAsia" w:hAnsiTheme="minorHAnsi" w:cstheme="minorBidi"/>
          <w:szCs w:val="28"/>
          <w:lang w:eastAsia="zh-CN"/>
        </w:rPr>
        <w:t>Equipping all populations with essential digital skills is vital for their effective engagement, while meaningful connectivity, encompassing quality of service, affordability, and relevance of content, remains fundamental to fostering inclusivity and driving sustainable digital transformation. Digital skills are the essential bridge between connectivity and meaningful use; without these competencies, individuals cannot fully benefit from online services, education, and employment opportunities.</w:t>
      </w:r>
      <w:r w:rsidR="0081074E">
        <w:rPr>
          <w:rFonts w:asciiTheme="minorHAnsi" w:eastAsiaTheme="minorEastAsia" w:hAnsiTheme="minorHAnsi" w:cstheme="minorBidi"/>
          <w:szCs w:val="28"/>
          <w:lang w:eastAsia="zh-CN"/>
        </w:rPr>
        <w:t xml:space="preserve"> </w:t>
      </w:r>
      <w:r w:rsidR="00864D7E" w:rsidRPr="006151B7">
        <w:rPr>
          <w:rFonts w:asciiTheme="minorHAnsi" w:eastAsiaTheme="minorEastAsia" w:hAnsiTheme="minorHAnsi" w:cstheme="minorBidi"/>
          <w:szCs w:val="28"/>
          <w:lang w:eastAsia="zh-CN"/>
        </w:rPr>
        <w:t>The rapid evolution of technology further demands continuous upskilling</w:t>
      </w:r>
      <w:r w:rsidR="008D0147" w:rsidRPr="006151B7">
        <w:rPr>
          <w:rFonts w:asciiTheme="minorHAnsi" w:eastAsiaTheme="minorEastAsia" w:hAnsiTheme="minorHAnsi" w:cstheme="minorBidi"/>
          <w:szCs w:val="28"/>
          <w:lang w:eastAsia="zh-CN"/>
        </w:rPr>
        <w:t>,</w:t>
      </w:r>
      <w:r w:rsidR="00864D7E" w:rsidRPr="006151B7">
        <w:rPr>
          <w:rFonts w:asciiTheme="minorHAnsi" w:eastAsiaTheme="minorEastAsia" w:hAnsiTheme="minorHAnsi" w:cstheme="minorBidi"/>
          <w:szCs w:val="28"/>
          <w:lang w:eastAsia="zh-CN"/>
        </w:rPr>
        <w:t xml:space="preserve"> </w:t>
      </w:r>
      <w:r w:rsidR="008D0147">
        <w:rPr>
          <w:rFonts w:asciiTheme="minorHAnsi" w:eastAsiaTheme="minorEastAsia" w:hAnsiTheme="minorHAnsi" w:cstheme="minorBidi"/>
          <w:szCs w:val="28"/>
          <w:lang w:eastAsia="zh-CN"/>
        </w:rPr>
        <w:t>e</w:t>
      </w:r>
      <w:r w:rsidR="00864D7E" w:rsidRPr="006151B7">
        <w:rPr>
          <w:rFonts w:asciiTheme="minorHAnsi" w:eastAsiaTheme="minorEastAsia" w:hAnsiTheme="minorHAnsi" w:cstheme="minorBidi"/>
          <w:szCs w:val="28"/>
          <w:lang w:eastAsia="zh-CN"/>
        </w:rPr>
        <w:t>mbedding digital literacy into education systems</w:t>
      </w:r>
      <w:r w:rsidR="008D0147">
        <w:rPr>
          <w:rFonts w:asciiTheme="minorHAnsi" w:eastAsiaTheme="minorEastAsia" w:hAnsiTheme="minorHAnsi" w:cstheme="minorBidi"/>
          <w:szCs w:val="28"/>
          <w:lang w:eastAsia="zh-CN"/>
        </w:rPr>
        <w:t>,</w:t>
      </w:r>
      <w:r w:rsidR="00864D7E" w:rsidRPr="0095099C">
        <w:rPr>
          <w:rFonts w:asciiTheme="minorHAnsi" w:eastAsiaTheme="minorEastAsia" w:hAnsiTheme="minorHAnsi" w:cstheme="minorBidi"/>
          <w:szCs w:val="28"/>
          <w:lang w:eastAsia="zh-CN"/>
        </w:rPr>
        <w:t xml:space="preserve"> and fostering partnerships among governments, industry, and civil society </w:t>
      </w:r>
      <w:r w:rsidR="00864D7E" w:rsidRPr="006151B7">
        <w:rPr>
          <w:rFonts w:asciiTheme="minorHAnsi" w:eastAsiaTheme="minorEastAsia" w:hAnsiTheme="minorHAnsi" w:cstheme="minorBidi"/>
          <w:szCs w:val="28"/>
          <w:lang w:eastAsia="zh-CN"/>
        </w:rPr>
        <w:t>to build</w:t>
      </w:r>
      <w:r w:rsidR="00864D7E" w:rsidRPr="0095099C">
        <w:rPr>
          <w:rFonts w:asciiTheme="minorHAnsi" w:eastAsiaTheme="minorEastAsia" w:hAnsiTheme="minorHAnsi" w:cstheme="minorBidi"/>
          <w:szCs w:val="28"/>
          <w:lang w:eastAsia="zh-CN"/>
        </w:rPr>
        <w:t xml:space="preserve"> digitally capable and resilient populations.</w:t>
      </w:r>
    </w:p>
    <w:p w14:paraId="41024A86" w14:textId="143E0681" w:rsidR="005C7008" w:rsidRPr="00756188" w:rsidRDefault="005C7008" w:rsidP="005C7008">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p>
    <w:p w14:paraId="7D682EA4" w14:textId="7B9C8F43"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1" behindDoc="0" locked="1" layoutInCell="1" allowOverlap="1" wp14:anchorId="062835A4" wp14:editId="18C6483B">
                <wp:simplePos x="0" y="0"/>
                <wp:positionH relativeFrom="column">
                  <wp:posOffset>2640965</wp:posOffset>
                </wp:positionH>
                <wp:positionV relativeFrom="page">
                  <wp:posOffset>5676265</wp:posOffset>
                </wp:positionV>
                <wp:extent cx="3163570" cy="1783080"/>
                <wp:effectExtent l="0" t="0" r="17780" b="26670"/>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1783080"/>
                        </a:xfrm>
                        <a:prstGeom prst="rect">
                          <a:avLst/>
                        </a:prstGeom>
                        <a:solidFill>
                          <a:srgbClr val="FFFFFF"/>
                        </a:solidFill>
                        <a:ln w="12700">
                          <a:solidFill>
                            <a:srgbClr val="4F81BD">
                              <a:lumMod val="75000"/>
                            </a:srgbClr>
                          </a:solidFill>
                          <a:miter lim="800000"/>
                          <a:headEnd/>
                          <a:tailEnd/>
                        </a:ln>
                      </wps:spPr>
                      <wps:txbx>
                        <w:txbxContent>
                          <w:p w14:paraId="0DAFFE98" w14:textId="77777777" w:rsidR="00756188" w:rsidRPr="008C07EF" w:rsidRDefault="00756188" w:rsidP="00756188">
                            <w:pPr>
                              <w:rPr>
                                <w:color w:val="4F81BD" w:themeColor="accent1"/>
                                <w:sz w:val="22"/>
                              </w:rPr>
                            </w:pPr>
                            <w:r w:rsidRPr="008C07EF">
                              <w:rPr>
                                <w:color w:val="4F81BD" w:themeColor="accent1"/>
                                <w:sz w:val="22"/>
                              </w:rPr>
                              <w:t xml:space="preserve">Beyond Infrastructure: </w:t>
                            </w:r>
                          </w:p>
                          <w:p w14:paraId="16543EDE" w14:textId="70859285" w:rsidR="00DC5C5E" w:rsidRPr="008C07EF" w:rsidRDefault="00756188" w:rsidP="00756188">
                            <w:pPr>
                              <w:jc w:val="both"/>
                              <w:rPr>
                                <w:sz w:val="22"/>
                              </w:rPr>
                            </w:pPr>
                            <w:r w:rsidRPr="008C07EF">
                              <w:rPr>
                                <w:sz w:val="22"/>
                              </w:rPr>
                              <w:t>Some 2.6 billion people remain offline, around 3</w:t>
                            </w:r>
                            <w:r w:rsidR="005811F3">
                              <w:rPr>
                                <w:sz w:val="22"/>
                              </w:rPr>
                              <w:t>2</w:t>
                            </w:r>
                            <w:r w:rsidRPr="008C07EF">
                              <w:rPr>
                                <w:sz w:val="22"/>
                              </w:rPr>
                              <w:t xml:space="preserve">% or one-third of the global population. By the end of 2022, an estimated “usage gap” of 38% of the global population lived within mobile broadband coverage but were not using it, while </w:t>
                            </w:r>
                            <w:r w:rsidR="009E23EA">
                              <w:rPr>
                                <w:sz w:val="22"/>
                              </w:rPr>
                              <w:t>4</w:t>
                            </w:r>
                            <w:r w:rsidRPr="008C07EF">
                              <w:rPr>
                                <w:sz w:val="22"/>
                              </w:rPr>
                              <w:t>% of people are still not covered by mobile broadband (coverage gap).</w:t>
                            </w:r>
                          </w:p>
                          <w:p w14:paraId="6BAFF4C3" w14:textId="5B03AA06" w:rsidR="00756188" w:rsidRPr="006D2DEA" w:rsidRDefault="00756188" w:rsidP="00756188">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“Facts and Figures 202</w:t>
                            </w:r>
                            <w:r w:rsidR="004C0A6C">
                              <w:rPr>
                                <w:rFonts w:cs="Calibri"/>
                                <w:i/>
                                <w:iCs/>
                                <w:sz w:val="18"/>
                                <w:szCs w:val="18"/>
                              </w:rPr>
                              <w:t>4</w:t>
                            </w:r>
                            <w:r w:rsidRPr="006D2DEA">
                              <w:rPr>
                                <w:rFonts w:cs="Calibri"/>
                                <w:i/>
                                <w:iCs/>
                                <w:sz w:val="18"/>
                                <w:szCs w:val="18"/>
                              </w:rPr>
                              <w:t xml:space="preserve">” </w:t>
                            </w:r>
                            <w:r w:rsidRPr="006D2DEA">
                              <w:rPr>
                                <w:i/>
                                <w:iCs/>
                                <w:sz w:val="18"/>
                                <w:szCs w:val="18"/>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2835A4" id="Text Box 1" o:spid="_x0000_s1027" type="#_x0000_t202" style="position:absolute;left:0;text-align:left;margin-left:207.95pt;margin-top:446.95pt;width:249.1pt;height:14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" strokecolor="#376092" strokeweight="1pt">
                <v:textbox>
                  <w:txbxContent>
                    <w:p w14:paraId="0DAFFE98" w14:textId="77777777" w:rsidR="00756188" w:rsidRPr="008C07EF" w:rsidRDefault="00756188" w:rsidP="00756188">
                      <w:pPr>
                        <w:rPr>
                          <w:color w:val="4F81BD" w:themeColor="accent1"/>
                          <w:sz w:val="22"/>
                        </w:rPr>
                      </w:pPr>
                      <w:r w:rsidRPr="008C07EF">
                        <w:rPr>
                          <w:color w:val="4F81BD" w:themeColor="accent1"/>
                          <w:sz w:val="22"/>
                        </w:rPr>
                        <w:t xml:space="preserve">Beyond Infrastructure: </w:t>
                      </w:r>
                    </w:p>
                    <w:p w14:paraId="16543EDE" w14:textId="70859285" w:rsidR="00DC5C5E" w:rsidRPr="008C07EF" w:rsidRDefault="00756188" w:rsidP="00756188">
                      <w:pPr>
                        <w:jc w:val="both"/>
                        <w:rPr>
                          <w:sz w:val="22"/>
                        </w:rPr>
                      </w:pPr>
                      <w:r w:rsidRPr="008C07EF">
                        <w:rPr>
                          <w:sz w:val="22"/>
                        </w:rPr>
                        <w:t>Some 2.6 billion people remain offline, around 3</w:t>
                      </w:r>
                      <w:r w:rsidR="005811F3">
                        <w:rPr>
                          <w:sz w:val="22"/>
                        </w:rPr>
                        <w:t>2</w:t>
                      </w:r>
                      <w:r w:rsidRPr="008C07EF">
                        <w:rPr>
                          <w:sz w:val="22"/>
                        </w:rPr>
                        <w:t xml:space="preserve">% or one-third of the global population. By the end of 2022, an estimated “usage gap” of 38% of the global population lived within mobile broadband coverage but were not using it, while </w:t>
                      </w:r>
                      <w:r w:rsidR="009E23EA">
                        <w:rPr>
                          <w:sz w:val="22"/>
                        </w:rPr>
                        <w:t>4</w:t>
                      </w:r>
                      <w:r w:rsidRPr="008C07EF">
                        <w:rPr>
                          <w:sz w:val="22"/>
                        </w:rPr>
                        <w:t>% of people are still not covered by mobile broadband (coverage gap).</w:t>
                      </w:r>
                    </w:p>
                    <w:p w14:paraId="6BAFF4C3" w14:textId="5B03AA06" w:rsidR="00756188" w:rsidRPr="006D2DEA" w:rsidRDefault="00756188" w:rsidP="00756188">
                      <w:pPr>
                        <w:jc w:val="both"/>
                        <w:rPr>
                          <w:i/>
                          <w:iCs/>
                          <w:sz w:val="18"/>
                          <w:szCs w:val="18"/>
                        </w:rPr>
                      </w:pPr>
                      <w:r w:rsidRPr="006D2DEA">
                        <w:rPr>
                          <w:i/>
                          <w:iCs/>
                          <w:sz w:val="18"/>
                          <w:szCs w:val="18"/>
                        </w:rPr>
                        <w:t xml:space="preserve">Source: International Telecommunications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“Facts and Figures 202</w:t>
                      </w:r>
                      <w:r w:rsidR="004C0A6C">
                        <w:rPr>
                          <w:rFonts w:cs="Calibri"/>
                          <w:i/>
                          <w:iCs/>
                          <w:sz w:val="18"/>
                          <w:szCs w:val="18"/>
                        </w:rPr>
                        <w:t>4</w:t>
                      </w:r>
                      <w:r w:rsidRPr="006D2DEA">
                        <w:rPr>
                          <w:rFonts w:cs="Calibri"/>
                          <w:i/>
                          <w:iCs/>
                          <w:sz w:val="18"/>
                          <w:szCs w:val="18"/>
                        </w:rPr>
                        <w:t xml:space="preserve">” </w:t>
                      </w:r>
                      <w:r w:rsidRPr="006D2DEA">
                        <w:rPr>
                          <w:i/>
                          <w:iCs/>
                          <w:sz w:val="18"/>
                          <w:szCs w:val="18"/>
                        </w:rPr>
                        <w:fldChar w:fldCharType="end"/>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This multidimensional understanding of digital divides, grounded in the UMC framework, underscores that achieving true digital inclusion necessitates a holistic approach. This spans from ensuring basic connectivity and affordability to advancing digital literacy and foundational skills development among targeted populations. It emphasizes the importance of gender-responsive strategies, collaborative learning opportunities, and fostering meaningful engagement to empower all individuals in the digital ecosystem.</w:t>
      </w:r>
    </w:p>
    <w:p w14:paraId="3E87CDDA" w14:textId="499E02A1" w:rsidR="00756188" w:rsidRPr="0095099C"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 people living in rural and remote communities, and marginalized groups as well as older populations, who may face multiple barriers to digital adoption. Additionally, persistent gender divides in both access and skills development continue to limit women and girls' participation in the digital economy and their access to government services, education, and other digital opportunities, particularly in developing countries.</w:t>
      </w:r>
    </w:p>
    <w:p w14:paraId="74353545" w14:textId="7CDA3035" w:rsidR="00756188" w:rsidRPr="0095099C"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6" behindDoc="0" locked="1" layoutInCell="1" allowOverlap="1" wp14:anchorId="0D668ED3" wp14:editId="71A51226">
                <wp:simplePos x="0" y="0"/>
                <wp:positionH relativeFrom="column">
                  <wp:posOffset>87630</wp:posOffset>
                </wp:positionH>
                <wp:positionV relativeFrom="page">
                  <wp:posOffset>2343150</wp:posOffset>
                </wp:positionV>
                <wp:extent cx="5577840" cy="1783080"/>
                <wp:effectExtent l="0" t="0" r="22860" b="26670"/>
                <wp:wrapSquare wrapText="bothSides"/>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783080"/>
                        </a:xfrm>
                        <a:prstGeom prst="rect">
                          <a:avLst/>
                        </a:prstGeom>
                        <a:solidFill>
                          <a:srgbClr val="FFFFFF"/>
                        </a:solidFill>
                        <a:ln w="19050">
                          <a:solidFill>
                            <a:srgbClr val="4F81BD">
                              <a:lumMod val="100000"/>
                              <a:lumOff val="0"/>
                            </a:srgbClr>
                          </a:solidFill>
                          <a:miter lim="800000"/>
                          <a:headEnd/>
                          <a:tailEnd/>
                        </a:ln>
                      </wps:spPr>
                      <wps:txbx>
                        <w:txbxContent>
                          <w:p w14:paraId="3E5F3E28" w14:textId="77777777" w:rsidR="00756188" w:rsidRPr="006D2DEA" w:rsidRDefault="00756188" w:rsidP="00756188">
                            <w:pPr>
                              <w:rPr>
                                <w:color w:val="4F81BD" w:themeColor="accent1"/>
                                <w:sz w:val="22"/>
                              </w:rPr>
                            </w:pPr>
                            <w:r w:rsidRPr="006D2DEA">
                              <w:rPr>
                                <w:color w:val="4F81BD" w:themeColor="accent1"/>
                                <w:sz w:val="22"/>
                              </w:rPr>
                              <w:t>Digital Skills</w:t>
                            </w:r>
                          </w:p>
                          <w:p w14:paraId="66E05F31" w14:textId="77777777" w:rsidR="00756188" w:rsidRPr="006D2DEA" w:rsidRDefault="00756188" w:rsidP="00756188">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48B0D2C3" w14:textId="79ED18B9" w:rsidR="00756188" w:rsidRPr="006D2DEA" w:rsidRDefault="00756188" w:rsidP="00756188">
                            <w:pPr>
                              <w:rPr>
                                <w:i/>
                                <w:iCs/>
                                <w:sz w:val="18"/>
                                <w:szCs w:val="18"/>
                              </w:rPr>
                            </w:pPr>
                            <w:r w:rsidRPr="006D2DEA">
                              <w:rPr>
                                <w:i/>
                                <w:iCs/>
                                <w:sz w:val="18"/>
                                <w:szCs w:val="18"/>
                              </w:rPr>
                              <w:t>Source: International Telecommunication Union, “</w:t>
                            </w:r>
                            <w:hyperlink r:id="rId17" w:history="1">
                              <w:r w:rsidRPr="00D751EB">
                                <w:rPr>
                                  <w:rStyle w:val="Hyperlink"/>
                                  <w:i/>
                                  <w:iCs/>
                                  <w:sz w:val="18"/>
                                  <w:szCs w:val="18"/>
                                </w:rPr>
                                <w:t>Skills development for the digital economy</w:t>
                              </w:r>
                            </w:hyperlink>
                            <w:r w:rsidRPr="006D2DEA">
                              <w:rPr>
                                <w:i/>
                                <w:iCs/>
                                <w:sz w:val="18"/>
                                <w:szCs w:val="18"/>
                              </w:rPr>
                              <w:t>”, November 2024</w:t>
                            </w:r>
                          </w:p>
                        </w:txbxContent>
                      </wps:txbx>
                      <wps:bodyPr rot="0" vert="horz" wrap="square" lIns="91440" tIns="45720" rIns="91440" bIns="45720" anchor="t" anchorCtr="0" upright="1">
                        <a:noAutofit/>
                      </wps:bodyPr>
                    </wps:wsp>
                  </a:graphicData>
                </a:graphic>
              </wp:anchor>
            </w:drawing>
          </mc:Choice>
          <mc:Fallback>
            <w:pict>
              <v:shape w14:anchorId="0D668ED3" id="_x0000_s1028" type="#_x0000_t202" style="position:absolute;left:0;text-align:left;margin-left:6.9pt;margin-top:184.5pt;width:439.2pt;height:140.4pt;z-index:25165824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" strokecolor="#4f81bd" strokeweight="1.5pt">
                <v:textbox>
                  <w:txbxContent>
                    <w:p w14:paraId="3E5F3E28" w14:textId="77777777" w:rsidR="00756188" w:rsidRPr="006D2DEA" w:rsidRDefault="00756188" w:rsidP="00756188">
                      <w:pPr>
                        <w:rPr>
                          <w:color w:val="4F81BD" w:themeColor="accent1"/>
                          <w:sz w:val="22"/>
                        </w:rPr>
                      </w:pPr>
                      <w:r w:rsidRPr="006D2DEA">
                        <w:rPr>
                          <w:color w:val="4F81BD" w:themeColor="accent1"/>
                          <w:sz w:val="22"/>
                        </w:rPr>
                        <w:t>Digital Skills</w:t>
                      </w:r>
                    </w:p>
                    <w:p w14:paraId="66E05F31" w14:textId="77777777" w:rsidR="00756188" w:rsidRPr="006D2DEA" w:rsidRDefault="00756188" w:rsidP="00756188">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48B0D2C3" w14:textId="79ED18B9" w:rsidR="00756188" w:rsidRPr="006D2DEA" w:rsidRDefault="00756188" w:rsidP="00756188">
                      <w:pPr>
                        <w:rPr>
                          <w:i/>
                          <w:iCs/>
                          <w:sz w:val="18"/>
                          <w:szCs w:val="18"/>
                        </w:rPr>
                      </w:pPr>
                      <w:r w:rsidRPr="006D2DEA">
                        <w:rPr>
                          <w:i/>
                          <w:iCs/>
                          <w:sz w:val="18"/>
                          <w:szCs w:val="18"/>
                        </w:rPr>
                        <w:t>Source: International Telecommunication Union, “</w:t>
                      </w:r>
                      <w:hyperlink r:id="rId18" w:history="1">
                        <w:r w:rsidRPr="00D751EB">
                          <w:rPr>
                            <w:rStyle w:val="Hyperlink"/>
                            <w:i/>
                            <w:iCs/>
                            <w:sz w:val="18"/>
                            <w:szCs w:val="18"/>
                          </w:rPr>
                          <w:t>Skills development for the digital economy</w:t>
                        </w:r>
                      </w:hyperlink>
                      <w:r w:rsidRPr="006D2DEA">
                        <w:rPr>
                          <w:i/>
                          <w:iCs/>
                          <w:sz w:val="18"/>
                          <w:szCs w:val="18"/>
                        </w:rPr>
                        <w:t>”, November 2024</w:t>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 xml:space="preserve">The rapid development of new and emerging telecommunication/ICT services and technologies, particularly artificial intelligence, brings new challenges to bridging digital divides. New gaps in access to and use of these technologies are becoming increasingly prominent, especially in developing countries, highlighting the need for enhanced international cooperation on capacity-building in this field. </w:t>
      </w:r>
    </w:p>
    <w:p w14:paraId="38497C06" w14:textId="77777777" w:rsid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7" behindDoc="0" locked="1" layoutInCell="1" allowOverlap="1" wp14:anchorId="3E6AD7E0" wp14:editId="2C9D4C87">
                <wp:simplePos x="0" y="0"/>
                <wp:positionH relativeFrom="column">
                  <wp:posOffset>81915</wp:posOffset>
                </wp:positionH>
                <wp:positionV relativeFrom="paragraph">
                  <wp:posOffset>2272665</wp:posOffset>
                </wp:positionV>
                <wp:extent cx="5577840" cy="2981960"/>
                <wp:effectExtent l="0" t="0" r="22860" b="27940"/>
                <wp:wrapSquare wrapText="bothSides"/>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981960"/>
                        </a:xfrm>
                        <a:prstGeom prst="rect">
                          <a:avLst/>
                        </a:prstGeom>
                        <a:solidFill>
                          <a:srgbClr val="FFFFFF"/>
                        </a:solidFill>
                        <a:ln w="19050">
                          <a:solidFill>
                            <a:srgbClr val="9BBB59"/>
                          </a:solidFill>
                          <a:miter lim="800000"/>
                          <a:headEnd/>
                          <a:tailEnd/>
                        </a:ln>
                      </wps:spPr>
                      <wps:txbx>
                        <w:txbxContent>
                          <w:p w14:paraId="02DDBDB1" w14:textId="71553C9B" w:rsidR="00756188" w:rsidRPr="006753B0" w:rsidRDefault="00756188" w:rsidP="00756188">
                            <w:pPr>
                              <w:rPr>
                                <w:color w:val="9BBB59" w:themeColor="accent3"/>
                                <w:sz w:val="22"/>
                              </w:rPr>
                            </w:pPr>
                            <w:r w:rsidRPr="006753B0">
                              <w:rPr>
                                <w:color w:val="9BBB59" w:themeColor="accent3"/>
                                <w:sz w:val="22"/>
                              </w:rPr>
                              <w:t>Case Study: Digital Skills Toolkit</w:t>
                            </w:r>
                            <w:r w:rsidR="008F7FBC">
                              <w:rPr>
                                <w:color w:val="9BBB59" w:themeColor="accent3"/>
                                <w:sz w:val="22"/>
                              </w:rPr>
                              <w:t xml:space="preserve"> &amp; </w:t>
                            </w:r>
                            <w:r w:rsidR="008F7FBC" w:rsidRPr="00C2203D">
                              <w:rPr>
                                <w:color w:val="9BBB59" w:themeColor="accent3"/>
                                <w:sz w:val="22"/>
                              </w:rPr>
                              <w:t>AI Skills Coalition</w:t>
                            </w:r>
                          </w:p>
                          <w:p w14:paraId="0FC2D452" w14:textId="77777777" w:rsidR="00756188" w:rsidRDefault="00756188" w:rsidP="00756188">
                            <w:pPr>
                              <w:jc w:val="both"/>
                              <w:rPr>
                                <w:sz w:val="22"/>
                              </w:rPr>
                            </w:pPr>
                            <w:r w:rsidRPr="006D2DEA">
                              <w:rPr>
                                <w:sz w:val="22"/>
                              </w:rPr>
                              <w:t xml:space="preserve">The ITU </w:t>
                            </w:r>
                            <w:hyperlink r:id="rId19"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5F6C8085" w14:textId="0086F847" w:rsidR="008F7FBC" w:rsidRPr="006D2DEA" w:rsidRDefault="008F7FBC" w:rsidP="00756188">
                            <w:pPr>
                              <w:jc w:val="both"/>
                              <w:rPr>
                                <w:sz w:val="22"/>
                              </w:rPr>
                            </w:pPr>
                            <w:r w:rsidRPr="00C2203D">
                              <w:rPr>
                                <w:sz w:val="22"/>
                              </w:rPr>
                              <w:t xml:space="preserve">Launched by ITU under the AI for Good Impact Initiative, the </w:t>
                            </w:r>
                            <w:hyperlink r:id="rId20"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E6AD7E0" id="_x0000_s1029" type="#_x0000_t202" style="position:absolute;left:0;text-align:left;margin-left:6.45pt;margin-top:178.95pt;width:439.2pt;height:234.8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" strokecolor="#9bbb59" strokeweight="1.5pt">
                <v:textbox>
                  <w:txbxContent>
                    <w:p w14:paraId="02DDBDB1" w14:textId="71553C9B" w:rsidR="00756188" w:rsidRPr="006753B0" w:rsidRDefault="00756188" w:rsidP="00756188">
                      <w:pPr>
                        <w:rPr>
                          <w:color w:val="9BBB59" w:themeColor="accent3"/>
                          <w:sz w:val="22"/>
                        </w:rPr>
                      </w:pPr>
                      <w:r w:rsidRPr="006753B0">
                        <w:rPr>
                          <w:color w:val="9BBB59" w:themeColor="accent3"/>
                          <w:sz w:val="22"/>
                        </w:rPr>
                        <w:t>Case Study: Digital Skills Toolkit</w:t>
                      </w:r>
                      <w:r w:rsidR="008F7FBC">
                        <w:rPr>
                          <w:color w:val="9BBB59" w:themeColor="accent3"/>
                          <w:sz w:val="22"/>
                        </w:rPr>
                        <w:t xml:space="preserve"> &amp; </w:t>
                      </w:r>
                      <w:r w:rsidR="008F7FBC" w:rsidRPr="00C2203D">
                        <w:rPr>
                          <w:color w:val="9BBB59" w:themeColor="accent3"/>
                          <w:sz w:val="22"/>
                        </w:rPr>
                        <w:t>AI Skills Coalition</w:t>
                      </w:r>
                    </w:p>
                    <w:p w14:paraId="0FC2D452" w14:textId="77777777" w:rsidR="00756188" w:rsidRDefault="00756188" w:rsidP="00756188">
                      <w:pPr>
                        <w:jc w:val="both"/>
                        <w:rPr>
                          <w:sz w:val="22"/>
                        </w:rPr>
                      </w:pPr>
                      <w:r w:rsidRPr="006D2DEA">
                        <w:rPr>
                          <w:sz w:val="22"/>
                        </w:rPr>
                        <w:t xml:space="preserve">The ITU </w:t>
                      </w:r>
                      <w:hyperlink r:id="rId21"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5F6C8085" w14:textId="0086F847" w:rsidR="008F7FBC" w:rsidRPr="006D2DEA" w:rsidRDefault="008F7FBC" w:rsidP="00756188">
                      <w:pPr>
                        <w:jc w:val="both"/>
                        <w:rPr>
                          <w:sz w:val="22"/>
                        </w:rPr>
                      </w:pPr>
                      <w:r w:rsidRPr="00C2203D">
                        <w:rPr>
                          <w:sz w:val="22"/>
                        </w:rPr>
                        <w:t xml:space="preserve">Launched by ITU under the AI for Good Impact Initiative, the </w:t>
                      </w:r>
                      <w:hyperlink r:id="rId22"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v:textbox>
                <w10:wrap type="square"/>
                <w10:anchorlock/>
              </v:shape>
            </w:pict>
          </mc:Fallback>
        </mc:AlternateContent>
      </w:r>
      <w:r w:rsidRPr="00756188">
        <w:rPr>
          <w:rFonts w:asciiTheme="minorHAnsi" w:eastAsiaTheme="minorEastAsia" w:hAnsiTheme="minorHAnsi" w:cstheme="minorBidi"/>
          <w:szCs w:val="28"/>
          <w:lang w:eastAsia="zh-CN"/>
        </w:rPr>
        <w:t>Urgent action is required by all relevant stakeholders – governments, private sector, educational and training institutes, international organizations and civil society – to address the global digital skills gap.</w:t>
      </w:r>
    </w:p>
    <w:p w14:paraId="4FC98C9A" w14:textId="25979F44" w:rsidR="00862AEA" w:rsidRDefault="00862AEA"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862AEA">
        <w:rPr>
          <w:rFonts w:asciiTheme="minorHAnsi" w:eastAsiaTheme="minorEastAsia" w:hAnsiTheme="minorHAnsi" w:cstheme="minorBidi"/>
          <w:szCs w:val="28"/>
          <w:lang w:eastAsia="zh-CN"/>
        </w:rPr>
        <w:t>Small Island Developing States and many developing countries face compounded challenges in bridging digital divides, including geographic isolation, limited infrastructure, climate vulnerability, and constrained financial and human resources, requiring tailored approaches and enhanced international cooperation.</w:t>
      </w:r>
    </w:p>
    <w:p w14:paraId="52B08CDD" w14:textId="02C9E44A" w:rsidR="00756188" w:rsidRPr="0095099C" w:rsidRDefault="00FE5D1C" w:rsidP="0027751C">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FE5D1C">
        <w:rPr>
          <w:rFonts w:asciiTheme="minorHAnsi" w:eastAsiaTheme="minorEastAsia" w:hAnsiTheme="minorHAnsi" w:cstheme="minorBidi"/>
          <w:szCs w:val="28"/>
          <w:lang w:eastAsia="zh-CN"/>
        </w:rPr>
        <w:t>Evidence-based policymaking benefits from robust monitoring frameworks and metrics that can accurately assess the impact of digital inclusion programs, enabling adaptive learning, accountability, and informed decision-making.</w:t>
      </w:r>
    </w:p>
    <w:p w14:paraId="5A18CD4E" w14:textId="3EA55595" w:rsidR="00756188" w:rsidRPr="00756188" w:rsidRDefault="00756188" w:rsidP="0027751C">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221" w:hanging="51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Against the backdrop of these considerations, some telecommunication/ICT services</w:t>
      </w:r>
      <w:r w:rsidR="0027751C">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 xml:space="preserve">and technologies policy questions that could be studied include: </w:t>
      </w:r>
    </w:p>
    <w:p w14:paraId="04890D12"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val="en-IN" w:eastAsia="zh-CN"/>
        </w:rPr>
        <w:t>How can strategies and policies foster investments in affordable and accessible telecommunications infrastructure, digital platforms in local languages, and age-friendly technologies to bridge the digital divide across gender, age, socio-economic, and urban-rural disparities?</w:t>
      </w:r>
    </w:p>
    <w:p w14:paraId="18C715F4"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strategies can policymakers adopt to promote digital literacy, skills development, and access to in-demand skills, ensuring equal opportunities for individuals across various demographics, while involving the private sector and civil society in these efforts?</w:t>
      </w:r>
    </w:p>
    <w:p w14:paraId="28A1DDC6"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national and international organizations collaborate to develop innovative technologies, scale solutions, and take initiatives to connect the unconnected, improve digital affordability, and enhance global digital literacy?</w:t>
      </w:r>
    </w:p>
    <w:p w14:paraId="64C5CE3E"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educational institutions and policymakers promote innovation, entrepreneurship, and equitable access to digital resources for students and entrepreneurs, addressing barriers caused by the digital divide?</w:t>
      </w:r>
    </w:p>
    <w:p w14:paraId="45EC0867" w14:textId="2098E706" w:rsidR="00756188" w:rsidRPr="0095099C"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are the key challenges faced by developing countries including Small Island Developing States (SIDS) in adopting emerging technologies required to bridge the digital divide, and how can stakeholders support them in building the necessary capacity?</w:t>
      </w:r>
    </w:p>
    <w:p w14:paraId="0B0B3F9B"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existing monitoring frameworks and metrics be refined or how can new ones be developed to effectively assess the impact of programs and policies designed to bridge the digital divide?</w:t>
      </w:r>
    </w:p>
    <w:p w14:paraId="4993E2EB"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Green Digital Transformation: Climate Change and Environmental Sustainability</w:t>
      </w:r>
    </w:p>
    <w:p w14:paraId="72F06140" w14:textId="48DEA71B" w:rsidR="00756188" w:rsidRPr="00BC481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While technology can play a critical role in monitoring, mitigating and adapting to environmental sustainability and climate change, digital transformation brings significant implications. Such implications include rising greenhouse gas emissions and energy use from the telecommunication/ICT sector along with growing volumes of e-waste. New and emerging telecommunication/ICT services and technologies, in particular</w:t>
      </w:r>
      <w:r w:rsidR="00CC50FC">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 xml:space="preserve">AI, are proving transformative in advancing environmental protection and climate action. AI applications are being deployed to optimize energy efficiency, predict extreme weather events, monitor biodiversity, and enhance climate modelling. These technologies are also enabling other sectors </w:t>
      </w:r>
      <w:r w:rsidR="003039C6">
        <w:rPr>
          <w:rFonts w:asciiTheme="minorHAnsi" w:eastAsiaTheme="minorEastAsia" w:hAnsiTheme="minorHAnsi" w:cstheme="minorBidi"/>
          <w:szCs w:val="28"/>
          <w:lang w:eastAsia="zh-CN"/>
        </w:rPr>
        <w:t xml:space="preserve">such as </w:t>
      </w:r>
      <w:r w:rsidRPr="00756188">
        <w:rPr>
          <w:rFonts w:asciiTheme="minorHAnsi" w:eastAsiaTheme="minorEastAsia" w:hAnsiTheme="minorHAnsi" w:cstheme="minorBidi"/>
          <w:szCs w:val="28"/>
          <w:lang w:eastAsia="zh-CN"/>
        </w:rPr>
        <w:t xml:space="preserve">energy, manufacturing industry, transportation and </w:t>
      </w:r>
      <w:r w:rsidR="00BC4818" w:rsidRPr="00756188">
        <w:rPr>
          <w:rFonts w:asciiTheme="minorHAnsi" w:eastAsiaTheme="minorEastAsia" w:hAnsiTheme="minorHAnsi" w:cstheme="minorBidi"/>
          <w:szCs w:val="28"/>
          <w:lang w:eastAsia="zh-CN"/>
        </w:rPr>
        <w:t>construction</w:t>
      </w:r>
      <w:r w:rsidR="00BC4818">
        <w:rPr>
          <w:rFonts w:asciiTheme="minorHAnsi" w:eastAsiaTheme="minorEastAsia" w:hAnsiTheme="minorHAnsi" w:cstheme="minorBidi"/>
          <w:szCs w:val="28"/>
          <w:lang w:eastAsia="zh-CN"/>
        </w:rPr>
        <w:t xml:space="preserve">, </w:t>
      </w:r>
      <w:r w:rsidR="00BC4818" w:rsidRPr="00756188">
        <w:rPr>
          <w:rFonts w:asciiTheme="minorHAnsi" w:eastAsiaTheme="minorEastAsia" w:hAnsiTheme="minorHAnsi" w:cstheme="minorBidi"/>
          <w:szCs w:val="28"/>
          <w:lang w:eastAsia="zh-CN"/>
        </w:rPr>
        <w:t>to</w:t>
      </w:r>
      <w:r w:rsidRPr="00756188">
        <w:rPr>
          <w:rFonts w:asciiTheme="minorHAnsi" w:eastAsiaTheme="minorEastAsia" w:hAnsiTheme="minorHAnsi" w:cstheme="minorBidi"/>
          <w:szCs w:val="28"/>
          <w:lang w:eastAsia="zh-CN"/>
        </w:rPr>
        <w:t xml:space="preserve"> reduce the climate impact.</w:t>
      </w:r>
    </w:p>
    <w:p w14:paraId="0171A205" w14:textId="7820D93E" w:rsidR="00F7041F" w:rsidRPr="00F7041F"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rapid growth of digital technologies, including AI, whose computational power doubles every 100 days, also underscores the urgent need for sustainable practices in the digital sector. Digital companies already account for nearly 2% of global electricity use and up to 4% of greenhouse gas emissions, which must be reduced by 45% by 2030 to align with the Paris Agreement.  This dependence on finite energy resources presents a fundamental sustainability challenge for the sector, </w:t>
      </w:r>
      <w:proofErr w:type="gramStart"/>
      <w:r w:rsidRPr="00756188">
        <w:rPr>
          <w:rFonts w:asciiTheme="minorHAnsi" w:eastAsiaTheme="minorEastAsia" w:hAnsiTheme="minorHAnsi" w:cstheme="minorBidi"/>
          <w:szCs w:val="28"/>
          <w:lang w:eastAsia="zh-CN"/>
        </w:rPr>
        <w:t>similar to</w:t>
      </w:r>
      <w:proofErr w:type="gramEnd"/>
      <w:r w:rsidRPr="00756188">
        <w:rPr>
          <w:rFonts w:asciiTheme="minorHAnsi" w:eastAsiaTheme="minorEastAsia" w:hAnsiTheme="minorHAnsi" w:cstheme="minorBidi"/>
          <w:szCs w:val="28"/>
          <w:lang w:eastAsia="zh-CN"/>
        </w:rPr>
        <w:t xml:space="preserve"> its reliance on critical raw materials, highlighting the need for a transition to renewable energy sources throughout the digital value chain. </w:t>
      </w:r>
      <w:r w:rsidR="00F7041F"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8" behindDoc="0" locked="1" layoutInCell="1" allowOverlap="1" wp14:anchorId="1C7810B5" wp14:editId="001970AC">
                <wp:simplePos x="0" y="0"/>
                <wp:positionH relativeFrom="column">
                  <wp:posOffset>129540</wp:posOffset>
                </wp:positionH>
                <wp:positionV relativeFrom="paragraph">
                  <wp:posOffset>119380</wp:posOffset>
                </wp:positionV>
                <wp:extent cx="5577840" cy="1898015"/>
                <wp:effectExtent l="0" t="0" r="22860" b="26035"/>
                <wp:wrapSquare wrapText="bothSides"/>
                <wp:docPr id="89505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898015"/>
                        </a:xfrm>
                        <a:prstGeom prst="rect">
                          <a:avLst/>
                        </a:prstGeom>
                        <a:solidFill>
                          <a:srgbClr val="FFFFFF"/>
                        </a:solidFill>
                        <a:ln w="19050">
                          <a:solidFill>
                            <a:srgbClr val="9BBB59"/>
                          </a:solidFill>
                          <a:miter lim="800000"/>
                          <a:headEnd/>
                          <a:tailEnd/>
                        </a:ln>
                      </wps:spPr>
                      <wps:txbx>
                        <w:txbxContent>
                          <w:p w14:paraId="7F61524F" w14:textId="394FCCCF" w:rsidR="00F7041F" w:rsidRPr="006753B0" w:rsidRDefault="00F7041F" w:rsidP="00F7041F">
                            <w:pPr>
                              <w:rPr>
                                <w:color w:val="9BBB59" w:themeColor="accent3"/>
                                <w:sz w:val="22"/>
                              </w:rPr>
                            </w:pPr>
                            <w:r w:rsidRPr="006753B0">
                              <w:rPr>
                                <w:color w:val="9BBB59" w:themeColor="accent3"/>
                                <w:sz w:val="22"/>
                              </w:rPr>
                              <w:t xml:space="preserve">Case Study: </w:t>
                            </w:r>
                            <w:r w:rsidR="00527043" w:rsidRPr="00527043">
                              <w:rPr>
                                <w:color w:val="9BBB59" w:themeColor="accent3"/>
                                <w:sz w:val="22"/>
                              </w:rPr>
                              <w:t>Green Digital Action (GDA) initiative</w:t>
                            </w:r>
                          </w:p>
                          <w:p w14:paraId="539F9F41" w14:textId="341BD39A" w:rsidR="00F7041F" w:rsidRPr="006D2DEA" w:rsidRDefault="00527043" w:rsidP="00527043">
                            <w:pPr>
                              <w:jc w:val="both"/>
                              <w:rPr>
                                <w:sz w:val="22"/>
                              </w:rPr>
                            </w:pPr>
                            <w:r w:rsidRPr="00527043">
                              <w:rPr>
                                <w:sz w:val="22"/>
                              </w:rPr>
                              <w:t xml:space="preserve">The </w:t>
                            </w:r>
                            <w:hyperlink r:id="rId23"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C7810B5" id="_x0000_s1030" type="#_x0000_t202" style="position:absolute;left:0;text-align:left;margin-left:10.2pt;margin-top:9.4pt;width:439.2pt;height:149.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" strokecolor="#9bbb59" strokeweight="1.5pt">
                <v:textbox>
                  <w:txbxContent>
                    <w:p w14:paraId="7F61524F" w14:textId="394FCCCF" w:rsidR="00F7041F" w:rsidRPr="006753B0" w:rsidRDefault="00F7041F" w:rsidP="00F7041F">
                      <w:pPr>
                        <w:rPr>
                          <w:color w:val="9BBB59" w:themeColor="accent3"/>
                          <w:sz w:val="22"/>
                        </w:rPr>
                      </w:pPr>
                      <w:r w:rsidRPr="006753B0">
                        <w:rPr>
                          <w:color w:val="9BBB59" w:themeColor="accent3"/>
                          <w:sz w:val="22"/>
                        </w:rPr>
                        <w:t xml:space="preserve">Case Study: </w:t>
                      </w:r>
                      <w:r w:rsidR="00527043" w:rsidRPr="00527043">
                        <w:rPr>
                          <w:color w:val="9BBB59" w:themeColor="accent3"/>
                          <w:sz w:val="22"/>
                        </w:rPr>
                        <w:t>Green Digital Action (GDA) initiative</w:t>
                      </w:r>
                    </w:p>
                    <w:p w14:paraId="539F9F41" w14:textId="341BD39A" w:rsidR="00F7041F" w:rsidRPr="006D2DEA" w:rsidRDefault="00527043" w:rsidP="00527043">
                      <w:pPr>
                        <w:jc w:val="both"/>
                        <w:rPr>
                          <w:sz w:val="22"/>
                        </w:rPr>
                      </w:pPr>
                      <w:r w:rsidRPr="00527043">
                        <w:rPr>
                          <w:sz w:val="22"/>
                        </w:rPr>
                        <w:t xml:space="preserve">The </w:t>
                      </w:r>
                      <w:hyperlink r:id="rId24"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v:textbox>
                <w10:wrap type="square"/>
                <w10:anchorlock/>
              </v:shape>
            </w:pict>
          </mc:Fallback>
        </mc:AlternateContent>
      </w:r>
    </w:p>
    <w:p w14:paraId="7E07133F"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Meanwhile, the world's transition to a circular economy remains slow, with only 7% of economic activities estimated as circular and 82 billion kilos of e-waste projected to be generated by 2030.  Furthermore, almost half of all countries lack multi-hazard early warning systems, and data gaps in Least Developed Countries and Small Island Developing States exacerbate their vulnerability to climate risks. Green digital transformation offers an opportunity to address these challenges and build a more sustainable, equitable future.</w:t>
      </w:r>
    </w:p>
    <w:p w14:paraId="707A6606"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27DF7B45" wp14:editId="4388D018">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rgbClr val="4F81BD"/>
                          </a:solidFill>
                          <a:miter lim="800000"/>
                          <a:headEnd/>
                          <a:tailEnd/>
                        </a:ln>
                      </wps:spPr>
                      <wps:txbx>
                        <w:txbxContent>
                          <w:p w14:paraId="09A8C83B" w14:textId="77777777" w:rsidR="00756188" w:rsidRPr="006D2DEA" w:rsidRDefault="00756188" w:rsidP="00756188">
                            <w:pPr>
                              <w:rPr>
                                <w:color w:val="4F81BD" w:themeColor="accent1"/>
                                <w:sz w:val="22"/>
                              </w:rPr>
                            </w:pPr>
                            <w:r w:rsidRPr="006D2DEA">
                              <w:rPr>
                                <w:color w:val="4F81BD" w:themeColor="accent1"/>
                                <w:sz w:val="22"/>
                              </w:rPr>
                              <w:t>International Standards at ITU:</w:t>
                            </w:r>
                          </w:p>
                          <w:p w14:paraId="2B1622A7" w14:textId="77777777" w:rsidR="00756188" w:rsidRPr="006D2DEA" w:rsidRDefault="00756188" w:rsidP="00756188">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w:pict>
              <v:shape w14:anchorId="27DF7B45" id="Text Box 2" o:spid="_x0000_s1031"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" strokecolor="#4f81bd" strokeweight="1.5pt">
                <v:textbox>
                  <w:txbxContent>
                    <w:p w14:paraId="09A8C83B" w14:textId="77777777" w:rsidR="00756188" w:rsidRPr="006D2DEA" w:rsidRDefault="00756188" w:rsidP="00756188">
                      <w:pPr>
                        <w:rPr>
                          <w:color w:val="4F81BD" w:themeColor="accent1"/>
                          <w:sz w:val="22"/>
                        </w:rPr>
                      </w:pPr>
                      <w:r w:rsidRPr="006D2DEA">
                        <w:rPr>
                          <w:color w:val="4F81BD" w:themeColor="accent1"/>
                          <w:sz w:val="22"/>
                        </w:rPr>
                        <w:t>International Standards at ITU:</w:t>
                      </w:r>
                    </w:p>
                    <w:p w14:paraId="2B1622A7" w14:textId="77777777" w:rsidR="00756188" w:rsidRPr="006D2DEA" w:rsidRDefault="00756188" w:rsidP="00756188">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22A8E40D"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4441818B" w14:textId="23A9DAD3"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2" behindDoc="0" locked="0" layoutInCell="1" allowOverlap="0" wp14:anchorId="72A4143D" wp14:editId="1BA95B1A">
                <wp:simplePos x="0" y="0"/>
                <wp:positionH relativeFrom="column">
                  <wp:posOffset>3543300</wp:posOffset>
                </wp:positionH>
                <wp:positionV relativeFrom="paragraph">
                  <wp:posOffset>366395</wp:posOffset>
                </wp:positionV>
                <wp:extent cx="2394585" cy="2132330"/>
                <wp:effectExtent l="0" t="0" r="24765" b="1206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rgbClr val="4F81BD">
                              <a:lumMod val="100000"/>
                              <a:lumOff val="0"/>
                            </a:srgbClr>
                          </a:solidFill>
                          <a:miter lim="800000"/>
                          <a:headEnd/>
                          <a:tailEnd/>
                        </a:ln>
                      </wps:spPr>
                      <wps:txbx>
                        <w:txbxContent>
                          <w:p w14:paraId="1CFFC88B" w14:textId="77777777" w:rsidR="00756188" w:rsidRPr="006D2DEA" w:rsidRDefault="00756188" w:rsidP="00756188">
                            <w:pPr>
                              <w:rPr>
                                <w:color w:val="4F81BD" w:themeColor="accent1"/>
                                <w:sz w:val="22"/>
                              </w:rPr>
                            </w:pPr>
                            <w:r w:rsidRPr="006D2DEA">
                              <w:rPr>
                                <w:color w:val="4F81BD" w:themeColor="accent1"/>
                                <w:sz w:val="22"/>
                              </w:rPr>
                              <w:t>Global Commitments:</w:t>
                            </w:r>
                          </w:p>
                          <w:p w14:paraId="1BBD4627" w14:textId="19408FB2" w:rsidR="00756188" w:rsidRPr="006D2DEA" w:rsidRDefault="00756188" w:rsidP="00756188">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sidR="00354764">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2A4143D" id="_x0000_s1032" type="#_x0000_t202" style="position:absolute;left:0;text-align:left;margin-left:279pt;margin-top:28.85pt;width:188.55pt;height:16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" o:allowoverlap="f" strokecolor="#4f81bd" strokeweight="1pt">
                <v:textbox style="mso-fit-shape-to-text:t">
                  <w:txbxContent>
                    <w:p w14:paraId="1CFFC88B" w14:textId="77777777" w:rsidR="00756188" w:rsidRPr="006D2DEA" w:rsidRDefault="00756188" w:rsidP="00756188">
                      <w:pPr>
                        <w:rPr>
                          <w:color w:val="4F81BD" w:themeColor="accent1"/>
                          <w:sz w:val="22"/>
                        </w:rPr>
                      </w:pPr>
                      <w:r w:rsidRPr="006D2DEA">
                        <w:rPr>
                          <w:color w:val="4F81BD" w:themeColor="accent1"/>
                          <w:sz w:val="22"/>
                        </w:rPr>
                        <w:t>Global Commitments:</w:t>
                      </w:r>
                    </w:p>
                    <w:p w14:paraId="1BBD4627" w14:textId="19408FB2" w:rsidR="00756188" w:rsidRPr="006D2DEA" w:rsidRDefault="00756188" w:rsidP="00756188">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sidR="00354764">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Pr="00756188">
        <w:rPr>
          <w:rFonts w:asciiTheme="minorHAnsi" w:eastAsiaTheme="minorEastAsia" w:hAnsiTheme="minorHAnsi" w:cstheme="minorBidi"/>
          <w:szCs w:val="28"/>
          <w:lang w:eastAsia="zh-CN"/>
        </w:rPr>
        <w:t>A true green digital transformation requires a</w:t>
      </w:r>
      <w:r w:rsidR="008218DD">
        <w:rPr>
          <w:rFonts w:asciiTheme="minorHAnsi" w:eastAsiaTheme="minorEastAsia" w:hAnsiTheme="minorHAnsi" w:cstheme="minorBidi"/>
          <w:szCs w:val="28"/>
          <w:lang w:eastAsia="zh-CN"/>
        </w:rPr>
        <w:t xml:space="preserve"> comprehensive approach that integrates </w:t>
      </w:r>
      <w:r w:rsidR="004A7269">
        <w:rPr>
          <w:rFonts w:asciiTheme="minorHAnsi" w:eastAsiaTheme="minorEastAsia" w:hAnsiTheme="minorHAnsi" w:cstheme="minorBidi"/>
          <w:szCs w:val="28"/>
          <w:lang w:eastAsia="zh-CN"/>
        </w:rPr>
        <w:t>environmental</w:t>
      </w:r>
      <w:r w:rsidR="008218DD">
        <w:rPr>
          <w:rFonts w:asciiTheme="minorHAnsi" w:eastAsiaTheme="minorEastAsia" w:hAnsiTheme="minorHAnsi" w:cstheme="minorBidi"/>
          <w:szCs w:val="28"/>
          <w:lang w:eastAsia="zh-CN"/>
        </w:rPr>
        <w:t xml:space="preserve"> sustainability across the</w:t>
      </w:r>
      <w:r w:rsidR="004A7269">
        <w:rPr>
          <w:rFonts w:asciiTheme="minorHAnsi" w:eastAsiaTheme="minorEastAsia" w:hAnsiTheme="minorHAnsi" w:cstheme="minorBidi"/>
          <w:szCs w:val="28"/>
          <w:lang w:eastAsia="zh-CN"/>
        </w:rPr>
        <w:t xml:space="preserve"> </w:t>
      </w:r>
      <w:r w:rsidR="008218DD">
        <w:rPr>
          <w:rFonts w:asciiTheme="minorHAnsi" w:eastAsiaTheme="minorEastAsia" w:hAnsiTheme="minorHAnsi" w:cstheme="minorBidi"/>
          <w:szCs w:val="28"/>
          <w:lang w:eastAsia="zh-CN"/>
        </w:rPr>
        <w:t xml:space="preserve">digital ecosystem, </w:t>
      </w:r>
      <w:proofErr w:type="gramStart"/>
      <w:r w:rsidR="008218DD">
        <w:rPr>
          <w:rFonts w:asciiTheme="minorHAnsi" w:eastAsiaTheme="minorEastAsia" w:hAnsiTheme="minorHAnsi" w:cstheme="minorBidi"/>
          <w:szCs w:val="28"/>
          <w:lang w:eastAsia="zh-CN"/>
        </w:rPr>
        <w:t>including:</w:t>
      </w:r>
      <w:proofErr w:type="gramEnd"/>
      <w:r w:rsidR="00522444">
        <w:rPr>
          <w:rFonts w:asciiTheme="minorHAnsi" w:eastAsiaTheme="minorEastAsia" w:hAnsiTheme="minorHAnsi" w:cstheme="minorBidi"/>
          <w:szCs w:val="28"/>
          <w:lang w:eastAsia="zh-CN"/>
        </w:rPr>
        <w:t xml:space="preserve"> energy efficiency</w:t>
      </w:r>
      <w:r w:rsidRPr="00756188">
        <w:rPr>
          <w:rFonts w:asciiTheme="minorHAnsi" w:eastAsiaTheme="minorEastAsia" w:hAnsiTheme="minorHAnsi" w:cstheme="minorBidi"/>
          <w:szCs w:val="28"/>
          <w:lang w:eastAsia="zh-CN"/>
        </w:rPr>
        <w:t xml:space="preserve"> promotion, </w:t>
      </w:r>
      <w:r w:rsidR="004A7269">
        <w:rPr>
          <w:rFonts w:asciiTheme="minorHAnsi" w:eastAsiaTheme="minorEastAsia" w:hAnsiTheme="minorHAnsi" w:cstheme="minorBidi"/>
          <w:szCs w:val="28"/>
          <w:lang w:eastAsia="zh-CN"/>
        </w:rPr>
        <w:t xml:space="preserve">implementing </w:t>
      </w:r>
      <w:r w:rsidRPr="00756188">
        <w:rPr>
          <w:rFonts w:asciiTheme="minorHAnsi" w:eastAsiaTheme="minorEastAsia" w:hAnsiTheme="minorHAnsi" w:cstheme="minorBidi"/>
          <w:szCs w:val="28"/>
          <w:lang w:eastAsia="zh-CN"/>
        </w:rPr>
        <w:t xml:space="preserve">digital carbon management </w:t>
      </w:r>
      <w:r w:rsidR="000A2CDB">
        <w:rPr>
          <w:rFonts w:asciiTheme="minorHAnsi" w:eastAsiaTheme="minorEastAsia" w:hAnsiTheme="minorHAnsi" w:cstheme="minorBidi"/>
          <w:szCs w:val="28"/>
          <w:lang w:eastAsia="zh-CN"/>
        </w:rPr>
        <w:t xml:space="preserve">practices </w:t>
      </w:r>
      <w:r w:rsidR="00522444">
        <w:rPr>
          <w:rFonts w:asciiTheme="minorHAnsi" w:eastAsiaTheme="minorEastAsia" w:hAnsiTheme="minorHAnsi" w:cstheme="minorBidi"/>
          <w:szCs w:val="28"/>
          <w:lang w:eastAsia="zh-CN"/>
        </w:rPr>
        <w:t>that prioritize</w:t>
      </w:r>
      <w:r w:rsidRPr="00756188">
        <w:rPr>
          <w:rFonts w:asciiTheme="minorHAnsi" w:eastAsiaTheme="minorEastAsia" w:hAnsiTheme="minorHAnsi" w:cstheme="minorBidi"/>
          <w:szCs w:val="28"/>
          <w:lang w:eastAsia="zh-CN"/>
        </w:rPr>
        <w:t xml:space="preserve"> material efficiency, </w:t>
      </w:r>
      <w:r w:rsidR="00522444">
        <w:rPr>
          <w:rFonts w:asciiTheme="minorHAnsi" w:eastAsiaTheme="minorEastAsia" w:hAnsiTheme="minorHAnsi" w:cstheme="minorBidi"/>
          <w:szCs w:val="28"/>
          <w:lang w:eastAsia="zh-CN"/>
        </w:rPr>
        <w:t>adopting circular economy principles</w:t>
      </w:r>
      <w:r w:rsidR="004A7269">
        <w:rPr>
          <w:rFonts w:asciiTheme="minorHAnsi" w:eastAsiaTheme="minorEastAsia" w:hAnsiTheme="minorHAnsi" w:cstheme="minorBidi"/>
          <w:szCs w:val="28"/>
          <w:lang w:eastAsia="zh-CN"/>
        </w:rPr>
        <w:t xml:space="preserve">, including </w:t>
      </w:r>
      <w:r w:rsidRPr="00756188">
        <w:rPr>
          <w:rFonts w:asciiTheme="minorHAnsi" w:eastAsiaTheme="minorEastAsia" w:hAnsiTheme="minorHAnsi" w:cstheme="minorBidi"/>
          <w:szCs w:val="28"/>
          <w:lang w:eastAsia="zh-CN"/>
        </w:rPr>
        <w:t xml:space="preserve">promoting the reuse of equipment. These strategies minimize the environmental impact of digital infrastructure by reducing the demand for new resources. The circular economy approach emphasizes designing ICT products for durability, repairability,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 </w:t>
      </w:r>
    </w:p>
    <w:p w14:paraId="20137B87"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4"/>
          <w:lang w:eastAsia="zh-CN"/>
        </w:rPr>
        <w:t>E</w:t>
      </w:r>
      <w:r w:rsidRPr="00756188">
        <w:rPr>
          <w:rFonts w:asciiTheme="minorHAnsi" w:eastAsiaTheme="minorEastAsia" w:hAnsiTheme="minorHAnsi" w:cstheme="minorBidi"/>
          <w:szCs w:val="28"/>
          <w:lang w:eastAsia="zh-CN"/>
        </w:rPr>
        <w:t>conomies</w:t>
      </w:r>
      <w:r w:rsidRPr="00756188">
        <w:rPr>
          <w:rFonts w:asciiTheme="minorHAnsi" w:eastAsiaTheme="minorEastAsia" w:hAnsiTheme="minorHAnsi" w:cstheme="minorBidi"/>
          <w:szCs w:val="24"/>
          <w:lang w:eastAsia="zh-CN"/>
        </w:rPr>
        <w:t xml:space="preserve"> in transition face specific challenges in meeting Paris Agreement targets and facilitating green digital transformation:</w:t>
      </w:r>
    </w:p>
    <w:p w14:paraId="2676AF34" w14:textId="77777777"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Many developing countries are limited in their ability to attract necessary investment levels to implement Paris Agreement targets</w:t>
      </w:r>
    </w:p>
    <w:p w14:paraId="322C2A78" w14:textId="77777777"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Recent research by UNCTAD has revealed that 3.3 billion </w:t>
      </w:r>
      <w:proofErr w:type="gramStart"/>
      <w:r w:rsidRPr="00756188">
        <w:rPr>
          <w:rFonts w:asciiTheme="minorHAnsi" w:eastAsiaTheme="minorEastAsia" w:hAnsiTheme="minorHAnsi" w:cstheme="minorHAnsi"/>
          <w:szCs w:val="24"/>
          <w:lang w:val="en-US" w:eastAsia="zh-CN"/>
        </w:rPr>
        <w:t>persons</w:t>
      </w:r>
      <w:proofErr w:type="gramEnd"/>
      <w:r w:rsidRPr="00756188">
        <w:rPr>
          <w:rFonts w:asciiTheme="minorHAnsi" w:eastAsiaTheme="minorEastAsia" w:hAnsiTheme="minorHAnsi" w:cstheme="minorHAnsi"/>
          <w:szCs w:val="24"/>
          <w:lang w:val="en-US" w:eastAsia="zh-CN"/>
        </w:rPr>
        <w:t xml:space="preserve"> live in countries that spend more on servicing public debt than on public health or educational services</w:t>
      </w:r>
    </w:p>
    <w:p w14:paraId="076CE55C" w14:textId="23C4343B" w:rsid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val="en-US" w:eastAsia="zh-CN"/>
        </w:rPr>
        <w:t>For emerging and developing countries, interest payments outpace climate-related investments, thus retarding climate change adaptation and mitigation efforts</w:t>
      </w:r>
      <w:r w:rsidR="004A776A">
        <w:rPr>
          <w:rFonts w:asciiTheme="minorHAnsi" w:eastAsiaTheme="minorEastAsia" w:hAnsiTheme="minorHAnsi" w:cstheme="minorHAnsi"/>
          <w:szCs w:val="24"/>
          <w:lang w:eastAsia="zh-CN"/>
        </w:rPr>
        <w:t xml:space="preserve">. This leaves limited capacity for public funding of critical ICT initiatives. </w:t>
      </w:r>
    </w:p>
    <w:p w14:paraId="4782BF63" w14:textId="77777777" w:rsidR="00204C77" w:rsidRDefault="00204C77"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p>
    <w:p w14:paraId="7529A3C2" w14:textId="4ED084F1" w:rsidR="00204C77" w:rsidRPr="00756188" w:rsidRDefault="00204C77"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r w:rsidRPr="00756188">
        <w:rPr>
          <w:rFonts w:asciiTheme="minorHAnsi" w:eastAsiaTheme="minorEastAsia" w:hAnsiTheme="minorHAnsi" w:cstheme="minorBidi"/>
          <w:noProof/>
          <w:sz w:val="22"/>
          <w:szCs w:val="22"/>
          <w:lang w:val="en-US" w:eastAsia="zh-CN"/>
        </w:rPr>
        <mc:AlternateContent>
          <mc:Choice Requires="wps">
            <w:drawing>
              <wp:inline distT="0" distB="0" distL="0" distR="0" wp14:anchorId="3088DEBA" wp14:editId="0DD562DC">
                <wp:extent cx="5580000" cy="1404620"/>
                <wp:effectExtent l="0" t="0" r="20955" b="16510"/>
                <wp:docPr id="142542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4F81BD">
                              <a:lumMod val="100000"/>
                              <a:lumOff val="0"/>
                            </a:srgbClr>
                          </a:solidFill>
                          <a:miter lim="800000"/>
                          <a:headEnd/>
                          <a:tailEnd/>
                        </a:ln>
                      </wps:spPr>
                      <wps:txbx>
                        <w:txbxContent>
                          <w:p w14:paraId="5AABC778" w14:textId="77777777" w:rsidR="00204C77" w:rsidRPr="006D2DEA" w:rsidRDefault="00204C77" w:rsidP="00204C77">
                            <w:pPr>
                              <w:rPr>
                                <w:color w:val="4F81BD" w:themeColor="accent1"/>
                                <w:sz w:val="22"/>
                              </w:rPr>
                            </w:pPr>
                            <w:r w:rsidRPr="006D2DEA">
                              <w:rPr>
                                <w:color w:val="4F81BD" w:themeColor="accent1"/>
                                <w:sz w:val="22"/>
                              </w:rPr>
                              <w:t>Bridging the gap:</w:t>
                            </w:r>
                          </w:p>
                          <w:p w14:paraId="0F6FD7EB" w14:textId="77777777" w:rsidR="00573810" w:rsidRPr="00573810" w:rsidRDefault="00573810" w:rsidP="00573810">
                            <w:pPr>
                              <w:jc w:val="both"/>
                              <w:rPr>
                                <w:sz w:val="22"/>
                              </w:rPr>
                            </w:pPr>
                            <w:r w:rsidRPr="00573810">
                              <w:rPr>
                                <w:sz w:val="22"/>
                              </w:rPr>
                              <w:t xml:space="preserve">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w:t>
                            </w:r>
                            <w:proofErr w:type="gramStart"/>
                            <w:r w:rsidRPr="00573810">
                              <w:rPr>
                                <w:sz w:val="22"/>
                              </w:rPr>
                              <w:t>In particular, ITU</w:t>
                            </w:r>
                            <w:proofErr w:type="gramEnd"/>
                            <w:r w:rsidRPr="00573810">
                              <w:rPr>
                                <w:sz w:val="22"/>
                              </w:rPr>
                              <w:t xml:space="preserve"> recommendations and informative deliverables provide industries with essential tools for advancing progress towards the SDGs.</w:t>
                            </w:r>
                          </w:p>
                          <w:p w14:paraId="0B102F92" w14:textId="7FD00869" w:rsidR="00204C77" w:rsidRPr="006D2DEA" w:rsidRDefault="00573810" w:rsidP="00573810">
                            <w:pPr>
                              <w:jc w:val="both"/>
                              <w:rPr>
                                <w:sz w:val="22"/>
                              </w:rPr>
                            </w:pPr>
                            <w:r w:rsidRPr="00573810">
                              <w:rPr>
                                <w:sz w:val="22"/>
                              </w:rPr>
                              <w:t xml:space="preserve">ITU is spearheading a programme of work to gather and disseminate reliable data on GHG emissions and energy use within the ICT sector at the national level. Through the </w:t>
                            </w:r>
                            <w:r w:rsidR="0045741B" w:rsidRPr="0045741B">
                              <w:rPr>
                                <w:sz w:val="22"/>
                              </w:rPr>
                              <w:t>Expert Group on Telecommunication/ICT Indicators </w:t>
                            </w:r>
                            <w:r w:rsidR="00E86981">
                              <w:rPr>
                                <w:sz w:val="22"/>
                              </w:rPr>
                              <w:t xml:space="preserve">(EGTI) </w:t>
                            </w:r>
                            <w:r w:rsidRPr="00573810">
                              <w:rPr>
                                <w:sz w:val="22"/>
                              </w:rPr>
                              <w:t>Subgroup on National Greenhouse Gas Emission Monitoring Indicators, ITU has been defining a set of harmonized environmental indicators to support national-level monitoring of the ICT sector’s environmental impact. These indicators aim to strengthen countries’ capacity to measure and monitor these impacts, enabling more evidence-based policymaking. They also contribute to ITU’s broader efforts to collect harmonized country-level data and facilitate meaningful international comparisons.</w:t>
                            </w:r>
                          </w:p>
                        </w:txbxContent>
                      </wps:txbx>
                      <wps:bodyPr rot="0" vert="horz" wrap="square" lIns="91440" tIns="45720" rIns="91440" bIns="45720" anchor="t" anchorCtr="0" upright="1">
                        <a:spAutoFit/>
                      </wps:bodyPr>
                    </wps:wsp>
                  </a:graphicData>
                </a:graphic>
              </wp:inline>
            </w:drawing>
          </mc:Choice>
          <mc:Fallback>
            <w:pict>
              <v:shape w14:anchorId="3088DEBA"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" strokecolor="#4f81bd" strokeweight="1pt">
                <v:textbox style="mso-fit-shape-to-text:t">
                  <w:txbxContent>
                    <w:p w14:paraId="5AABC778" w14:textId="77777777" w:rsidR="00204C77" w:rsidRPr="006D2DEA" w:rsidRDefault="00204C77" w:rsidP="00204C77">
                      <w:pPr>
                        <w:rPr>
                          <w:color w:val="4F81BD" w:themeColor="accent1"/>
                          <w:sz w:val="22"/>
                        </w:rPr>
                      </w:pPr>
                      <w:r w:rsidRPr="006D2DEA">
                        <w:rPr>
                          <w:color w:val="4F81BD" w:themeColor="accent1"/>
                          <w:sz w:val="22"/>
                        </w:rPr>
                        <w:t>Bridging the gap:</w:t>
                      </w:r>
                    </w:p>
                    <w:p w14:paraId="0F6FD7EB" w14:textId="77777777" w:rsidR="00573810" w:rsidRPr="00573810" w:rsidRDefault="00573810" w:rsidP="00573810">
                      <w:pPr>
                        <w:jc w:val="both"/>
                        <w:rPr>
                          <w:sz w:val="22"/>
                        </w:rPr>
                      </w:pPr>
                      <w:r w:rsidRPr="00573810">
                        <w:rPr>
                          <w:sz w:val="22"/>
                        </w:rPr>
                        <w:t xml:space="preserve">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w:t>
                      </w:r>
                      <w:proofErr w:type="gramStart"/>
                      <w:r w:rsidRPr="00573810">
                        <w:rPr>
                          <w:sz w:val="22"/>
                        </w:rPr>
                        <w:t>In particular, ITU</w:t>
                      </w:r>
                      <w:proofErr w:type="gramEnd"/>
                      <w:r w:rsidRPr="00573810">
                        <w:rPr>
                          <w:sz w:val="22"/>
                        </w:rPr>
                        <w:t xml:space="preserve"> recommendations and informative deliverables provide industries with essential tools for advancing progress towards the SDGs.</w:t>
                      </w:r>
                    </w:p>
                    <w:p w14:paraId="0B102F92" w14:textId="7FD00869" w:rsidR="00204C77" w:rsidRPr="006D2DEA" w:rsidRDefault="00573810" w:rsidP="00573810">
                      <w:pPr>
                        <w:jc w:val="both"/>
                        <w:rPr>
                          <w:sz w:val="22"/>
                        </w:rPr>
                      </w:pPr>
                      <w:r w:rsidRPr="00573810">
                        <w:rPr>
                          <w:sz w:val="22"/>
                        </w:rPr>
                        <w:t xml:space="preserve">ITU is spearheading a programme of work to gather and disseminate reliable data on GHG emissions and energy use within the ICT sector at the national level. Through the </w:t>
                      </w:r>
                      <w:r w:rsidR="0045741B" w:rsidRPr="0045741B">
                        <w:rPr>
                          <w:sz w:val="22"/>
                        </w:rPr>
                        <w:t>Expert Group on Telecommunication/ICT Indicators </w:t>
                      </w:r>
                      <w:r w:rsidR="00E86981">
                        <w:rPr>
                          <w:sz w:val="22"/>
                        </w:rPr>
                        <w:t xml:space="preserve">(EGTI) </w:t>
                      </w:r>
                      <w:r w:rsidRPr="00573810">
                        <w:rPr>
                          <w:sz w:val="22"/>
                        </w:rPr>
                        <w:t>Subgroup on National Greenhouse Gas Emission Monitoring Indicators, ITU has been defining a set of harmonized environmental indicators to support national-level monitoring of the ICT sector’s environmental impact. These indicators aim to strengthen countries’ capacity to measure and monitor these impacts, enabling more evidence-based policymaking. They also contribute to ITU’s broader efforts to collect harmonized country-level data and facilitate meaningful international comparisons.</w:t>
                      </w:r>
                    </w:p>
                  </w:txbxContent>
                </v:textbox>
                <w10:anchorlock/>
              </v:shape>
            </w:pict>
          </mc:Fallback>
        </mc:AlternateContent>
      </w:r>
    </w:p>
    <w:p w14:paraId="77A7B6D0" w14:textId="77777777" w:rsidR="00756188" w:rsidRPr="00756188" w:rsidRDefault="00756188" w:rsidP="0027751C">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4"/>
          <w:lang w:eastAsia="zh-CN"/>
        </w:rPr>
        <w:t>In addition to the green digital transformation strategies outlined in this Report, consideration should also be given to:</w:t>
      </w:r>
    </w:p>
    <w:p w14:paraId="781D32D5" w14:textId="77777777"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Promoting infrastructure sharing, where technically and economically feasible, to reduce redundant infrastructure, minimize resource consumption, and lower energy usage.</w:t>
      </w:r>
    </w:p>
    <w:p w14:paraId="13341D87" w14:textId="77777777"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Responsible communications tower site selection and deployment to help </w:t>
      </w:r>
      <w:r w:rsidRPr="0027751C">
        <w:rPr>
          <w:rFonts w:asciiTheme="minorHAnsi" w:eastAsiaTheme="minorEastAsia" w:hAnsiTheme="minorHAnsi" w:cstheme="minorHAnsi"/>
          <w:spacing w:val="-4"/>
          <w:szCs w:val="24"/>
          <w:lang w:val="en-US" w:eastAsia="zh-CN"/>
        </w:rPr>
        <w:t>minimize disruption or destruction of sensitive ecosystems and wildlife habitats.</w:t>
      </w:r>
    </w:p>
    <w:p w14:paraId="515D792B" w14:textId="77777777" w:rsidR="00756188" w:rsidRPr="0027751C"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pacing w:val="-4"/>
          <w:szCs w:val="24"/>
          <w:lang w:val="en-US" w:eastAsia="zh-CN"/>
        </w:rPr>
      </w:pPr>
      <w:r w:rsidRPr="0027751C">
        <w:rPr>
          <w:rFonts w:asciiTheme="minorHAnsi" w:eastAsiaTheme="minorEastAsia" w:hAnsiTheme="minorHAnsi" w:cstheme="minorHAnsi"/>
          <w:spacing w:val="-4"/>
          <w:szCs w:val="24"/>
          <w:lang w:val="en-US" w:eastAsia="zh-CN"/>
        </w:rPr>
        <w:t>Ongoing research on the potential impacts of electromagnetic fields on wildlife.</w:t>
      </w:r>
    </w:p>
    <w:p w14:paraId="09FE3826" w14:textId="77777777" w:rsidR="00756188" w:rsidRPr="00756188"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Establishing the necessary policies, regulations, facilities, and mechanisms to encourage the recycling of ICT equipment and the environmentally sensitive disposal of e-waste. </w:t>
      </w:r>
    </w:p>
    <w:p w14:paraId="0EDEC6E5" w14:textId="60CBB004" w:rsidR="00756188" w:rsidRPr="00204C77" w:rsidRDefault="00756188" w:rsidP="0027751C">
      <w:pPr>
        <w:numPr>
          <w:ilvl w:val="0"/>
          <w:numId w:val="3"/>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Creating and enhancing digital marketplaces and e-commerce platforms to support the exchange of second-hand goods and refurbished products</w:t>
      </w:r>
    </w:p>
    <w:p w14:paraId="1380FB49" w14:textId="77777777" w:rsidR="00756188" w:rsidRPr="00756188" w:rsidRDefault="00756188" w:rsidP="00883B89">
      <w:p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4"/>
          <w:lang w:eastAsia="zh-CN"/>
        </w:rPr>
        <w:t>This approach would align green digital transformation with both environmental and economic sustainability goals while addressing the specific challenges faced by tourism-dependent economies.</w:t>
      </w:r>
    </w:p>
    <w:p w14:paraId="735BA29E" w14:textId="466DD938" w:rsidR="00756188" w:rsidRPr="005C5EC2"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Some key aspects to consider in this respect are international partnerships that focus on promoting sustainable development and climate action through technological innovation,</w:t>
      </w:r>
      <w:r w:rsidR="00852259" w:rsidRPr="00852259">
        <w:t xml:space="preserve"> </w:t>
      </w:r>
      <w:r w:rsidR="00852259" w:rsidRPr="00852259">
        <w:rPr>
          <w:rFonts w:asciiTheme="minorHAnsi" w:eastAsiaTheme="minorEastAsia" w:hAnsiTheme="minorHAnsi" w:cstheme="minorBidi"/>
          <w:szCs w:val="28"/>
          <w:lang w:eastAsia="zh-CN"/>
        </w:rPr>
        <w:t>including satellite communications and AI for climate monitoring and disaster preparedness</w:t>
      </w:r>
      <w:r w:rsidR="00852259">
        <w:rPr>
          <w:rFonts w:asciiTheme="minorHAnsi" w:eastAsiaTheme="minorEastAsia" w:hAnsiTheme="minorHAnsi" w:cstheme="minorBidi"/>
          <w:szCs w:val="28"/>
          <w:lang w:eastAsia="zh-CN"/>
        </w:rPr>
        <w:t>,</w:t>
      </w:r>
      <w:r w:rsidRPr="00756188">
        <w:rPr>
          <w:rFonts w:asciiTheme="minorHAnsi" w:eastAsiaTheme="minorEastAsia" w:hAnsiTheme="minorHAnsi" w:cstheme="minorBidi"/>
          <w:szCs w:val="28"/>
          <w:lang w:eastAsia="zh-CN"/>
        </w:rPr>
        <w:t xml:space="preserve"> support mechanisms for developing countries through targeted assistance and knowledge sharing, </w:t>
      </w:r>
      <w:r w:rsidR="00E027AE" w:rsidRPr="00E027AE">
        <w:rPr>
          <w:rFonts w:asciiTheme="minorHAnsi" w:eastAsiaTheme="minorEastAsia" w:hAnsiTheme="minorHAnsi" w:cstheme="minorBidi"/>
          <w:szCs w:val="28"/>
          <w:lang w:eastAsia="zh-CN"/>
        </w:rPr>
        <w:t>application of circular economy approaches across ICT manufacturing, deployment, and disposal to minimize e-waste, leveraging scalable digital solutions to facilitate climate-resilient services, evaluation of social and environmental benefits of digital transformation initiatives,</w:t>
      </w:r>
      <w:r w:rsidR="00E027AE">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development of industry best practices to examine how telecommunications/ICTs can reduce negative environmental impacts across sectors.</w:t>
      </w:r>
    </w:p>
    <w:p w14:paraId="1D7A855B" w14:textId="77777777" w:rsidR="00756188" w:rsidRPr="00756188"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lang w:eastAsia="zh-CN"/>
        </w:rPr>
      </w:pPr>
      <w:r w:rsidRPr="28A95640">
        <w:rPr>
          <w:rFonts w:asciiTheme="minorHAnsi" w:eastAsiaTheme="minorEastAsia" w:hAnsiTheme="minorHAnsi" w:cstheme="minorBidi"/>
          <w:lang w:eastAsia="zh-CN"/>
        </w:rPr>
        <w:t>Given ongoing global developments in regulatory approaches, industry commitments, and collaborative initiatives, several critical questions emerge regarding how to accelerate and expand the telecommunication/ICT services and technology sector's contribution to environmental sustainability:</w:t>
      </w:r>
    </w:p>
    <w:p w14:paraId="005AB493"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rtl/>
          <w:lang w:eastAsia="zh-CN"/>
        </w:rPr>
      </w:pPr>
      <w:r w:rsidRPr="00756188">
        <w:rPr>
          <w:rFonts w:asciiTheme="minorHAnsi" w:eastAsiaTheme="minorEastAsia" w:hAnsiTheme="minorHAnsi" w:cstheme="minorHAnsi"/>
          <w:szCs w:val="24"/>
          <w:lang w:eastAsia="zh-CN"/>
        </w:rPr>
        <w:t>What actions can ITU take to build</w:t>
      </w:r>
      <w:r w:rsidRPr="00756188">
        <w:rPr>
          <w:rFonts w:asciiTheme="minorHAnsi" w:eastAsiaTheme="minorEastAsia" w:hAnsiTheme="minorHAnsi" w:cstheme="minorHAnsi"/>
          <w:szCs w:val="24"/>
          <w:rtl/>
          <w:lang w:eastAsia="zh-CN"/>
        </w:rPr>
        <w:t xml:space="preserve"> </w:t>
      </w:r>
      <w:r w:rsidRPr="00756188">
        <w:rPr>
          <w:rFonts w:asciiTheme="minorHAnsi" w:eastAsiaTheme="minorEastAsia" w:hAnsiTheme="minorHAnsi" w:cstheme="minorHAnsi"/>
          <w:szCs w:val="24"/>
          <w:lang w:eastAsia="zh-CN"/>
        </w:rPr>
        <w:t xml:space="preserve">international partnerships that promote use of green digital </w:t>
      </w:r>
      <w:r w:rsidRPr="00365CD9">
        <w:rPr>
          <w:rFonts w:asciiTheme="minorHAnsi" w:eastAsiaTheme="minorEastAsia" w:hAnsiTheme="minorHAnsi" w:cstheme="minorHAnsi"/>
          <w:szCs w:val="24"/>
          <w:lang w:eastAsia="zh-CN"/>
        </w:rPr>
        <w:t>transformation</w:t>
      </w:r>
      <w:r w:rsidRPr="00756188">
        <w:rPr>
          <w:rFonts w:asciiTheme="minorHAnsi" w:eastAsiaTheme="minorEastAsia" w:hAnsiTheme="minorHAnsi" w:cstheme="minorHAnsi"/>
          <w:szCs w:val="24"/>
          <w:lang w:eastAsia="zh-CN"/>
        </w:rPr>
        <w:t xml:space="preserve"> for sustainable development and climate action?</w:t>
      </w:r>
    </w:p>
    <w:p w14:paraId="7C7A84DA" w14:textId="5181169A" w:rsidR="00365CD9" w:rsidRPr="00365CD9" w:rsidRDefault="006151B7"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365CD9">
        <w:rPr>
          <w:rFonts w:asciiTheme="minorHAnsi" w:eastAsiaTheme="minorEastAsia" w:hAnsiTheme="minorHAnsi" w:cstheme="minorHAnsi"/>
          <w:szCs w:val="24"/>
          <w:lang w:eastAsia="zh-CN"/>
        </w:rPr>
        <w:t>How can</w:t>
      </w:r>
      <w:r w:rsidR="000644CA" w:rsidRPr="00365CD9">
        <w:rPr>
          <w:rFonts w:asciiTheme="minorHAnsi" w:eastAsiaTheme="minorEastAsia" w:hAnsiTheme="minorHAnsi" w:cstheme="minorHAnsi"/>
          <w:szCs w:val="24"/>
          <w:lang w:eastAsia="zh-CN"/>
        </w:rPr>
        <w:t xml:space="preserve"> telecommunications/ICTs, including satellite communication and IoT, support developing countries in achieving a green digital transformation</w:t>
      </w:r>
      <w:r w:rsidR="00DD6789">
        <w:rPr>
          <w:rFonts w:asciiTheme="minorHAnsi" w:eastAsiaTheme="minorEastAsia" w:hAnsiTheme="minorHAnsi" w:cstheme="minorHAnsi"/>
          <w:szCs w:val="24"/>
          <w:lang w:eastAsia="zh-CN"/>
        </w:rPr>
        <w:t xml:space="preserve">, </w:t>
      </w:r>
      <w:r w:rsidR="000644CA" w:rsidRPr="00365CD9">
        <w:rPr>
          <w:rFonts w:asciiTheme="minorHAnsi" w:eastAsiaTheme="minorEastAsia" w:hAnsiTheme="minorHAnsi" w:cstheme="minorHAnsi"/>
          <w:szCs w:val="24"/>
          <w:lang w:eastAsia="zh-CN"/>
        </w:rPr>
        <w:t>particularly through improved climate monitoring, disaster preparedness, and precision agriculture in remote and underserved areas?</w:t>
      </w:r>
      <w:r w:rsidR="00365CD9" w:rsidRPr="00365CD9">
        <w:rPr>
          <w:rFonts w:asciiTheme="minorHAnsi" w:eastAsiaTheme="minorEastAsia" w:hAnsiTheme="minorHAnsi" w:cstheme="minorHAnsi"/>
          <w:szCs w:val="24"/>
          <w:lang w:eastAsia="zh-CN"/>
        </w:rPr>
        <w:t xml:space="preserve"> </w:t>
      </w:r>
    </w:p>
    <w:p w14:paraId="2AC5356B" w14:textId="04EC68BB"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What are the good practices of telecommunications/ICTs in reducing the negative impact of industries on the environment</w:t>
      </w:r>
      <w:r w:rsidR="00E949A5">
        <w:rPr>
          <w:rFonts w:asciiTheme="minorHAnsi" w:eastAsiaTheme="minorEastAsia" w:hAnsiTheme="minorHAnsi" w:cstheme="minorHAnsi"/>
          <w:szCs w:val="24"/>
          <w:lang w:eastAsia="zh-CN"/>
        </w:rPr>
        <w:t>, including but not limited to mechanisms such as the integration of circular economy principles in ICT manufacturing, deployment, and disposal to minimize e-waste</w:t>
      </w:r>
      <w:r w:rsidRPr="00756188">
        <w:rPr>
          <w:rFonts w:asciiTheme="minorHAnsi" w:eastAsiaTheme="minorEastAsia" w:hAnsiTheme="minorHAnsi" w:cstheme="minorHAnsi"/>
          <w:szCs w:val="24"/>
          <w:lang w:eastAsia="zh-CN"/>
        </w:rPr>
        <w:t xml:space="preserve">? </w:t>
      </w:r>
    </w:p>
    <w:p w14:paraId="6A9F1AF1"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74D97DEB"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policymakers help to reduce the environmental impact of telecommunications/ICTs, and to facilitate ICT’s contribution to sustainability and climate action?</w:t>
      </w:r>
    </w:p>
    <w:p w14:paraId="56C08F90" w14:textId="12E5E845"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Leveraging existing efforts like Green Digital Action, how can governments, industry, UN agencies, academia and civil society fast-track industry-wide commitments to address climate challenges</w:t>
      </w:r>
      <w:r w:rsidR="00DB52A8">
        <w:rPr>
          <w:rFonts w:asciiTheme="minorHAnsi" w:eastAsiaTheme="minorEastAsia" w:hAnsiTheme="minorHAnsi" w:cstheme="minorHAnsi"/>
          <w:szCs w:val="24"/>
          <w:lang w:eastAsia="zh-CN"/>
        </w:rPr>
        <w:t>,</w:t>
      </w:r>
      <w:r w:rsidRPr="00756188">
        <w:rPr>
          <w:rFonts w:asciiTheme="minorHAnsi" w:eastAsiaTheme="minorEastAsia" w:hAnsiTheme="minorHAnsi" w:cstheme="minorHAnsi"/>
          <w:szCs w:val="24"/>
          <w:lang w:eastAsia="zh-CN"/>
        </w:rPr>
        <w:t xml:space="preserve"> put digital solutions at the forefront of climate action</w:t>
      </w:r>
      <w:r w:rsidR="00E949A5">
        <w:rPr>
          <w:rFonts w:asciiTheme="minorHAnsi" w:eastAsiaTheme="minorEastAsia" w:hAnsiTheme="minorHAnsi" w:cstheme="minorHAnsi"/>
          <w:szCs w:val="24"/>
          <w:lang w:eastAsia="zh-CN"/>
        </w:rPr>
        <w:t xml:space="preserve"> </w:t>
      </w:r>
      <w:r w:rsidR="00E949A5" w:rsidRPr="00E949A5">
        <w:rPr>
          <w:rFonts w:asciiTheme="minorHAnsi" w:eastAsiaTheme="minorEastAsia" w:hAnsiTheme="minorHAnsi" w:cstheme="minorHAnsi"/>
          <w:szCs w:val="24"/>
          <w:lang w:eastAsia="zh-CN"/>
        </w:rPr>
        <w:t>and ensure digital literacy and capacity-building initiatives empower communities to participate in green digital ecosystems</w:t>
      </w:r>
      <w:r w:rsidRPr="00756188">
        <w:rPr>
          <w:rFonts w:asciiTheme="minorHAnsi" w:eastAsiaTheme="minorEastAsia" w:hAnsiTheme="minorHAnsi" w:cstheme="minorHAnsi"/>
          <w:szCs w:val="24"/>
          <w:lang w:eastAsia="zh-CN"/>
        </w:rPr>
        <w:t>?</w:t>
      </w:r>
    </w:p>
    <w:p w14:paraId="1D27892B" w14:textId="3B193A82" w:rsidR="00756188" w:rsidRPr="00A246E2"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 xml:space="preserve">How can policy makers identify most significant data gaps and research needs in green digital transformation, </w:t>
      </w:r>
      <w:r w:rsidR="000F7374" w:rsidRPr="000F7374">
        <w:rPr>
          <w:rFonts w:asciiTheme="minorHAnsi" w:eastAsiaTheme="minorEastAsia" w:hAnsiTheme="minorHAnsi" w:cstheme="minorHAnsi"/>
          <w:szCs w:val="24"/>
          <w:lang w:eastAsia="zh-CN"/>
        </w:rPr>
        <w:t>including</w:t>
      </w:r>
      <w:r w:rsidR="00C85F9D">
        <w:rPr>
          <w:rFonts w:asciiTheme="minorHAnsi" w:eastAsiaTheme="minorEastAsia" w:hAnsiTheme="minorHAnsi" w:cstheme="minorHAnsi"/>
          <w:szCs w:val="24"/>
          <w:lang w:eastAsia="zh-CN"/>
        </w:rPr>
        <w:t xml:space="preserve"> </w:t>
      </w:r>
      <w:r w:rsidR="00C85F9D" w:rsidRPr="00A246E2">
        <w:rPr>
          <w:rFonts w:asciiTheme="minorHAnsi" w:eastAsiaTheme="minorEastAsia" w:hAnsiTheme="minorHAnsi" w:cstheme="minorHAnsi"/>
          <w:szCs w:val="24"/>
          <w:lang w:eastAsia="zh-CN"/>
        </w:rPr>
        <w:t>through</w:t>
      </w:r>
      <w:r w:rsidR="000F7374" w:rsidRPr="000F7374">
        <w:rPr>
          <w:rFonts w:asciiTheme="minorHAnsi" w:eastAsiaTheme="minorEastAsia" w:hAnsiTheme="minorHAnsi" w:cstheme="minorHAnsi"/>
          <w:szCs w:val="24"/>
          <w:lang w:eastAsia="zh-CN"/>
        </w:rPr>
        <w:t xml:space="preserve"> development of metrics and indicators to assess environmental footprint and climate impact</w:t>
      </w:r>
      <w:r w:rsidR="000F7374">
        <w:rPr>
          <w:rFonts w:asciiTheme="minorHAnsi" w:eastAsiaTheme="minorEastAsia" w:hAnsiTheme="minorHAnsi" w:cstheme="minorHAnsi"/>
          <w:szCs w:val="24"/>
          <w:lang w:eastAsia="zh-CN"/>
        </w:rPr>
        <w:t xml:space="preserve">, </w:t>
      </w:r>
      <w:r w:rsidRPr="00756188">
        <w:rPr>
          <w:rFonts w:asciiTheme="minorHAnsi" w:eastAsiaTheme="minorEastAsia" w:hAnsiTheme="minorHAnsi" w:cstheme="minorHAnsi"/>
          <w:szCs w:val="24"/>
          <w:lang w:eastAsia="zh-CN"/>
        </w:rPr>
        <w:t xml:space="preserve">and how can </w:t>
      </w:r>
      <w:r w:rsidR="000F7374">
        <w:rPr>
          <w:rFonts w:asciiTheme="minorHAnsi" w:eastAsiaTheme="minorEastAsia" w:hAnsiTheme="minorHAnsi" w:cstheme="minorHAnsi"/>
          <w:szCs w:val="24"/>
          <w:lang w:eastAsia="zh-CN"/>
        </w:rPr>
        <w:t>this</w:t>
      </w:r>
      <w:r w:rsidR="000F7374" w:rsidRPr="00756188">
        <w:rPr>
          <w:rFonts w:asciiTheme="minorHAnsi" w:eastAsiaTheme="minorEastAsia" w:hAnsiTheme="minorHAnsi" w:cstheme="minorHAnsi"/>
          <w:szCs w:val="24"/>
          <w:lang w:eastAsia="zh-CN"/>
        </w:rPr>
        <w:t xml:space="preserve"> </w:t>
      </w:r>
      <w:r w:rsidRPr="00756188">
        <w:rPr>
          <w:rFonts w:asciiTheme="minorHAnsi" w:eastAsiaTheme="minorEastAsia" w:hAnsiTheme="minorHAnsi" w:cstheme="minorHAnsi"/>
          <w:szCs w:val="24"/>
          <w:lang w:eastAsia="zh-CN"/>
        </w:rPr>
        <w:t>be addressed through international cooperation and knowledge sharing</w:t>
      </w:r>
      <w:r w:rsidR="0042171C">
        <w:rPr>
          <w:rFonts w:asciiTheme="minorHAnsi" w:eastAsiaTheme="minorEastAsia" w:hAnsiTheme="minorHAnsi" w:cstheme="minorHAnsi"/>
          <w:szCs w:val="24"/>
          <w:lang w:eastAsia="zh-CN"/>
        </w:rPr>
        <w:t>?</w:t>
      </w:r>
    </w:p>
    <w:p w14:paraId="10C60274"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Building Resilient Telecommunication/ICT Infrastructure and Services</w:t>
      </w:r>
    </w:p>
    <w:p w14:paraId="086B5E72" w14:textId="77777777" w:rsidR="00827FF9" w:rsidRPr="00827FF9"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Resilient telecommunications/ICTs services and technologies are capable of predicting, responding to, and withstanding multiple forms of disruption. The resilience of global telecommunications networks depends on multiple factors such as infrastructure (for e.g. terrestrial networks and submarine cables through which over 99% of global internet traffic passes), satellite systems providing critical redundancy and reach, the availability of relevant skills within the economy, public awareness, early warning systems, cybersecurity measures, and mitigations against the impact of climate change.</w:t>
      </w:r>
      <w:r w:rsidR="00827FF9" w:rsidRPr="00827FF9">
        <w:rPr>
          <w:rFonts w:asciiTheme="minorHAnsi" w:eastAsiaTheme="minorEastAsia" w:hAnsiTheme="minorHAnsi" w:cstheme="minorBidi"/>
          <w:noProof/>
          <w:szCs w:val="22"/>
          <w:lang w:eastAsia="zh-CN"/>
        </w:rPr>
        <w:t xml:space="preserve"> </w:t>
      </w:r>
    </w:p>
    <w:p w14:paraId="1758C8BA" w14:textId="7141E7ED" w:rsidR="00756188" w:rsidRPr="00756188" w:rsidRDefault="00827FF9" w:rsidP="00827FF9">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10A0739F" wp14:editId="7680616B">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rgbClr val="9BBB59">
                              <a:lumMod val="100000"/>
                              <a:lumOff val="0"/>
                            </a:srgbClr>
                          </a:solidFill>
                          <a:miter lim="800000"/>
                          <a:headEnd/>
                          <a:tailEnd/>
                        </a:ln>
                      </wps:spPr>
                      <wps:txbx>
                        <w:txbxContent>
                          <w:p w14:paraId="172BF3DE" w14:textId="77777777" w:rsidR="00827FF9" w:rsidRPr="00A859A1" w:rsidRDefault="00827FF9" w:rsidP="00827FF9">
                            <w:pPr>
                              <w:rPr>
                                <w:color w:val="9BBB59" w:themeColor="accent3"/>
                                <w:sz w:val="22"/>
                              </w:rPr>
                            </w:pPr>
                            <w:r w:rsidRPr="00A859A1">
                              <w:rPr>
                                <w:color w:val="9BBB59" w:themeColor="accent3"/>
                                <w:sz w:val="22"/>
                              </w:rPr>
                              <w:t xml:space="preserve">Case Study: Submarine Cable Resilience </w:t>
                            </w:r>
                          </w:p>
                          <w:p w14:paraId="0C3754A2" w14:textId="77777777" w:rsidR="00827FF9" w:rsidRPr="006D2DEA" w:rsidRDefault="00827FF9" w:rsidP="00827FF9">
                            <w:pPr>
                              <w:jc w:val="both"/>
                              <w:rPr>
                                <w:sz w:val="22"/>
                              </w:rPr>
                            </w:pPr>
                            <w:r w:rsidRPr="006D2DEA">
                              <w:rPr>
                                <w:sz w:val="22"/>
                              </w:rPr>
                              <w:t xml:space="preserve">Recognizing the critical importance of submarine cables to global connectivity and the digital economy, ITU has established an </w:t>
                            </w:r>
                            <w:hyperlink r:id="rId25"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w:pict>
              <v:shape w14:anchorId="10A0739F" id="_x0000_s1034"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" strokecolor="#9bbb59" strokeweight="1.5pt">
                <v:textbox style="mso-fit-shape-to-text:t">
                  <w:txbxContent>
                    <w:p w14:paraId="172BF3DE" w14:textId="77777777" w:rsidR="00827FF9" w:rsidRPr="00A859A1" w:rsidRDefault="00827FF9" w:rsidP="00827FF9">
                      <w:pPr>
                        <w:rPr>
                          <w:color w:val="9BBB59" w:themeColor="accent3"/>
                          <w:sz w:val="22"/>
                        </w:rPr>
                      </w:pPr>
                      <w:r w:rsidRPr="00A859A1">
                        <w:rPr>
                          <w:color w:val="9BBB59" w:themeColor="accent3"/>
                          <w:sz w:val="22"/>
                        </w:rPr>
                        <w:t xml:space="preserve">Case Study: Submarine Cable Resilience </w:t>
                      </w:r>
                    </w:p>
                    <w:p w14:paraId="0C3754A2" w14:textId="77777777" w:rsidR="00827FF9" w:rsidRPr="006D2DEA" w:rsidRDefault="00827FF9" w:rsidP="00827FF9">
                      <w:pPr>
                        <w:jc w:val="both"/>
                        <w:rPr>
                          <w:sz w:val="22"/>
                        </w:rPr>
                      </w:pPr>
                      <w:r w:rsidRPr="006D2DEA">
                        <w:rPr>
                          <w:sz w:val="22"/>
                        </w:rPr>
                        <w:t xml:space="preserve">Recognizing the critical importance of submarine cables to global connectivity and the digital economy, ITU has established an </w:t>
                      </w:r>
                      <w:hyperlink r:id="rId26"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176B27FE" w14:textId="6CED519C" w:rsidR="00756188" w:rsidRPr="00827FF9"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New and emerging technologies are transforming the approach towards telecommunication/ICT services and technologies resilience. Advanced capabilities such as AI and machine learning are being utilized for real-time risk detection and predictive maintenance of critical infrastructure. Low Earth Orbit (LEO) satellite networks are expanding connectivity options for remote regions. Edge computing and digital twins are enabling faster decision-making and improved system modelling to predict and mitigate vulnerabilities. While offering new capabilities, also introduce new considerations for security management, technical expertise requirements, and the sustainability of new telecommunications/ICTs services and technologies.</w:t>
      </w:r>
    </w:p>
    <w:p w14:paraId="04E9E709"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Recognizing this, a comprehensive approach to this issue should be adopted that acknowledges that the resilience of telecommunication/ICT services and technologies cuts across many kinds of challenges, such as climate-related disruptions, cyber incidents, non-malicious technical breakdowns, energy infrastructure, and grid resilience. It should also recognize that enhancing the resilience of telecommunication/ICT services and technologies involves wider initiatives, such as public awareness raising, early warning systems, and risk-management planning. A holistic approach includes the following key considerations:</w:t>
      </w:r>
    </w:p>
    <w:p w14:paraId="1C50FABF"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3" behindDoc="0" locked="0" layoutInCell="1" allowOverlap="1" wp14:anchorId="6C994B66" wp14:editId="4FEE73CD">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rgbClr val="9BBB59">
                              <a:lumMod val="100000"/>
                              <a:lumOff val="0"/>
                            </a:srgbClr>
                          </a:solidFill>
                          <a:miter lim="800000"/>
                          <a:headEnd/>
                          <a:tailEnd/>
                        </a:ln>
                      </wps:spPr>
                      <wps:txbx>
                        <w:txbxContent>
                          <w:p w14:paraId="007ABC2F" w14:textId="77777777" w:rsidR="00756188" w:rsidRPr="00A859A1" w:rsidRDefault="00756188" w:rsidP="00756188">
                            <w:pPr>
                              <w:rPr>
                                <w:color w:val="9BBB59" w:themeColor="accent3"/>
                                <w:sz w:val="22"/>
                              </w:rPr>
                            </w:pPr>
                            <w:r w:rsidRPr="00A859A1">
                              <w:rPr>
                                <w:color w:val="9BBB59" w:themeColor="accent3"/>
                                <w:sz w:val="22"/>
                              </w:rPr>
                              <w:t>Case Study: Network Resilience Through Standards</w:t>
                            </w:r>
                          </w:p>
                          <w:p w14:paraId="7F9205FA" w14:textId="77777777" w:rsidR="00756188" w:rsidRPr="00A859A1" w:rsidRDefault="00756188" w:rsidP="00756188">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C994B66" id="_x0000_s1035" type="#_x0000_t202" style="position:absolute;left:0;text-align:left;margin-left:284.8pt;margin-top:15.55pt;width:197.05pt;height:248.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" strokecolor="#9bbb59" strokeweight="1.5pt">
                <v:textbox style="mso-fit-shape-to-text:t">
                  <w:txbxContent>
                    <w:p w14:paraId="007ABC2F" w14:textId="77777777" w:rsidR="00756188" w:rsidRPr="00A859A1" w:rsidRDefault="00756188" w:rsidP="00756188">
                      <w:pPr>
                        <w:rPr>
                          <w:color w:val="9BBB59" w:themeColor="accent3"/>
                          <w:sz w:val="22"/>
                        </w:rPr>
                      </w:pPr>
                      <w:r w:rsidRPr="00A859A1">
                        <w:rPr>
                          <w:color w:val="9BBB59" w:themeColor="accent3"/>
                          <w:sz w:val="22"/>
                        </w:rPr>
                        <w:t>Case Study: Network Resilience Through Standards</w:t>
                      </w:r>
                    </w:p>
                    <w:p w14:paraId="7F9205FA" w14:textId="77777777" w:rsidR="00756188" w:rsidRPr="00A859A1" w:rsidRDefault="00756188" w:rsidP="00756188">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Pr="00756188">
        <w:rPr>
          <w:rFonts w:asciiTheme="minorHAnsi" w:eastAsiaTheme="minorEastAsia" w:hAnsiTheme="minorHAnsi" w:cstheme="minorBidi"/>
          <w:szCs w:val="28"/>
          <w:lang w:eastAsia="zh-CN"/>
        </w:rPr>
        <w:t xml:space="preserve">Infrastructure resilience requires coordinated technical frameworks across terrestrial, submarine and space-based networks.  Collaborative work must continue </w:t>
      </w:r>
      <w:proofErr w:type="gramStart"/>
      <w:r w:rsidRPr="00756188">
        <w:rPr>
          <w:rFonts w:asciiTheme="minorHAnsi" w:eastAsiaTheme="minorEastAsia" w:hAnsiTheme="minorHAnsi" w:cstheme="minorBidi"/>
          <w:szCs w:val="28"/>
          <w:lang w:eastAsia="zh-CN"/>
        </w:rPr>
        <w:t>in order to</w:t>
      </w:r>
      <w:proofErr w:type="gramEnd"/>
      <w:r w:rsidRPr="00756188">
        <w:rPr>
          <w:rFonts w:asciiTheme="minorHAnsi" w:eastAsiaTheme="minorEastAsia" w:hAnsiTheme="minorHAnsi" w:cstheme="minorBidi"/>
          <w:szCs w:val="28"/>
          <w:lang w:eastAsia="zh-CN"/>
        </w:rPr>
        <w:t xml:space="preserve"> analyse these advances and identify how emerging technologies could enhance capabilities of comprehensive protection and rapid recovery. </w:t>
      </w:r>
    </w:p>
    <w:p w14:paraId="69B026E2"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Policy and regulatory approaches must address resilience across all infrastructure layers, including but not limited to early-warning detection and cybersecurity.</w:t>
      </w:r>
    </w:p>
    <w:p w14:paraId="25D0A078"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Capacity building and skills development are essential for operating, maintaining and protecting complex, multi-layered communication systems.</w:t>
      </w:r>
    </w:p>
    <w:p w14:paraId="76C4823A" w14:textId="62B48213" w:rsidR="00756188" w:rsidRPr="00204C77"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International cooperation mechanisms strengthen global telecommunications infrastructure resilience through sharing of best practices, information exchange, and coordinated response capabilities.</w:t>
      </w:r>
    </w:p>
    <w:p w14:paraId="6307EB8E" w14:textId="25BACAF5" w:rsidR="00440908" w:rsidRDefault="008144CD"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8144CD">
        <w:rPr>
          <w:rFonts w:asciiTheme="minorHAnsi" w:eastAsiaTheme="minorEastAsia" w:hAnsiTheme="minorHAnsi" w:cstheme="minorBidi"/>
          <w:szCs w:val="28"/>
          <w:lang w:eastAsia="zh-CN"/>
        </w:rPr>
        <w:t xml:space="preserve">Building resilient </w:t>
      </w:r>
      <w:r w:rsidR="000644CA">
        <w:rPr>
          <w:rFonts w:asciiTheme="minorHAnsi" w:eastAsiaTheme="minorEastAsia" w:hAnsiTheme="minorHAnsi" w:cstheme="minorBidi"/>
          <w:szCs w:val="28"/>
          <w:lang w:eastAsia="zh-CN"/>
        </w:rPr>
        <w:t>Telecommunications/</w:t>
      </w:r>
      <w:r w:rsidRPr="008144CD">
        <w:rPr>
          <w:rFonts w:asciiTheme="minorHAnsi" w:eastAsiaTheme="minorEastAsia" w:hAnsiTheme="minorHAnsi" w:cstheme="minorBidi"/>
          <w:szCs w:val="28"/>
          <w:lang w:eastAsia="zh-CN"/>
        </w:rPr>
        <w:t xml:space="preserve">ICT infrastructure in underserved and disaster-prone regions requires addressing financing mechanisms and investment models that support long-term sustainability. Resilience must extend beyond physical infrastructure to encompass cybersecurity measures, ensuring networks remain operational during crises when they are most critical. Design of resilient ICT systems should prioritize accessibility for all populations, including persons with disabilities, </w:t>
      </w:r>
      <w:r w:rsidR="00E4199B">
        <w:rPr>
          <w:rFonts w:asciiTheme="minorHAnsi" w:eastAsiaTheme="minorEastAsia" w:hAnsiTheme="minorHAnsi" w:cstheme="minorBidi"/>
          <w:szCs w:val="28"/>
          <w:lang w:eastAsia="zh-CN"/>
        </w:rPr>
        <w:t>older persons</w:t>
      </w:r>
      <w:r w:rsidRPr="008144CD">
        <w:rPr>
          <w:rFonts w:asciiTheme="minorHAnsi" w:eastAsiaTheme="minorEastAsia" w:hAnsiTheme="minorHAnsi" w:cstheme="minorBidi"/>
          <w:szCs w:val="28"/>
          <w:lang w:eastAsia="zh-CN"/>
        </w:rPr>
        <w:t>, and those in remote areas, to ensure emergency communications and essential digital services reach everyone during disasters and recovery efforts.</w:t>
      </w:r>
    </w:p>
    <w:p w14:paraId="6BC4E008" w14:textId="23287B1E"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1F1EC92F"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emerging technologies and innovations improve the resilience of telecommunications and ICT infrastructure and the interdependence with other critical sectors like energy, health, and transportation to mitigate cascading failures during disasters?</w:t>
      </w:r>
    </w:p>
    <w:p w14:paraId="7B18CF63"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policy and regulatory frameworks are needed to foster resilient telecommunication/ICT service and technology systems?</w:t>
      </w:r>
    </w:p>
    <w:p w14:paraId="01D8F577"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public awareness and preparedness contribute to telecommunication/ICT services and technology resilience?</w:t>
      </w:r>
    </w:p>
    <w:p w14:paraId="7B4D8A4D"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capacity building and skills development initiatives are needed to support telecommunication/ICT services and technologies resilience?</w:t>
      </w:r>
    </w:p>
    <w:p w14:paraId="68BFB564"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international cooperation and collaboration strengthen telecommunication/ICT services and technologies resilience?</w:t>
      </w:r>
    </w:p>
    <w:p w14:paraId="1D9EB331"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networks, including NRENs (National Research and Education Networks), leverage existing infrastructure, technologies, and community assets to enhance the resilience of telecommunications and telecommunication/ICT services?</w:t>
      </w:r>
    </w:p>
    <w:p w14:paraId="6C4D2DEC"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telecommunication/ICT services and technologies infrastructure and services be strengthened to ensure reliable performance in times of crisis, including natural disasters, supporting timely response and recovery efforts?</w:t>
      </w:r>
    </w:p>
    <w:p w14:paraId="67E7AFBE" w14:textId="77777777" w:rsid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policymakers create frameworks for monitoring and evaluating the resilience of telecommunication/ICT services and technologies?</w:t>
      </w:r>
    </w:p>
    <w:p w14:paraId="01526CCF" w14:textId="6DFF4A4E" w:rsidR="00756188" w:rsidRPr="00952563" w:rsidRDefault="00B84EE5"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lang w:val="en-IN"/>
        </w:rPr>
        <w:t>What financing models, investment strategies, and public-private partnerships can support the development of resilient ICT infrastructure, particularly in underserved and disaster-prone regions?</w:t>
      </w:r>
    </w:p>
    <w:p w14:paraId="53C504A9" w14:textId="4850ADD2" w:rsidR="000F01A2" w:rsidRDefault="000F01A2">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8"/>
          <w:lang w:eastAsia="zh-CN"/>
        </w:rPr>
      </w:pPr>
      <w:r>
        <w:rPr>
          <w:rFonts w:asciiTheme="minorHAnsi" w:eastAsiaTheme="minorEastAsia" w:hAnsiTheme="minorHAnsi" w:cstheme="minorBidi"/>
          <w:szCs w:val="28"/>
          <w:lang w:eastAsia="zh-CN"/>
        </w:rPr>
        <w:br w:type="page"/>
      </w:r>
    </w:p>
    <w:p w14:paraId="5224E786"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 xml:space="preserve">Space Connectivity </w:t>
      </w:r>
    </w:p>
    <w:p w14:paraId="6CD2E937"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Space connectivity has become fundamental to achieving global digital inclusion. Satellite technologies have a transformative role in providing universal connectivity, particularly for unserved and underserved areas where terrestrial infrastructure deployment faces geographical, technical and/or economic challenges.</w:t>
      </w:r>
    </w:p>
    <w:p w14:paraId="7249D565"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4" behindDoc="0" locked="0" layoutInCell="1" allowOverlap="1" wp14:anchorId="09DD611C" wp14:editId="0CE3164A">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rgbClr val="4F81BD">
                              <a:lumMod val="100000"/>
                              <a:lumOff val="0"/>
                            </a:srgbClr>
                          </a:solidFill>
                          <a:miter lim="800000"/>
                          <a:headEnd/>
                          <a:tailEnd/>
                        </a:ln>
                      </wps:spPr>
                      <wps:txbx>
                        <w:txbxContent>
                          <w:p w14:paraId="2AB4BEDE" w14:textId="77777777" w:rsidR="00756188" w:rsidRPr="00A859A1" w:rsidRDefault="00756188" w:rsidP="00756188">
                            <w:pPr>
                              <w:rPr>
                                <w:color w:val="4F81BD" w:themeColor="accent1"/>
                                <w:sz w:val="22"/>
                              </w:rPr>
                            </w:pPr>
                            <w:r w:rsidRPr="00A859A1">
                              <w:rPr>
                                <w:color w:val="4F81BD" w:themeColor="accent1"/>
                                <w:sz w:val="22"/>
                              </w:rPr>
                              <w:t xml:space="preserve">Understanding the space arena: </w:t>
                            </w:r>
                          </w:p>
                          <w:p w14:paraId="730B07F0" w14:textId="77777777" w:rsidR="00756188" w:rsidRPr="00A859A1" w:rsidRDefault="00756188" w:rsidP="00756188">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093C725C" w14:textId="77777777" w:rsidR="00756188" w:rsidRPr="00A859A1" w:rsidRDefault="00756188" w:rsidP="00756188">
                            <w:pPr>
                              <w:jc w:val="both"/>
                              <w:rPr>
                                <w:i/>
                                <w:iCs/>
                                <w:sz w:val="18"/>
                                <w:szCs w:val="18"/>
                              </w:rPr>
                            </w:pPr>
                            <w:r w:rsidRPr="00A859A1">
                              <w:rPr>
                                <w:i/>
                                <w:iCs/>
                                <w:sz w:val="18"/>
                                <w:szCs w:val="18"/>
                              </w:rPr>
                              <w:t>Source: “Space: The $1.8 Trillion Opportunity for Global Economic Growth.” World Economic Forum, April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9DD611C" id="_x0000_s1036" type="#_x0000_t202" style="position:absolute;left:0;text-align:left;margin-left:281.05pt;margin-top:6.8pt;width:208.2pt;height:199.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" strokecolor="#4f81bd" strokeweight="1pt">
                <v:textbox>
                  <w:txbxContent>
                    <w:p w14:paraId="2AB4BEDE" w14:textId="77777777" w:rsidR="00756188" w:rsidRPr="00A859A1" w:rsidRDefault="00756188" w:rsidP="00756188">
                      <w:pPr>
                        <w:rPr>
                          <w:color w:val="4F81BD" w:themeColor="accent1"/>
                          <w:sz w:val="22"/>
                        </w:rPr>
                      </w:pPr>
                      <w:r w:rsidRPr="00A859A1">
                        <w:rPr>
                          <w:color w:val="4F81BD" w:themeColor="accent1"/>
                          <w:sz w:val="22"/>
                        </w:rPr>
                        <w:t xml:space="preserve">Understanding the space arena: </w:t>
                      </w:r>
                    </w:p>
                    <w:p w14:paraId="730B07F0" w14:textId="77777777" w:rsidR="00756188" w:rsidRPr="00A859A1" w:rsidRDefault="00756188" w:rsidP="00756188">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093C725C" w14:textId="77777777" w:rsidR="00756188" w:rsidRPr="00A859A1" w:rsidRDefault="00756188" w:rsidP="00756188">
                      <w:pPr>
                        <w:jc w:val="both"/>
                        <w:rPr>
                          <w:i/>
                          <w:iCs/>
                          <w:sz w:val="18"/>
                          <w:szCs w:val="18"/>
                        </w:rPr>
                      </w:pPr>
                      <w:r w:rsidRPr="00A859A1">
                        <w:rPr>
                          <w:i/>
                          <w:iCs/>
                          <w:sz w:val="18"/>
                          <w:szCs w:val="18"/>
                        </w:rPr>
                        <w:t>Source: “Space: The $1.8 Trillion Opportunity for Global Economic Growth.” World Economic Forum, April 2024</w:t>
                      </w:r>
                    </w:p>
                  </w:txbxContent>
                </v:textbox>
                <w10:wrap type="square"/>
              </v:shape>
            </w:pict>
          </mc:Fallback>
        </mc:AlternateContent>
      </w:r>
      <w:r w:rsidRPr="00756188">
        <w:rPr>
          <w:rFonts w:asciiTheme="minorHAnsi" w:eastAsiaTheme="minorEastAsia" w:hAnsiTheme="minorHAnsi" w:cstheme="minorBidi"/>
          <w:szCs w:val="28"/>
          <w:lang w:eastAsia="zh-CN"/>
        </w:rPr>
        <w:t xml:space="preserve">The space connectivity landscape is evolving rapidly through the deployment of Very-High-Throughput Satellites in Geostationary Orbit (GSO), advances in Low-Earth Orbit (NGSO) satellite constellations, and innovative business partnerships between satellite and terrestrial telecommunications providers. </w:t>
      </w:r>
    </w:p>
    <w:p w14:paraId="158C6B9F"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integration of satellite and terrestrial networks is creating new possibilities for connectivity. These technological advances are particularly significant as they enable cost-effective and reliable communications in areas where terrestrial infrastructure has been geographically, technically and/or economically challenging.</w:t>
      </w:r>
    </w:p>
    <w:p w14:paraId="470963D7"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Countries are increasingly adopting forward-looking regulatory frameworks that address several aspects including:</w:t>
      </w:r>
    </w:p>
    <w:p w14:paraId="4E4807F8" w14:textId="77777777" w:rsidR="00756188" w:rsidRPr="00756188" w:rsidRDefault="00756188"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efficient authorization processes for both GSO and NGSO systems, mechanisms to encourage investment in space infrastructure, </w:t>
      </w:r>
    </w:p>
    <w:p w14:paraId="3C669F45" w14:textId="77777777" w:rsidR="00756188" w:rsidRPr="00756188" w:rsidRDefault="00756188"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requirements for security and data protection provisions for industry partnerships and collaborations</w:t>
      </w:r>
    </w:p>
    <w:p w14:paraId="43B35EA2" w14:textId="102B47B4" w:rsidR="00952563" w:rsidRPr="00952563" w:rsidRDefault="00756188" w:rsidP="008B362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r>
      <w:r w:rsidRPr="00756188">
        <w:rPr>
          <w:rFonts w:asciiTheme="minorHAnsi" w:eastAsiaTheme="minorEastAsia" w:hAnsiTheme="minorHAnsi" w:cstheme="minorBidi"/>
          <w:szCs w:val="24"/>
          <w:lang w:eastAsia="zh-CN"/>
        </w:rPr>
        <w:t>measures to protect and optimize existing networks while enabling new connectivity-related telecommunication/ICT services and technologies</w:t>
      </w:r>
    </w:p>
    <w:p w14:paraId="312865B1" w14:textId="77777777" w:rsidR="00756188"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Advancements must be balanced with considerations of space sustainability to ensure long-term accessibility of orbital resources. </w:t>
      </w:r>
    </w:p>
    <w:p w14:paraId="6551790E" w14:textId="20EE8161" w:rsidR="00822058" w:rsidRDefault="009F3325"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9F3325">
        <w:rPr>
          <w:rFonts w:asciiTheme="minorHAnsi" w:eastAsiaTheme="minorEastAsia" w:hAnsiTheme="minorHAnsi" w:cstheme="minorBidi"/>
          <w:szCs w:val="28"/>
          <w:lang w:eastAsia="zh-CN"/>
        </w:rPr>
        <w:t>Space connectivity plays a vital role in disaster preparedness, early-warning systems, and climate monitoring</w:t>
      </w:r>
      <w:r>
        <w:rPr>
          <w:rFonts w:asciiTheme="minorHAnsi" w:eastAsiaTheme="minorEastAsia" w:hAnsiTheme="minorHAnsi" w:cstheme="minorBidi"/>
          <w:szCs w:val="28"/>
          <w:lang w:eastAsia="zh-CN"/>
        </w:rPr>
        <w:t xml:space="preserve">, </w:t>
      </w:r>
      <w:r w:rsidRPr="009F3325">
        <w:rPr>
          <w:rFonts w:asciiTheme="minorHAnsi" w:eastAsiaTheme="minorEastAsia" w:hAnsiTheme="minorHAnsi" w:cstheme="minorBidi"/>
          <w:szCs w:val="28"/>
          <w:lang w:eastAsia="zh-CN"/>
        </w:rPr>
        <w:t>particularly in regions without robust terrestrial infrastructure. Strengthening voluntary data-sharing on environmental and disaster-related information within the scope of space connectivity activities can enhance resilience and global cooperation.</w:t>
      </w:r>
    </w:p>
    <w:p w14:paraId="2F64DE41" w14:textId="4B071C86" w:rsidR="00756188" w:rsidRPr="00204C77" w:rsidRDefault="005F1E93"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5F1E93">
        <w:rPr>
          <w:rFonts w:asciiTheme="minorHAnsi" w:eastAsiaTheme="minorEastAsia" w:hAnsiTheme="minorHAnsi" w:cstheme="minorBidi"/>
          <w:szCs w:val="28"/>
          <w:lang w:eastAsia="zh-CN"/>
        </w:rPr>
        <w:t>As space connectivity expands, fostering trust, transparency, and peaceful cooperation among actors is essential to ensure that new technologies contribute to inclusive and sustainable development.</w:t>
      </w:r>
    </w:p>
    <w:p w14:paraId="4BAF4000" w14:textId="77777777" w:rsidR="00756188" w:rsidRPr="00756188" w:rsidRDefault="00756188" w:rsidP="00952563">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7EDAC150" wp14:editId="3682AF8E">
                <wp:extent cx="5580000" cy="1535373"/>
                <wp:effectExtent l="0" t="0" r="20955" b="27305"/>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535373"/>
                        </a:xfrm>
                        <a:prstGeom prst="rect">
                          <a:avLst/>
                        </a:prstGeom>
                        <a:solidFill>
                          <a:srgbClr val="FFFFFF"/>
                        </a:solidFill>
                        <a:ln w="12700">
                          <a:solidFill>
                            <a:srgbClr val="9BBB59"/>
                          </a:solidFill>
                          <a:miter lim="800000"/>
                          <a:headEnd/>
                          <a:tailEnd/>
                        </a:ln>
                      </wps:spPr>
                      <wps:txbx>
                        <w:txbxContent>
                          <w:p w14:paraId="505D1CA8" w14:textId="77777777" w:rsidR="00756188" w:rsidRPr="00A859A1" w:rsidRDefault="00756188" w:rsidP="00756188">
                            <w:pPr>
                              <w:rPr>
                                <w:color w:val="9BBB59" w:themeColor="accent3"/>
                                <w:sz w:val="22"/>
                              </w:rPr>
                            </w:pPr>
                            <w:r w:rsidRPr="00A859A1">
                              <w:rPr>
                                <w:color w:val="9BBB59" w:themeColor="accent3"/>
                                <w:sz w:val="22"/>
                              </w:rPr>
                              <w:t>Case Study: Space Sustainability Forum</w:t>
                            </w:r>
                          </w:p>
                          <w:p w14:paraId="1F21460E" w14:textId="45A243DC" w:rsidR="00756188" w:rsidRPr="00A859A1" w:rsidRDefault="00EA7B9E" w:rsidP="00EA7B9E">
                            <w:pPr>
                              <w:jc w:val="both"/>
                              <w:rPr>
                                <w:sz w:val="22"/>
                              </w:rPr>
                            </w:pPr>
                            <w:r w:rsidRPr="00EA7B9E">
                              <w:rPr>
                                <w:sz w:val="22"/>
                              </w:rPr>
                              <w:t xml:space="preserve">The </w:t>
                            </w:r>
                            <w:hyperlink r:id="rId27" w:history="1">
                              <w:r w:rsidR="00E54129" w:rsidRPr="00E54129">
                                <w:rPr>
                                  <w:rStyle w:val="Hyperlink"/>
                                  <w:sz w:val="22"/>
                                </w:rPr>
                                <w:t xml:space="preserve">Space Sustainability </w:t>
                              </w:r>
                              <w:r w:rsidRPr="00E54129">
                                <w:rPr>
                                  <w:rStyle w:val="Hyperlink"/>
                                  <w:sz w:val="22"/>
                                </w:rPr>
                                <w:t>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wps:txbx>
                      <wps:bodyPr rot="0" vert="horz" wrap="square" lIns="91440" tIns="45720" rIns="91440" bIns="45720" anchor="t" anchorCtr="0" upright="1">
                        <a:noAutofit/>
                      </wps:bodyPr>
                    </wps:wsp>
                  </a:graphicData>
                </a:graphic>
              </wp:inline>
            </w:drawing>
          </mc:Choice>
          <mc:Fallback>
            <w:pict>
              <v:shape w14:anchorId="7EDAC150" id="_x0000_s1037" type="#_x0000_t202" style="width:439.35pt;height:1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" strokecolor="#9bbb59" strokeweight="1pt">
                <v:textbox>
                  <w:txbxContent>
                    <w:p w14:paraId="505D1CA8" w14:textId="77777777" w:rsidR="00756188" w:rsidRPr="00A859A1" w:rsidRDefault="00756188" w:rsidP="00756188">
                      <w:pPr>
                        <w:rPr>
                          <w:color w:val="9BBB59" w:themeColor="accent3"/>
                          <w:sz w:val="22"/>
                        </w:rPr>
                      </w:pPr>
                      <w:r w:rsidRPr="00A859A1">
                        <w:rPr>
                          <w:color w:val="9BBB59" w:themeColor="accent3"/>
                          <w:sz w:val="22"/>
                        </w:rPr>
                        <w:t>Case Study: Space Sustainability Forum</w:t>
                      </w:r>
                    </w:p>
                    <w:p w14:paraId="1F21460E" w14:textId="45A243DC" w:rsidR="00756188" w:rsidRPr="00A859A1" w:rsidRDefault="00EA7B9E" w:rsidP="00EA7B9E">
                      <w:pPr>
                        <w:jc w:val="both"/>
                        <w:rPr>
                          <w:sz w:val="22"/>
                        </w:rPr>
                      </w:pPr>
                      <w:r w:rsidRPr="00EA7B9E">
                        <w:rPr>
                          <w:sz w:val="22"/>
                        </w:rPr>
                        <w:t xml:space="preserve">The </w:t>
                      </w:r>
                      <w:hyperlink r:id="rId28" w:history="1">
                        <w:r w:rsidR="00E54129" w:rsidRPr="00E54129">
                          <w:rPr>
                            <w:rStyle w:val="Hyperlink"/>
                            <w:sz w:val="22"/>
                          </w:rPr>
                          <w:t xml:space="preserve">Space Sustainability </w:t>
                        </w:r>
                        <w:r w:rsidRPr="00E54129">
                          <w:rPr>
                            <w:rStyle w:val="Hyperlink"/>
                            <w:sz w:val="22"/>
                          </w:rPr>
                          <w:t>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v:textbox>
                <w10:anchorlock/>
              </v:shape>
            </w:pict>
          </mc:Fallback>
        </mc:AlternateContent>
      </w:r>
    </w:p>
    <w:p w14:paraId="1D37186B" w14:textId="77777777" w:rsidR="00756188" w:rsidRPr="00756188"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As the space connectivity sector continues its rapid evolution, several important aspects emerge for consideration at the intersection of technological advancement, universal access, and sustainable space operations:</w:t>
      </w:r>
    </w:p>
    <w:p w14:paraId="65B0813C"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Emerging trends and developments in space connectivity focus on creating innovative solutions for inclusive and sustainable digital futures.</w:t>
      </w:r>
    </w:p>
    <w:p w14:paraId="3F5AB5C3"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Bridging the digital divide bridging through space-based connectivity can help to addresses the needs of unserved and underserved communities.</w:t>
      </w:r>
    </w:p>
    <w:p w14:paraId="15FBC0F3"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Enabling policy and regulatory frameworks support the responsible deployment and sustainable use of space-based connectivity systems. There is broad recognition that space connectivity themes fall under the mandates of different UN entities related to outer space, such as the United Nations Office for Outer Space Affairs (UNOOSA), the Committee on the Peaceful Uses of Outer Space (COPUOS), and ITU. Within ITU specifically, there are established global regulatory frameworks governing these sectors, particularly through the World Radiocommunication Conferences.</w:t>
      </w:r>
    </w:p>
    <w:p w14:paraId="7625EC36" w14:textId="77777777"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Bidi"/>
          <w:szCs w:val="28"/>
          <w:lang w:eastAsia="zh-CN"/>
        </w:rPr>
        <w:t xml:space="preserve">Complementarity between different space-based systems and terrestrial networks creates </w:t>
      </w:r>
      <w:r w:rsidRPr="00952563">
        <w:rPr>
          <w:rFonts w:asciiTheme="minorHAnsi" w:eastAsiaTheme="minorEastAsia" w:hAnsiTheme="minorHAnsi" w:cstheme="minorHAnsi"/>
          <w:szCs w:val="24"/>
          <w:lang w:eastAsia="zh-CN"/>
        </w:rPr>
        <w:t>opportunities for enhanced connectivity solutions.</w:t>
      </w:r>
    </w:p>
    <w:p w14:paraId="27E3CDD4" w14:textId="77777777"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The spectrum and orbits being limited; it is necessary to use it optimally with equitable access to all countries, especially developing countries.</w:t>
      </w:r>
    </w:p>
    <w:p w14:paraId="08C7AF61" w14:textId="77610889"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 xml:space="preserve">Public private partnership and economic incentive by governments can accelerate the deployment of </w:t>
      </w:r>
      <w:r w:rsidR="00F57DAA" w:rsidRPr="00952563">
        <w:rPr>
          <w:rFonts w:asciiTheme="minorHAnsi" w:eastAsiaTheme="minorEastAsia" w:hAnsiTheme="minorHAnsi" w:cstheme="minorHAnsi"/>
          <w:szCs w:val="24"/>
          <w:lang w:eastAsia="zh-CN"/>
        </w:rPr>
        <w:t xml:space="preserve">space-based telecommunication/ICT services and </w:t>
      </w:r>
      <w:r w:rsidRPr="00952563">
        <w:rPr>
          <w:rFonts w:asciiTheme="minorHAnsi" w:eastAsiaTheme="minorEastAsia" w:hAnsiTheme="minorHAnsi" w:cstheme="minorHAnsi"/>
          <w:szCs w:val="24"/>
          <w:lang w:eastAsia="zh-CN"/>
        </w:rPr>
        <w:t>technologies which can accelerate access to connectivity in underserved and unserved regions.</w:t>
      </w:r>
    </w:p>
    <w:p w14:paraId="6F9FC85E" w14:textId="77777777" w:rsidR="00756188" w:rsidRPr="00952563" w:rsidRDefault="00756188" w:rsidP="00DD3DEE">
      <w:pPr>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Given these critical considerations in space connectivity and sustainability, policymakers and stakeholders must address the following questions to ensure responsible development of space-based telecommunication/ICT services and technologies:</w:t>
      </w:r>
    </w:p>
    <w:p w14:paraId="5FD6BDD3" w14:textId="77777777"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What challenges, trends and developments in space-based connectivity contribute to an inclusive, sustainable, resilient, affordable and innovative digital future? How can governments, the public sector, the private sector, and civil society, each in its respective role, build upon these developments?</w:t>
      </w:r>
    </w:p>
    <w:p w14:paraId="4C3D3546" w14:textId="0286C312"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 xml:space="preserve">How can space connectivity bridge digital divides and contribute to sustainable development, particularly in historically underserved and unserved </w:t>
      </w:r>
      <w:r w:rsidR="00204C77" w:rsidRPr="00952563">
        <w:rPr>
          <w:rFonts w:asciiTheme="minorHAnsi" w:eastAsiaTheme="minorEastAsia" w:hAnsiTheme="minorHAnsi" w:cstheme="minorHAnsi"/>
          <w:szCs w:val="24"/>
          <w:lang w:eastAsia="zh-CN"/>
        </w:rPr>
        <w:t>communities, while</w:t>
      </w:r>
      <w:r w:rsidRPr="00952563">
        <w:rPr>
          <w:rFonts w:asciiTheme="minorHAnsi" w:eastAsiaTheme="minorEastAsia" w:hAnsiTheme="minorHAnsi" w:cstheme="minorHAnsi"/>
          <w:szCs w:val="24"/>
          <w:lang w:eastAsia="zh-CN"/>
        </w:rPr>
        <w:t xml:space="preserve"> addressing various stakeholder priorities including accessibility, affordability, resilience of communications, and appropriate safeguards?</w:t>
      </w:r>
    </w:p>
    <w:p w14:paraId="63318E4D" w14:textId="77777777"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How can administrations act at the national, regional, and international levels to create an enabling policy and regulatory environment for the deployment and use of space-based connectivity? How can regulatory frameworks be harmonized across different countries to facilitate the seamless deployment and operation of space-based connectivity systems?</w:t>
      </w:r>
    </w:p>
    <w:p w14:paraId="7F2D11EF" w14:textId="77777777" w:rsidR="00756188" w:rsidRPr="00952563"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How can complementarities among different space-based connectivity systems and between space-based connectivity systems and terrestrial networks contribute to an inclusive and innovative digital future?  How can policymakers help enable viable business models that evolve from these complementarities and what regulatory mechanisms can be put in place to prevent market distortions and to protect existing terrestrial networks?</w:t>
      </w:r>
    </w:p>
    <w:p w14:paraId="7F160896"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952563">
        <w:rPr>
          <w:rFonts w:asciiTheme="minorHAnsi" w:eastAsiaTheme="minorEastAsia" w:hAnsiTheme="minorHAnsi" w:cstheme="minorHAnsi"/>
          <w:szCs w:val="24"/>
          <w:lang w:eastAsia="zh-CN"/>
        </w:rPr>
        <w:t>Recognizing the mandate of ITU and its regulatory framework and sectors, particularly the world radiocommunication conferences, how can intern</w:t>
      </w:r>
      <w:r w:rsidRPr="00756188">
        <w:rPr>
          <w:rFonts w:asciiTheme="minorHAnsi" w:eastAsiaTheme="minorEastAsia" w:hAnsiTheme="minorHAnsi" w:cstheme="minorBidi"/>
          <w:szCs w:val="28"/>
          <w:lang w:eastAsia="zh-CN"/>
        </w:rPr>
        <w:t xml:space="preserve">ational coordination and collaboration be improved to manage the allocation and use of radio frequency spectrum for space-based services, ensuring equitable access to space resources for all countries, minimal interference and optimal usage? </w:t>
      </w:r>
    </w:p>
    <w:p w14:paraId="7EA66F7E" w14:textId="1ADFE11C" w:rsidR="00756188" w:rsidRPr="00204C77"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regulatory frameworks need to be established to ensure effective Space Traffic Management (STM) and prevent overcrowding in orbit? How can countries collaborate to develop and implement space traffic coordination systems that ensure the safety and sustainability of space</w:t>
      </w:r>
      <w:r w:rsidR="00EE5D0E">
        <w:rPr>
          <w:rFonts w:asciiTheme="minorHAnsi" w:eastAsiaTheme="minorEastAsia" w:hAnsiTheme="minorHAnsi" w:cstheme="minorBidi"/>
          <w:szCs w:val="28"/>
          <w:lang w:eastAsia="zh-CN"/>
        </w:rPr>
        <w:t xml:space="preserve"> connectivity</w:t>
      </w:r>
      <w:r w:rsidRPr="00756188">
        <w:rPr>
          <w:rFonts w:asciiTheme="minorHAnsi" w:eastAsiaTheme="minorEastAsia" w:hAnsiTheme="minorHAnsi" w:cstheme="minorBidi"/>
          <w:szCs w:val="28"/>
          <w:lang w:eastAsia="zh-CN"/>
        </w:rPr>
        <w:t xml:space="preserve"> activities?</w:t>
      </w:r>
    </w:p>
    <w:p w14:paraId="52103413"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to promote widespread affordable access to space-based connectivity solutions, particularly in developing and least developed countries and low-income and remote communities, by encouraging competition, innovation, private investment, and public-private partnerships, among other mechanisms? </w:t>
      </w:r>
    </w:p>
    <w:p w14:paraId="0A08FF9B" w14:textId="273069F0" w:rsidR="00756188" w:rsidRPr="00204C77"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the environmental impact of </w:t>
      </w:r>
      <w:r w:rsidR="00D0318A">
        <w:rPr>
          <w:rFonts w:asciiTheme="minorHAnsi" w:eastAsiaTheme="minorEastAsia" w:hAnsiTheme="minorHAnsi" w:cstheme="minorBidi"/>
          <w:szCs w:val="28"/>
          <w:lang w:eastAsia="zh-CN"/>
        </w:rPr>
        <w:t>space connectivity</w:t>
      </w:r>
      <w:r w:rsidRPr="00756188">
        <w:rPr>
          <w:rFonts w:asciiTheme="minorHAnsi" w:eastAsiaTheme="minorEastAsia" w:hAnsiTheme="minorHAnsi" w:cstheme="minorBidi"/>
          <w:szCs w:val="28"/>
          <w:lang w:eastAsia="zh-CN"/>
        </w:rPr>
        <w:t xml:space="preserve"> operations be minimized, and what </w:t>
      </w:r>
      <w:r w:rsidR="00792591">
        <w:rPr>
          <w:rFonts w:asciiTheme="minorHAnsi" w:eastAsiaTheme="minorEastAsia" w:hAnsiTheme="minorHAnsi" w:cstheme="minorBidi"/>
          <w:szCs w:val="28"/>
          <w:lang w:eastAsia="zh-CN"/>
        </w:rPr>
        <w:t>measures or policies can</w:t>
      </w:r>
      <w:r w:rsidR="00792591" w:rsidRPr="00756188">
        <w:rPr>
          <w:rFonts w:asciiTheme="minorHAnsi" w:eastAsiaTheme="minorEastAsia" w:hAnsiTheme="minorHAnsi" w:cstheme="minorBidi"/>
          <w:szCs w:val="28"/>
          <w:lang w:eastAsia="zh-CN"/>
        </w:rPr>
        <w:t xml:space="preserve"> </w:t>
      </w:r>
      <w:r w:rsidR="00792591">
        <w:rPr>
          <w:rFonts w:asciiTheme="minorHAnsi" w:eastAsiaTheme="minorEastAsia" w:hAnsiTheme="minorHAnsi" w:cstheme="minorBidi"/>
          <w:szCs w:val="28"/>
          <w:lang w:eastAsia="zh-CN"/>
        </w:rPr>
        <w:t>promote</w:t>
      </w:r>
      <w:r w:rsidRPr="00756188">
        <w:rPr>
          <w:rFonts w:asciiTheme="minorHAnsi" w:eastAsiaTheme="minorEastAsia" w:hAnsiTheme="minorHAnsi" w:cstheme="minorBidi"/>
          <w:szCs w:val="28"/>
          <w:lang w:eastAsia="zh-CN"/>
        </w:rPr>
        <w:t xml:space="preserve"> environmentally sustainable practices in the space industry? Recognizing the respective mandates of different UN entities related to the outer space, such as ITU, UNOOSA and COPUOS, </w:t>
      </w:r>
      <w:r w:rsidR="00792591" w:rsidRPr="00792591">
        <w:rPr>
          <w:rFonts w:asciiTheme="minorHAnsi" w:eastAsiaTheme="minorEastAsia" w:hAnsiTheme="minorHAnsi" w:cstheme="minorBidi"/>
          <w:szCs w:val="28"/>
          <w:lang w:eastAsia="zh-CN"/>
        </w:rPr>
        <w:t>how can the ITU support coordination and dialogue</w:t>
      </w:r>
      <w:r w:rsidR="00792591">
        <w:rPr>
          <w:rFonts w:asciiTheme="minorHAnsi" w:eastAsiaTheme="minorEastAsia" w:hAnsiTheme="minorHAnsi" w:cstheme="minorBidi"/>
          <w:szCs w:val="28"/>
          <w:lang w:eastAsia="zh-CN"/>
        </w:rPr>
        <w:t xml:space="preserve"> on the </w:t>
      </w:r>
      <w:r w:rsidRPr="00756188">
        <w:rPr>
          <w:rFonts w:asciiTheme="minorHAnsi" w:eastAsiaTheme="minorEastAsia" w:hAnsiTheme="minorHAnsi" w:cstheme="minorBidi"/>
          <w:szCs w:val="28"/>
          <w:lang w:eastAsia="zh-CN"/>
        </w:rPr>
        <w:t>growing issue of space debris, and how can international cooperation be enhanced to ensure sustainable space operations? What innovative approaches are being considered to mitigate these challenges related to environmental risks and space debris?</w:t>
      </w:r>
    </w:p>
    <w:p w14:paraId="1642A132" w14:textId="77777777" w:rsidR="00756188" w:rsidRP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policies can support ongoing innovation and research in space connectivity technologies, and how can these policies ensure that advancements benefit all sectors of society?</w:t>
      </w:r>
    </w:p>
    <w:p w14:paraId="152EC45F" w14:textId="5F944446" w:rsidR="00756188" w:rsidRDefault="00756188"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What policy and regulatory measures countries can take to ensure security, </w:t>
      </w:r>
      <w:r w:rsidR="005E5CD4">
        <w:rPr>
          <w:rFonts w:asciiTheme="minorHAnsi" w:eastAsiaTheme="minorEastAsia" w:hAnsiTheme="minorHAnsi" w:cstheme="minorBidi"/>
          <w:szCs w:val="28"/>
          <w:lang w:eastAsia="zh-CN"/>
        </w:rPr>
        <w:t xml:space="preserve">trust, </w:t>
      </w:r>
      <w:r w:rsidR="006830F2">
        <w:rPr>
          <w:rFonts w:asciiTheme="minorHAnsi" w:eastAsiaTheme="minorEastAsia" w:hAnsiTheme="minorHAnsi" w:cstheme="minorBidi"/>
          <w:szCs w:val="28"/>
          <w:lang w:eastAsia="zh-CN"/>
        </w:rPr>
        <w:t>and resilience</w:t>
      </w:r>
      <w:r w:rsidRPr="00756188">
        <w:rPr>
          <w:rFonts w:asciiTheme="minorHAnsi" w:eastAsiaTheme="minorEastAsia" w:hAnsiTheme="minorHAnsi" w:cstheme="minorBidi"/>
          <w:szCs w:val="28"/>
          <w:lang w:eastAsia="zh-CN"/>
        </w:rPr>
        <w:t xml:space="preserve"> regarding space-based services for communication? How can these measures be </w:t>
      </w:r>
      <w:r w:rsidR="00DD6789">
        <w:rPr>
          <w:rFonts w:asciiTheme="minorHAnsi" w:eastAsiaTheme="minorEastAsia" w:hAnsiTheme="minorHAnsi" w:cstheme="minorBidi"/>
          <w:szCs w:val="28"/>
          <w:lang w:eastAsia="zh-CN"/>
        </w:rPr>
        <w:t xml:space="preserve">coordinated and </w:t>
      </w:r>
      <w:r w:rsidR="00533A6D">
        <w:rPr>
          <w:rFonts w:asciiTheme="minorHAnsi" w:eastAsiaTheme="minorEastAsia" w:hAnsiTheme="minorHAnsi" w:cstheme="minorBidi"/>
          <w:szCs w:val="28"/>
          <w:lang w:eastAsia="zh-CN"/>
        </w:rPr>
        <w:t>harmonized</w:t>
      </w:r>
      <w:r w:rsidRPr="00756188">
        <w:rPr>
          <w:rFonts w:asciiTheme="minorHAnsi" w:eastAsiaTheme="minorEastAsia" w:hAnsiTheme="minorHAnsi" w:cstheme="minorBidi"/>
          <w:szCs w:val="28"/>
          <w:lang w:eastAsia="zh-CN"/>
        </w:rPr>
        <w:t xml:space="preserve"> internationally?</w:t>
      </w:r>
    </w:p>
    <w:p w14:paraId="5156935E" w14:textId="0370729B" w:rsidR="00C60C00" w:rsidRPr="00756188" w:rsidRDefault="00C60C00" w:rsidP="008B3624">
      <w:pPr>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C60C00">
        <w:rPr>
          <w:rFonts w:asciiTheme="minorHAnsi" w:eastAsiaTheme="minorEastAsia" w:hAnsiTheme="minorHAnsi" w:cstheme="minorBidi"/>
          <w:szCs w:val="28"/>
          <w:lang w:eastAsia="zh-CN"/>
        </w:rPr>
        <w:t>How can space-based connectivity support disaster preparedness, early-warning systems, and climate monitoring, particularly in vulnerable regions? Within ITU’s coordination role, what cooperation mechanisms can promote timely</w:t>
      </w:r>
      <w:r>
        <w:rPr>
          <w:rFonts w:asciiTheme="minorHAnsi" w:eastAsiaTheme="minorEastAsia" w:hAnsiTheme="minorHAnsi" w:cstheme="minorBidi"/>
          <w:szCs w:val="28"/>
          <w:lang w:eastAsia="zh-CN"/>
        </w:rPr>
        <w:t xml:space="preserve"> voluntary</w:t>
      </w:r>
      <w:r w:rsidRPr="00C60C00">
        <w:rPr>
          <w:rFonts w:asciiTheme="minorHAnsi" w:eastAsiaTheme="minorEastAsia" w:hAnsiTheme="minorHAnsi" w:cstheme="minorBidi"/>
          <w:szCs w:val="28"/>
          <w:lang w:eastAsia="zh-CN"/>
        </w:rPr>
        <w:t xml:space="preserve"> data-sharing and integration with terrestrial emergency-response systems?</w:t>
      </w:r>
    </w:p>
    <w:p w14:paraId="59E5861C" w14:textId="5A146AAC" w:rsidR="00756188" w:rsidRPr="00756188" w:rsidRDefault="000F01A2">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2"/>
          <w:lang w:eastAsia="zh-CN"/>
        </w:rPr>
      </w:pPr>
      <w:r>
        <w:rPr>
          <w:rFonts w:asciiTheme="minorHAnsi" w:eastAsiaTheme="minorEastAsia" w:hAnsiTheme="minorHAnsi" w:cstheme="minorBidi"/>
          <w:szCs w:val="22"/>
          <w:lang w:eastAsia="zh-CN"/>
        </w:rPr>
        <w:br w:type="page"/>
      </w:r>
    </w:p>
    <w:p w14:paraId="7BA0B175" w14:textId="77777777" w:rsidR="00756188" w:rsidRPr="00756188" w:rsidRDefault="00756188" w:rsidP="00DD3DEE">
      <w:pPr>
        <w:keepNext/>
        <w:keepLines/>
        <w:numPr>
          <w:ilvl w:val="0"/>
          <w:numId w:val="2"/>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Strengthening ICT-centric Innovation Ecosystems and Entrepreneurship</w:t>
      </w:r>
    </w:p>
    <w:p w14:paraId="5EC4C5BF"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8245" behindDoc="0" locked="0" layoutInCell="1" allowOverlap="1" wp14:anchorId="4050E763" wp14:editId="7AC99255">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rgbClr val="9BBB59">
                              <a:lumMod val="100000"/>
                              <a:lumOff val="0"/>
                            </a:srgbClr>
                          </a:solidFill>
                          <a:miter lim="800000"/>
                          <a:headEnd/>
                          <a:tailEnd/>
                        </a:ln>
                      </wps:spPr>
                      <wps:txbx>
                        <w:txbxContent>
                          <w:p w14:paraId="5F3F04F9" w14:textId="77777777" w:rsidR="00756188" w:rsidRPr="00A859A1" w:rsidRDefault="00756188" w:rsidP="00756188">
                            <w:pPr>
                              <w:rPr>
                                <w:color w:val="9BBB59" w:themeColor="accent3"/>
                                <w:sz w:val="22"/>
                              </w:rPr>
                            </w:pPr>
                            <w:r w:rsidRPr="00A859A1">
                              <w:rPr>
                                <w:color w:val="9BBB59" w:themeColor="accent3"/>
                                <w:sz w:val="22"/>
                              </w:rPr>
                              <w:t>Case Study: Digital Innovation Profiles and ITU Acceleration Centres</w:t>
                            </w:r>
                          </w:p>
                          <w:p w14:paraId="0FAEA5DE" w14:textId="77777777" w:rsidR="00756188" w:rsidRPr="00A859A1" w:rsidRDefault="00756188" w:rsidP="00756188">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3A1DEE38" w14:textId="77777777" w:rsidR="00756188" w:rsidRPr="00A859A1" w:rsidRDefault="00756188" w:rsidP="00756188">
                            <w:pPr>
                              <w:jc w:val="both"/>
                              <w:rPr>
                                <w:sz w:val="22"/>
                              </w:rPr>
                            </w:pPr>
                            <w:r w:rsidRPr="00A859A1">
                              <w:rPr>
                                <w:sz w:val="22"/>
                              </w:rPr>
                              <w:t xml:space="preserve">ITU has supported countries in establishing new ecosystem acceleration </w:t>
                            </w:r>
                            <w:proofErr w:type="spellStart"/>
                            <w:r w:rsidRPr="00A859A1">
                              <w:rPr>
                                <w:sz w:val="22"/>
                              </w:rPr>
                              <w:t>centers</w:t>
                            </w:r>
                            <w:proofErr w:type="spellEnd"/>
                            <w:r w:rsidRPr="00A859A1">
                              <w:rPr>
                                <w:sz w:val="22"/>
                              </w:rPr>
                              <w:t xml:space="preserve">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0E763" id="_x0000_s1038" type="#_x0000_t202" style="position:absolute;left:0;text-align:left;margin-left:272.85pt;margin-top:17.45pt;width:211.9pt;height:26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" strokecolor="#9bbb59" strokeweight="1pt">
                <v:textbox>
                  <w:txbxContent>
                    <w:p w14:paraId="5F3F04F9" w14:textId="77777777" w:rsidR="00756188" w:rsidRPr="00A859A1" w:rsidRDefault="00756188" w:rsidP="00756188">
                      <w:pPr>
                        <w:rPr>
                          <w:color w:val="9BBB59" w:themeColor="accent3"/>
                          <w:sz w:val="22"/>
                        </w:rPr>
                      </w:pPr>
                      <w:r w:rsidRPr="00A859A1">
                        <w:rPr>
                          <w:color w:val="9BBB59" w:themeColor="accent3"/>
                          <w:sz w:val="22"/>
                        </w:rPr>
                        <w:t>Case Study: Digital Innovation Profiles and ITU Acceleration Centres</w:t>
                      </w:r>
                    </w:p>
                    <w:p w14:paraId="0FAEA5DE" w14:textId="77777777" w:rsidR="00756188" w:rsidRPr="00A859A1" w:rsidRDefault="00756188" w:rsidP="00756188">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3A1DEE38" w14:textId="77777777" w:rsidR="00756188" w:rsidRPr="00A859A1" w:rsidRDefault="00756188" w:rsidP="00756188">
                      <w:pPr>
                        <w:jc w:val="both"/>
                        <w:rPr>
                          <w:sz w:val="22"/>
                        </w:rPr>
                      </w:pPr>
                      <w:r w:rsidRPr="00A859A1">
                        <w:rPr>
                          <w:sz w:val="22"/>
                        </w:rPr>
                        <w:t xml:space="preserve">ITU has supported countries in establishing new ecosystem acceleration </w:t>
                      </w:r>
                      <w:proofErr w:type="spellStart"/>
                      <w:r w:rsidRPr="00A859A1">
                        <w:rPr>
                          <w:sz w:val="22"/>
                        </w:rPr>
                        <w:t>centers</w:t>
                      </w:r>
                      <w:proofErr w:type="spellEnd"/>
                      <w:r w:rsidRPr="00A859A1">
                        <w:rPr>
                          <w:sz w:val="22"/>
                        </w:rPr>
                        <w:t xml:space="preserve"> that provide a coordinated implementation and governance framework for their digital ecosystems, helping them achieve national goals.</w:t>
                      </w:r>
                    </w:p>
                  </w:txbxContent>
                </v:textbox>
                <w10:wrap type="square"/>
              </v:shape>
            </w:pict>
          </mc:Fallback>
        </mc:AlternateContent>
      </w:r>
      <w:r w:rsidRPr="00756188">
        <w:rPr>
          <w:rFonts w:asciiTheme="minorHAnsi" w:eastAsiaTheme="minorEastAsia" w:hAnsiTheme="minorHAnsi" w:cstheme="minorBidi"/>
          <w:szCs w:val="28"/>
          <w:lang w:eastAsia="zh-CN"/>
        </w:rPr>
        <w:t>Entrepreneurial ecosystems are essential to drive sustainable development while increasing inclusion, providing economies of scale, and bridging digital divides.</w:t>
      </w:r>
    </w:p>
    <w:p w14:paraId="3DE30E1F"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However, there is a growing digital innovation divide among countries that inhibits access to equitable benefits for all</w:t>
      </w:r>
      <w:r w:rsidRPr="00756188" w:rsidDel="004A5658">
        <w:rPr>
          <w:rFonts w:asciiTheme="minorHAnsi" w:eastAsiaTheme="minorEastAsia" w:hAnsiTheme="minorHAnsi" w:cstheme="minorBidi"/>
          <w:szCs w:val="28"/>
          <w:lang w:eastAsia="zh-CN"/>
        </w:rPr>
        <w:t>.</w:t>
      </w:r>
      <w:r w:rsidRPr="00756188">
        <w:rPr>
          <w:rFonts w:asciiTheme="minorHAnsi" w:eastAsiaTheme="minorEastAsia" w:hAnsiTheme="minorHAnsi" w:cstheme="minorBidi"/>
          <w:szCs w:val="28"/>
          <w:lang w:eastAsia="zh-CN"/>
        </w:rPr>
        <w:t xml:space="preserve"> </w:t>
      </w:r>
    </w:p>
    <w:p w14:paraId="4AA19E04"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Supportive policies and regulations are key to enable innovation and support Micro, Small and Medium-sized Enterprises (MSMEs), as well as enhanced collaboration efforts among key stakeholders, including policymakers, industry and academia. </w:t>
      </w:r>
    </w:p>
    <w:p w14:paraId="37A72FF1" w14:textId="37172680" w:rsid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participation of MSMEs in ICT innovation within developing countries faces multiple barriers. These include </w:t>
      </w:r>
      <w:r w:rsidR="00672634">
        <w:rPr>
          <w:rFonts w:asciiTheme="minorHAnsi" w:eastAsiaTheme="minorEastAsia" w:hAnsiTheme="minorHAnsi" w:cstheme="minorBidi"/>
          <w:szCs w:val="28"/>
          <w:lang w:eastAsia="zh-CN"/>
        </w:rPr>
        <w:t>challenges related to</w:t>
      </w:r>
      <w:r w:rsidR="00E2008D">
        <w:rPr>
          <w:rFonts w:asciiTheme="minorHAnsi" w:eastAsiaTheme="minorEastAsia" w:hAnsiTheme="minorHAnsi" w:cstheme="minorBidi"/>
          <w:szCs w:val="28"/>
          <w:lang w:eastAsia="zh-CN"/>
        </w:rPr>
        <w:t xml:space="preserve"> intellectual-property protection and technology transfer</w:t>
      </w:r>
      <w:r w:rsidRPr="00756188">
        <w:rPr>
          <w:rFonts w:asciiTheme="minorHAnsi" w:eastAsiaTheme="minorEastAsia" w:hAnsiTheme="minorHAnsi" w:cstheme="minorBidi"/>
          <w:szCs w:val="28"/>
          <w:lang w:eastAsia="zh-CN"/>
        </w:rPr>
        <w:t>, limited commercialization opportunities due to business environments still adapting to new technologies, and still-developing governmental support in areas such as funding and incubators. Additionally, while the digital infrastructure is improving</w:t>
      </w:r>
      <w:r w:rsidR="00D566F6">
        <w:rPr>
          <w:rFonts w:asciiTheme="minorHAnsi" w:eastAsiaTheme="minorEastAsia" w:hAnsiTheme="minorHAnsi" w:cstheme="minorBidi"/>
          <w:szCs w:val="28"/>
          <w:lang w:eastAsia="zh-CN"/>
        </w:rPr>
        <w:t xml:space="preserve">, as </w:t>
      </w:r>
      <w:r w:rsidRPr="00756188">
        <w:rPr>
          <w:rFonts w:asciiTheme="minorHAnsi" w:eastAsiaTheme="minorEastAsia" w:hAnsiTheme="minorHAnsi" w:cstheme="minorBidi"/>
          <w:szCs w:val="28"/>
          <w:lang w:eastAsia="zh-CN"/>
        </w:rPr>
        <w:t>evidenced by high internet penetration rates</w:t>
      </w:r>
      <w:r w:rsidR="00D566F6">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many small businesses still lack digital integration, operating without web presence or digital payment solutions in predominantly paper-based environments.</w:t>
      </w:r>
    </w:p>
    <w:p w14:paraId="782A97CB" w14:textId="48DAD1F9" w:rsidR="00204C77" w:rsidRPr="00204C77" w:rsidRDefault="00204C77" w:rsidP="00204C77">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0DB62A08" wp14:editId="20772FF4">
                <wp:extent cx="5580000" cy="1404620"/>
                <wp:effectExtent l="0" t="0" r="20955" b="15875"/>
                <wp:docPr id="890473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9BBB59">
                              <a:lumMod val="100000"/>
                              <a:lumOff val="0"/>
                            </a:srgbClr>
                          </a:solidFill>
                          <a:miter lim="800000"/>
                          <a:headEnd/>
                          <a:tailEnd/>
                        </a:ln>
                      </wps:spPr>
                      <wps:txbx>
                        <w:txbxContent>
                          <w:p w14:paraId="149F9F5C" w14:textId="77777777" w:rsidR="001F55FA" w:rsidRDefault="00204C77" w:rsidP="001F55FA">
                            <w:pPr>
                              <w:rPr>
                                <w:sz w:val="22"/>
                              </w:rPr>
                            </w:pPr>
                            <w:r w:rsidRPr="00A859A1">
                              <w:rPr>
                                <w:color w:val="9BBB59" w:themeColor="accent3"/>
                                <w:sz w:val="22"/>
                              </w:rPr>
                              <w:t xml:space="preserve">Case Study: </w:t>
                            </w:r>
                            <w:r w:rsidR="001F55FA">
                              <w:rPr>
                                <w:color w:val="9BBB59" w:themeColor="accent3"/>
                                <w:sz w:val="22"/>
                              </w:rPr>
                              <w:t>Innovation and Entrepreneurship Alliance for Digital Development</w:t>
                            </w:r>
                            <w:r w:rsidR="001F55FA" w:rsidRPr="00A859A1">
                              <w:rPr>
                                <w:sz w:val="22"/>
                              </w:rPr>
                              <w:t xml:space="preserve"> </w:t>
                            </w:r>
                          </w:p>
                          <w:p w14:paraId="35D2F90D" w14:textId="77777777" w:rsidR="00FE54F0" w:rsidRDefault="00FE54F0" w:rsidP="00FE54F0">
                            <w:pPr>
                              <w:jc w:val="both"/>
                              <w:rPr>
                                <w:sz w:val="22"/>
                              </w:rPr>
                            </w:pPr>
                            <w:r w:rsidRPr="00142FAE">
                              <w:rPr>
                                <w:sz w:val="22"/>
                              </w:rPr>
                              <w:t xml:space="preserve">ITU has launched the </w:t>
                            </w:r>
                            <w:hyperlink r:id="rId29"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6DDCC0BC" w14:textId="2FB6908B" w:rsidR="00204C77" w:rsidRPr="00A859A1" w:rsidRDefault="00FE54F0" w:rsidP="00FE54F0">
                            <w:pPr>
                              <w:jc w:val="both"/>
                              <w:rPr>
                                <w:sz w:val="22"/>
                              </w:rPr>
                            </w:pPr>
                            <w:r>
                              <w:rPr>
                                <w:sz w:val="22"/>
                              </w:rPr>
                              <w:t>Together</w:t>
                            </w:r>
                            <w:r w:rsidR="0019666C">
                              <w:rPr>
                                <w:sz w:val="22"/>
                              </w:rPr>
                              <w:t>, this</w:t>
                            </w:r>
                            <w:r w:rsidR="0019666C" w:rsidRPr="0019666C">
                              <w:rPr>
                                <w:sz w:val="22"/>
                              </w:rPr>
                              <w:t xml:space="preserve"> network builds the innovation capacity needed to drive an equitable future where innovation and entrepreneurship are </w:t>
                            </w:r>
                            <w:r w:rsidR="0019666C">
                              <w:rPr>
                                <w:sz w:val="22"/>
                              </w:rPr>
                              <w:t xml:space="preserve">the </w:t>
                            </w:r>
                            <w:r>
                              <w:rPr>
                                <w:sz w:val="22"/>
                              </w:rPr>
                              <w:t xml:space="preserve">engine of growth for digital development. </w:t>
                            </w:r>
                          </w:p>
                        </w:txbxContent>
                      </wps:txbx>
                      <wps:bodyPr rot="0" vert="horz" wrap="square" lIns="91440" tIns="45720" rIns="91440" bIns="45720" anchor="t" anchorCtr="0" upright="1">
                        <a:spAutoFit/>
                      </wps:bodyPr>
                    </wps:wsp>
                  </a:graphicData>
                </a:graphic>
              </wp:inline>
            </w:drawing>
          </mc:Choice>
          <mc:Fallback>
            <w:pict>
              <v:shape w14:anchorId="0DB62A08" id="_x0000_s1039"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" strokecolor="#9bbb59" strokeweight="1pt">
                <v:textbox style="mso-fit-shape-to-text:t">
                  <w:txbxContent>
                    <w:p w14:paraId="149F9F5C" w14:textId="77777777" w:rsidR="001F55FA" w:rsidRDefault="00204C77" w:rsidP="001F55FA">
                      <w:pPr>
                        <w:rPr>
                          <w:sz w:val="22"/>
                        </w:rPr>
                      </w:pPr>
                      <w:r w:rsidRPr="00A859A1">
                        <w:rPr>
                          <w:color w:val="9BBB59" w:themeColor="accent3"/>
                          <w:sz w:val="22"/>
                        </w:rPr>
                        <w:t xml:space="preserve">Case Study: </w:t>
                      </w:r>
                      <w:r w:rsidR="001F55FA">
                        <w:rPr>
                          <w:color w:val="9BBB59" w:themeColor="accent3"/>
                          <w:sz w:val="22"/>
                        </w:rPr>
                        <w:t>Innovation and Entrepreneurship Alliance for Digital Development</w:t>
                      </w:r>
                      <w:r w:rsidR="001F55FA" w:rsidRPr="00A859A1">
                        <w:rPr>
                          <w:sz w:val="22"/>
                        </w:rPr>
                        <w:t xml:space="preserve"> </w:t>
                      </w:r>
                    </w:p>
                    <w:p w14:paraId="35D2F90D" w14:textId="77777777" w:rsidR="00FE54F0" w:rsidRDefault="00FE54F0" w:rsidP="00FE54F0">
                      <w:pPr>
                        <w:jc w:val="both"/>
                        <w:rPr>
                          <w:sz w:val="22"/>
                        </w:rPr>
                      </w:pPr>
                      <w:r w:rsidRPr="00142FAE">
                        <w:rPr>
                          <w:sz w:val="22"/>
                        </w:rPr>
                        <w:t xml:space="preserve">ITU has launched the </w:t>
                      </w:r>
                      <w:hyperlink r:id="rId30"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6DDCC0BC" w14:textId="2FB6908B" w:rsidR="00204C77" w:rsidRPr="00A859A1" w:rsidRDefault="00FE54F0" w:rsidP="00FE54F0">
                      <w:pPr>
                        <w:jc w:val="both"/>
                        <w:rPr>
                          <w:sz w:val="22"/>
                        </w:rPr>
                      </w:pPr>
                      <w:r>
                        <w:rPr>
                          <w:sz w:val="22"/>
                        </w:rPr>
                        <w:t>Together</w:t>
                      </w:r>
                      <w:r w:rsidR="0019666C">
                        <w:rPr>
                          <w:sz w:val="22"/>
                        </w:rPr>
                        <w:t>, this</w:t>
                      </w:r>
                      <w:r w:rsidR="0019666C" w:rsidRPr="0019666C">
                        <w:rPr>
                          <w:sz w:val="22"/>
                        </w:rPr>
                        <w:t xml:space="preserve"> network builds the innovation capacity needed to drive an equitable future where innovation and entrepreneurship are </w:t>
                      </w:r>
                      <w:r w:rsidR="0019666C">
                        <w:rPr>
                          <w:sz w:val="22"/>
                        </w:rPr>
                        <w:t xml:space="preserve">the </w:t>
                      </w:r>
                      <w:r>
                        <w:rPr>
                          <w:sz w:val="22"/>
                        </w:rPr>
                        <w:t xml:space="preserve">engine of growth for digital development. </w:t>
                      </w:r>
                    </w:p>
                  </w:txbxContent>
                </v:textbox>
                <w10:anchorlock/>
              </v:shape>
            </w:pict>
          </mc:Fallback>
        </mc:AlternateContent>
      </w:r>
    </w:p>
    <w:p w14:paraId="23E70A2B"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Given the importance of the role of innovation as a driver of sustainable development and the growing innovation divide between developing and developed countries, several important considerations require attention:</w:t>
      </w:r>
    </w:p>
    <w:p w14:paraId="717DD063"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Trends research readiness: Adapting to the fast-changing digital environment requires institutions and other ecosystem stakeholders to stay ahead of the curve and effectively interpret the evolution of technology, policy and innovation dynamics. This requires new thinking and approaches, such as equipping countries with foresight capabilities and strategic research. </w:t>
      </w:r>
    </w:p>
    <w:p w14:paraId="02B04BB9"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Open innovation: Harnessing technological know-how for competitive digital economy value chain, embracing open innovation and multistakeholder mechanisms, appropriate access to emerging technology for all. Promoting collaboration and synergies that scale digital innovations and achieve cross-cutting sectoral value for a competitive digital economy.</w:t>
      </w:r>
    </w:p>
    <w:p w14:paraId="2FC53FFA" w14:textId="0AA6CF95" w:rsidR="00756188" w:rsidRPr="00204C77"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Entrepreneurship and MSMEs growth: Accelerating the uptake of digital innovation-driven entrepreneurship and opportunities for talent to achieve socio economic inclusion in their communities need renewed focus.</w:t>
      </w:r>
      <w:r w:rsidR="00F325F2" w:rsidRPr="00F325F2">
        <w:rPr>
          <w:b/>
          <w:bCs/>
        </w:rPr>
        <w:t xml:space="preserve"> </w:t>
      </w:r>
      <w:r w:rsidR="00F325F2" w:rsidRPr="00A246E2">
        <w:rPr>
          <w:rFonts w:asciiTheme="minorHAnsi" w:eastAsiaTheme="minorEastAsia" w:hAnsiTheme="minorHAnsi" w:cstheme="minorBidi"/>
          <w:szCs w:val="28"/>
          <w:lang w:eastAsia="zh-CN"/>
        </w:rPr>
        <w:t>Integrating emerging technologies into curricula and supporting innovation ecosystems within academic institutions can unlock local talent and foster inclusive economic growth.</w:t>
      </w:r>
    </w:p>
    <w:p w14:paraId="0530CC8F" w14:textId="61F5BF05" w:rsidR="00C2203D" w:rsidRPr="00343A53"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Appropriate Policy: Crafting flexible and forward-thinking policies that encourage innovation, support ecosystem stakeholders, and enhance investment opportunities. International collaboration plays a crucial role in driving knowledge exchange, capacity development, and harmonization of standards</w:t>
      </w:r>
    </w:p>
    <w:p w14:paraId="14952441" w14:textId="77777777" w:rsidR="00756188" w:rsidRPr="00756188" w:rsidRDefault="00756188" w:rsidP="00DD3DEE">
      <w:pPr>
        <w:keepNext/>
        <w:keepLines/>
        <w:numPr>
          <w:ilvl w:val="1"/>
          <w:numId w:val="2"/>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To address these challenges in ICT innovation ecosystems, several critical questions require consideration, particularly regarding the role of MSMEs in driving digital transformation:</w:t>
      </w:r>
    </w:p>
    <w:p w14:paraId="389C8803"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are the barriers for MSMEs to innovate and to contribute to the telecommunication/ICT services and technology innovation ecosystem?</w:t>
      </w:r>
    </w:p>
    <w:p w14:paraId="681AAFFB"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help MSMEs digitally transform their telecommunication/ICT service and technology innovation ecosystems efficiently and sustainable</w:t>
      </w:r>
      <w:r w:rsidRPr="00756188" w:rsidDel="002374AD">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and support them in collaboration with large enterprises?</w:t>
      </w:r>
    </w:p>
    <w:p w14:paraId="62DE28AB"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policy makers help MSMEs innovate, grow and integrate into the telecommunication/ICT services and technology innovation ecosystem more efficiently? </w:t>
      </w:r>
    </w:p>
    <w:p w14:paraId="7FCB04F4"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ITU assist policy makers to work with relevant stakeholders to invest in telecommunication/ICT services and technology research and development for new innovative products and services for MSMEs? </w:t>
      </w:r>
    </w:p>
    <w:p w14:paraId="2A8A06DE"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ITU assist policy makers to bring intellectual property developed by MSMEs to market and to the telecommunication/ICT services and technology innovation ecosystem? </w:t>
      </w:r>
    </w:p>
    <w:p w14:paraId="0C3640CD"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universities, research institutes, innovation hubs and enterprises in the telecommunication/ICT services and technology innovation sector promote, invest, support and develop entrepreneurship and enhance the supply of digital talents for enterprises?</w:t>
      </w:r>
    </w:p>
    <w:p w14:paraId="1860BD42" w14:textId="77777777" w:rsidR="00756188" w:rsidRPr="00756188" w:rsidRDefault="00756188" w:rsidP="008B3624">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promote competition and improve access to open markets to foster entrepreneurship?</w:t>
      </w:r>
    </w:p>
    <w:p w14:paraId="63848268" w14:textId="1A7E2A35" w:rsidR="00756188" w:rsidRPr="00756188" w:rsidRDefault="00756188" w:rsidP="00B670FD">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the ITU and international cooperation support enhancing telecommunication/ICT services and technology-centric innovation and entrepreneurship by providing platforms for building cooperation networks for knowledge and capability sharing, for evaluation and training, for bringing telecommunication/ICT service </w:t>
      </w:r>
      <w:proofErr w:type="spellStart"/>
      <w:r w:rsidRPr="00756188">
        <w:rPr>
          <w:rFonts w:asciiTheme="minorHAnsi" w:eastAsiaTheme="minorEastAsia" w:hAnsiTheme="minorHAnsi" w:cstheme="minorBidi"/>
          <w:szCs w:val="28"/>
          <w:lang w:eastAsia="zh-CN"/>
        </w:rPr>
        <w:t>an</w:t>
      </w:r>
      <w:r w:rsidR="007050FB">
        <w:rPr>
          <w:rFonts w:asciiTheme="minorHAnsi" w:eastAsiaTheme="minorEastAsia" w:hAnsiTheme="minorHAnsi" w:cstheme="minorBidi"/>
          <w:szCs w:val="28"/>
          <w:lang w:eastAsia="zh-CN"/>
        </w:rPr>
        <w:t>digit</w:t>
      </w:r>
      <w:r w:rsidRPr="00756188">
        <w:rPr>
          <w:rFonts w:asciiTheme="minorHAnsi" w:eastAsiaTheme="minorEastAsia" w:hAnsiTheme="minorHAnsi" w:cstheme="minorBidi"/>
          <w:szCs w:val="28"/>
          <w:lang w:eastAsia="zh-CN"/>
        </w:rPr>
        <w:t>d</w:t>
      </w:r>
      <w:proofErr w:type="spellEnd"/>
      <w:r w:rsidRPr="00756188">
        <w:rPr>
          <w:rFonts w:asciiTheme="minorHAnsi" w:eastAsiaTheme="minorEastAsia" w:hAnsiTheme="minorHAnsi" w:cstheme="minorBidi"/>
          <w:szCs w:val="28"/>
          <w:lang w:eastAsia="zh-CN"/>
        </w:rPr>
        <w:t xml:space="preserve"> technology innovations into standardization, for regulatory toolkits and sandboxes?</w:t>
      </w:r>
    </w:p>
    <w:p w14:paraId="6D8BCE2F" w14:textId="77777777" w:rsidR="00756188" w:rsidRPr="00756188" w:rsidRDefault="00756188" w:rsidP="00B670FD">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reducing regulatory barriers to market entry enable telecommunication/ICT services and technology -centric innovation?</w:t>
      </w:r>
    </w:p>
    <w:p w14:paraId="2771CB53" w14:textId="77777777" w:rsidR="00756188" w:rsidRPr="00756188" w:rsidRDefault="00756188" w:rsidP="00B670FD">
      <w:pPr>
        <w:keepNext/>
        <w:keepLines/>
        <w:numPr>
          <w:ilvl w:val="2"/>
          <w:numId w:val="2"/>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capacities do public bodies need to support an innovative telecommunication/ICT services and technology sector and to anticipate emerging issues?</w:t>
      </w:r>
    </w:p>
    <w:p w14:paraId="2B20225C" w14:textId="77777777" w:rsidR="00756188" w:rsidRPr="00756188" w:rsidRDefault="00756188" w:rsidP="00756188">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szCs w:val="22"/>
          <w:lang w:eastAsia="zh-CN"/>
        </w:rPr>
        <w:br w:type="page"/>
      </w:r>
    </w:p>
    <w:p w14:paraId="0AD2EBF5" w14:textId="30AACA64" w:rsidR="00756188" w:rsidRPr="009812C4" w:rsidRDefault="00756188" w:rsidP="00567FF4">
      <w:pPr>
        <w:overflowPunct/>
        <w:autoSpaceDE/>
        <w:autoSpaceDN/>
        <w:adjustRightInd/>
        <w:jc w:val="center"/>
        <w:textAlignment w:val="auto"/>
        <w:rPr>
          <w:rFonts w:asciiTheme="minorHAnsi" w:eastAsia="Calibri" w:hAnsiTheme="minorHAnsi" w:cstheme="minorHAnsi"/>
          <w:sz w:val="22"/>
          <w:szCs w:val="22"/>
        </w:rPr>
      </w:pPr>
      <w:r w:rsidRPr="009812C4">
        <w:rPr>
          <w:rFonts w:asciiTheme="minorHAnsi" w:eastAsia="Calibri" w:hAnsiTheme="minorHAnsi" w:cstheme="minorHAnsi"/>
          <w:sz w:val="22"/>
          <w:szCs w:val="22"/>
        </w:rPr>
        <w:t xml:space="preserve">Annex: DRAFT OPINIONS FOR THE SEVENTH WORLD TELECOMMUNICATION/INFORMATION AND </w:t>
      </w:r>
      <w:r w:rsidRPr="009812C4">
        <w:rPr>
          <w:rFonts w:asciiTheme="minorHAnsi" w:eastAsia="Calibri" w:hAnsiTheme="minorHAnsi" w:cstheme="minorHAnsi"/>
          <w:sz w:val="22"/>
          <w:szCs w:val="22"/>
        </w:rPr>
        <w:br/>
        <w:t>COMMUNICATION TECHNOLOGY POLICY FORUM 2026</w:t>
      </w:r>
    </w:p>
    <w:p w14:paraId="7DDFEF63" w14:textId="77777777" w:rsidR="00567FF4" w:rsidRPr="009812C4" w:rsidRDefault="00567FF4" w:rsidP="00567FF4">
      <w:pPr>
        <w:overflowPunct/>
        <w:autoSpaceDE/>
        <w:autoSpaceDN/>
        <w:adjustRightInd/>
        <w:jc w:val="center"/>
        <w:textAlignment w:val="auto"/>
        <w:rPr>
          <w:rFonts w:asciiTheme="minorHAnsi" w:eastAsia="Calibri" w:hAnsiTheme="minorHAnsi" w:cstheme="minorHAnsi"/>
          <w:sz w:val="22"/>
          <w:szCs w:val="22"/>
        </w:rPr>
      </w:pPr>
    </w:p>
    <w:p w14:paraId="6210E856" w14:textId="0094F50D" w:rsidR="00567FF4" w:rsidRPr="00E3782A" w:rsidRDefault="00567FF4" w:rsidP="00F8408B">
      <w:pPr>
        <w:pStyle w:val="Appendixtitle"/>
        <w:rPr>
          <w:rFonts w:eastAsia="Calibri"/>
        </w:rPr>
      </w:pPr>
      <w:r w:rsidRPr="00E3782A">
        <w:rPr>
          <w:rFonts w:eastAsia="Calibri"/>
        </w:rPr>
        <w:t xml:space="preserve">DRAFT OPINION 1: </w:t>
      </w:r>
      <w:r w:rsidR="00B45812" w:rsidRPr="00E3782A">
        <w:rPr>
          <w:rFonts w:eastAsia="Calibri"/>
        </w:rPr>
        <w:t>Bridging digital divides, particularly on gender and age as well as skills and connectivity</w:t>
      </w:r>
    </w:p>
    <w:bookmarkEnd w:id="0"/>
    <w:p w14:paraId="44C6D21B" w14:textId="49F5B3A1" w:rsidR="007B3DB2" w:rsidRPr="00B670FD" w:rsidRDefault="007B3DB2" w:rsidP="00F8408B">
      <w:pPr>
        <w:pStyle w:val="Normalaftertitle"/>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The seventh World Telecommunication/ICT Policy Forum (Geneva, 2026),</w:t>
      </w:r>
    </w:p>
    <w:p w14:paraId="6C26458C" w14:textId="565A86BA" w:rsidR="007B3DB2" w:rsidRPr="00B670FD" w:rsidRDefault="00947283" w:rsidP="00F8408B">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t>r</w:t>
      </w:r>
      <w:r w:rsidR="007B3DB2" w:rsidRPr="00B670FD">
        <w:rPr>
          <w:rFonts w:asciiTheme="minorHAnsi" w:eastAsiaTheme="minorEastAsia" w:hAnsiTheme="minorHAnsi" w:cstheme="minorHAnsi"/>
          <w:i w:val="0"/>
          <w:iCs/>
          <w:sz w:val="22"/>
          <w:szCs w:val="22"/>
          <w:lang w:eastAsia="zh-CN"/>
        </w:rPr>
        <w:t>ecalling</w:t>
      </w:r>
    </w:p>
    <w:p w14:paraId="068138B4" w14:textId="5CDA2D7D" w:rsidR="009342A5"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 of the United Nations General Assembly, on transforming our world: the 2030 Agenda for Sustainable Development;</w:t>
      </w:r>
    </w:p>
    <w:p w14:paraId="26FCFB1E" w14:textId="078FEE44"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523A6DE3" w14:textId="37B4668B"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78/311 of the United Nations General Assembly, on enhancing international cooperation on capacity-building of artificial intelligence;</w:t>
      </w:r>
    </w:p>
    <w:p w14:paraId="26967BF4" w14:textId="1ECEB30C"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11 (Rev. Kigali, 2022) of the World Telecommunication Development Conference, on telecommunication/information and communication technology (ICT) services in rural, isolated, and poorly served areas;</w:t>
      </w:r>
    </w:p>
    <w:p w14:paraId="761DF4FD" w14:textId="7AB790F2"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37 (Rev. Kigali, 2022) of the World Telecommunication Development Conference, on bridging the digital divide;</w:t>
      </w:r>
    </w:p>
    <w:p w14:paraId="764C7456" w14:textId="6F409FF4"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55 (Rev. Kigali, 2022) of the World Telecommunication Development Conference, on mainstreaming a gender perspective in the ITU to enhance women’s empowerment through telecommunications/ICTs;</w:t>
      </w:r>
    </w:p>
    <w:p w14:paraId="6E17ECC4" w14:textId="1928E4E1"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58 (Rev. Kigali, 2022) of World Telecommunication Development Conference, on Telecommunication/information and communication technology accessibility for persons with disabilities and persons with specific needs</w:t>
      </w:r>
      <w:r w:rsidR="00B47FA8" w:rsidRPr="00B670FD">
        <w:rPr>
          <w:rFonts w:asciiTheme="minorHAnsi" w:eastAsiaTheme="minorEastAsia" w:hAnsiTheme="minorHAnsi" w:cstheme="minorHAnsi"/>
          <w:noProof/>
          <w:sz w:val="22"/>
          <w:szCs w:val="22"/>
          <w:lang w:val="en-US" w:eastAsia="zh-CN"/>
        </w:rPr>
        <w:t>;</w:t>
      </w:r>
    </w:p>
    <w:p w14:paraId="26E32034" w14:textId="04BD391A"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 (Rev. Bucharest, 2022) of the Plenipotentiary Conference, on mainstreaming a gender perspective in the ITU and promoting gender equality and the empowerment of women and girls through telecommunications/ICTs;</w:t>
      </w:r>
    </w:p>
    <w:p w14:paraId="72572E40" w14:textId="6A4459FB"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71 (Rev. Bucharest, 2022) of the Plenipotentiary Conference, on the ITU strategic framework for 2024–2027, aiming to enable and foster universal access to affordable, high-quality, and secure telecommunications/ICTs;</w:t>
      </w:r>
    </w:p>
    <w:p w14:paraId="15963268" w14:textId="5B3CF395"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139 (Rev. Bucharest, 2022) of the Plenipotentiary Conference, on the use of telecommunications/information and communication technologies to bridge the digital divide and build an inclusive information society;</w:t>
      </w:r>
    </w:p>
    <w:p w14:paraId="3E187BA6" w14:textId="04EB872A"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175 (Rev. Bucharest, 2022) of the Plenipotentiary Conference, on Telecommunication/information and communication technology accessibility for persons with disabilities and persons with specific needs;</w:t>
      </w:r>
    </w:p>
    <w:p w14:paraId="4C4C6E2A" w14:textId="22E591DB"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179 (Rev. Bucharest, 2022) of the Plenipotentiary Conference, on ITU’s role in child online protection;</w:t>
      </w:r>
    </w:p>
    <w:p w14:paraId="2B2B1973" w14:textId="7F773D28"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198 (Rev. Bucharest, 2022) of the Plenipotentiary Conference, on the empowerment of youth through telecommunication/ICTs;</w:t>
      </w:r>
    </w:p>
    <w:p w14:paraId="2F7C229A" w14:textId="1C722663" w:rsidR="007B3DB2"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200 (Rev. Bucharest, 2022) of the Plenipotentiary Conference, on the Connect 2030 Agenda for global telecommunication/ICT, including broadband, for sustainable development;</w:t>
      </w:r>
    </w:p>
    <w:p w14:paraId="36CE909E" w14:textId="0EF1B494" w:rsidR="00B63079" w:rsidRPr="00B670FD" w:rsidRDefault="007B3DB2" w:rsidP="008A54F3">
      <w:pPr>
        <w:pStyle w:val="ListParagraph"/>
        <w:numPr>
          <w:ilvl w:val="0"/>
          <w:numId w:val="4"/>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Opinion 3 (Geneva, 2021) of the World Telecommunication/ICT Policy Forum, on digital literacy and skills for inclusive access,</w:t>
      </w:r>
    </w:p>
    <w:p w14:paraId="075EA736" w14:textId="40B9E4DD" w:rsidR="007B3DB2" w:rsidRPr="00B670FD" w:rsidRDefault="00524A35" w:rsidP="008A54F3">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t>c</w:t>
      </w:r>
      <w:r w:rsidR="007B3DB2" w:rsidRPr="00B670FD">
        <w:rPr>
          <w:rFonts w:asciiTheme="minorHAnsi" w:eastAsiaTheme="minorEastAsia" w:hAnsiTheme="minorHAnsi" w:cstheme="minorHAnsi"/>
          <w:i w:val="0"/>
          <w:iCs/>
          <w:sz w:val="22"/>
          <w:szCs w:val="22"/>
          <w:lang w:eastAsia="zh-CN"/>
        </w:rPr>
        <w:t>onsidering</w:t>
      </w:r>
    </w:p>
    <w:p w14:paraId="55417A4A" w14:textId="41D12CDD"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achieving universal and meaningful connectivity requires focus on key enablers inter alia infrastructure, affordability, devices, digital skills/literacy, user confidence in using telecommunications / ICTs, and evidence-based policy and regulatory frameworks</w:t>
      </w:r>
      <w:r w:rsidR="002921C7" w:rsidRPr="00B670FD">
        <w:rPr>
          <w:rFonts w:asciiTheme="minorHAnsi" w:eastAsiaTheme="minorEastAsia" w:hAnsiTheme="minorHAnsi" w:cstheme="minorHAnsi"/>
          <w:noProof/>
          <w:sz w:val="22"/>
          <w:szCs w:val="22"/>
          <w:lang w:val="en-US" w:eastAsia="zh-CN"/>
        </w:rPr>
        <w:t>;</w:t>
      </w:r>
    </w:p>
    <w:p w14:paraId="4BFD4126" w14:textId="1A93967D"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universal access to essential digital skills empowers individuals and communities, in particular, women,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persons, persons with disabilities, and underserved communities by providing the knowledge needed to thrive in the digital world, accessibility, fostering inclusion, bridging the digital divide, creating economic opportunities, and enabling broader participation and social advancement in the digital age; </w:t>
      </w:r>
    </w:p>
    <w:p w14:paraId="4DB92798" w14:textId="441F95DE"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ITU plays an important role in  connecting the unconnected and promoting  women’s empowerment, particularly through STEM education and careers through initiatives such as Girls in ICTs;</w:t>
      </w:r>
    </w:p>
    <w:p w14:paraId="432F4E61" w14:textId="2A02D8E1" w:rsidR="002921C7"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equal access to telecommunications/ICT technologies, applications </w:t>
      </w:r>
      <w:r w:rsidR="00327577" w:rsidRPr="00B670FD">
        <w:rPr>
          <w:rFonts w:asciiTheme="minorHAnsi" w:eastAsiaTheme="minorEastAsia" w:hAnsiTheme="minorHAnsi" w:cstheme="minorHAnsi"/>
          <w:noProof/>
          <w:sz w:val="22"/>
          <w:szCs w:val="22"/>
          <w:lang w:val="en-US" w:eastAsia="zh-CN"/>
        </w:rPr>
        <w:t xml:space="preserve">and </w:t>
      </w:r>
      <w:r w:rsidRPr="00B670FD">
        <w:rPr>
          <w:rFonts w:asciiTheme="minorHAnsi" w:eastAsiaTheme="minorEastAsia" w:hAnsiTheme="minorHAnsi" w:cstheme="minorHAnsi"/>
          <w:noProof/>
          <w:sz w:val="22"/>
          <w:szCs w:val="22"/>
          <w:lang w:val="en-US" w:eastAsia="zh-CN"/>
        </w:rPr>
        <w:t>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r w:rsidR="002921C7"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 xml:space="preserve">   </w:t>
      </w:r>
    </w:p>
    <w:p w14:paraId="13787CF5" w14:textId="41C87B4F"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platforms enhance social connectivity and access to vital services, improving quality of life. They enable real-time communication, support networks, and bridge gaps for marginalized groups, ensuring inclusive participation in the digital age;</w:t>
      </w:r>
    </w:p>
    <w:p w14:paraId="105E8BFD" w14:textId="78CABD81"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equal access to telecommunications/ICTs     are essential for political, economic, social, and cultural development, as they play an important role in poverty alleviation, job creation, environmental protection, including the prevention and mitigation of natural and other disasters</w:t>
      </w:r>
      <w:r w:rsidR="002921C7" w:rsidRPr="00B670FD">
        <w:rPr>
          <w:rFonts w:asciiTheme="minorHAnsi" w:eastAsiaTheme="minorEastAsia" w:hAnsiTheme="minorHAnsi" w:cstheme="minorHAnsi"/>
          <w:noProof/>
          <w:sz w:val="22"/>
          <w:szCs w:val="22"/>
          <w:lang w:val="en-US" w:eastAsia="zh-CN"/>
        </w:rPr>
        <w:t>;</w:t>
      </w:r>
    </w:p>
    <w:p w14:paraId="162D193E" w14:textId="59C98DC4"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digital divide is a multi-dimensional and dynamic phenomenon, varying not only between countries, but also within countries creating distinct needs,  depending upon geographical, social, economic, demographic and linguistic contexts which differ according to the specific conditions of the country or the region</w:t>
      </w:r>
      <w:r w:rsidR="002921C7" w:rsidRPr="00B670FD">
        <w:rPr>
          <w:rFonts w:asciiTheme="minorHAnsi" w:eastAsiaTheme="minorEastAsia" w:hAnsiTheme="minorHAnsi" w:cstheme="minorHAnsi"/>
          <w:noProof/>
          <w:sz w:val="22"/>
          <w:szCs w:val="22"/>
          <w:lang w:val="en-US" w:eastAsia="zh-CN"/>
        </w:rPr>
        <w:t>;</w:t>
      </w:r>
    </w:p>
    <w:p w14:paraId="5B2E1911" w14:textId="24506D40" w:rsidR="007B3DB2" w:rsidRPr="00B670FD" w:rsidRDefault="007B3DB2" w:rsidP="008A54F3">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ineffective or unmonitored policy measures may unintentionally</w:t>
      </w:r>
      <w:r w:rsidR="0021429B" w:rsidRPr="00B670FD">
        <w:rPr>
          <w:rFonts w:asciiTheme="minorHAnsi" w:eastAsiaTheme="minorEastAsia" w:hAnsiTheme="minorHAnsi" w:cstheme="minorHAnsi"/>
          <w:noProof/>
          <w:sz w:val="22"/>
          <w:szCs w:val="22"/>
          <w:lang w:val="en-US" w:eastAsia="zh-CN"/>
        </w:rPr>
        <w:t xml:space="preserve"> </w:t>
      </w:r>
      <w:r w:rsidRPr="00B670FD">
        <w:rPr>
          <w:rFonts w:asciiTheme="minorHAnsi" w:eastAsiaTheme="minorEastAsia" w:hAnsiTheme="minorHAnsi" w:cstheme="minorHAnsi"/>
          <w:noProof/>
          <w:sz w:val="22"/>
          <w:szCs w:val="22"/>
          <w:lang w:val="en-US" w:eastAsia="zh-CN"/>
        </w:rPr>
        <w:t>widen the digital divide</w:t>
      </w:r>
      <w:r w:rsidR="002921C7" w:rsidRPr="00B670FD">
        <w:rPr>
          <w:rFonts w:asciiTheme="minorHAnsi" w:eastAsiaTheme="minorEastAsia" w:hAnsiTheme="minorHAnsi" w:cstheme="minorHAnsi"/>
          <w:noProof/>
          <w:sz w:val="22"/>
          <w:szCs w:val="22"/>
          <w:lang w:val="en-US" w:eastAsia="zh-CN"/>
        </w:rPr>
        <w:t>,</w:t>
      </w:r>
    </w:p>
    <w:p w14:paraId="5110FB06" w14:textId="546188F8" w:rsidR="007B3DB2" w:rsidRPr="00B670FD" w:rsidRDefault="007B3DB2" w:rsidP="008A54F3">
      <w:pPr>
        <w:pStyle w:val="Call"/>
        <w:rPr>
          <w:rFonts w:asciiTheme="minorHAnsi" w:eastAsiaTheme="minorEastAsia" w:hAnsiTheme="minorHAnsi" w:cstheme="minorHAnsi"/>
          <w:i w:val="0"/>
          <w:iCs/>
          <w:sz w:val="22"/>
          <w:szCs w:val="22"/>
          <w:lang w:eastAsia="zh-CN"/>
        </w:rPr>
      </w:pPr>
      <w:r w:rsidRPr="00B670FD">
        <w:rPr>
          <w:rFonts w:asciiTheme="minorHAnsi" w:eastAsiaTheme="minorEastAsia" w:hAnsiTheme="minorHAnsi" w:cstheme="minorHAnsi"/>
          <w:sz w:val="22"/>
          <w:szCs w:val="22"/>
          <w:lang w:eastAsia="zh-CN"/>
        </w:rPr>
        <w:t>recognising</w:t>
      </w:r>
    </w:p>
    <w:p w14:paraId="137AF698" w14:textId="66B9BC6B"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resilient, safe, inclusive, and interoperable digital public infrastructure can facilitate universal and meaningful connectivity by promoting public confidence and trust in telecommunications/ICTs;]</w:t>
      </w:r>
    </w:p>
    <w:p w14:paraId="6F52CE6D" w14:textId="4206AC63"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without access to reliable identification tools in the digital age, individuals might face significant barriers in utilising telecommunications/ICTs to access essential services such as health and education, and financial services, which could deepen the digital divide;</w:t>
      </w:r>
    </w:p>
    <w:p w14:paraId="56C6280D" w14:textId="15102AE8"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many people, particularly in rural and low income areas, still lack affordable access to the Internet and telecommunication/ICT services;</w:t>
      </w:r>
    </w:p>
    <w:p w14:paraId="0AFB6FB0" w14:textId="10147A20"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digital skill gaps persist, in particular with women, persons with disabilities and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persons especially in rural and remote area facing limited access to training due to structural inequities. Women are less likely to be online or possess workplace-ready digital skills, while older adults show varied proficiency influenced by education and income. Equipping children and young people with digital skills is vital for bridging digital divides;</w:t>
      </w:r>
    </w:p>
    <w:p w14:paraId="6AF87B2B" w14:textId="46591DB3"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societal norms and stereotypes limit the ability of women, girls, persons with disabilities and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persons to benefit fully from digital transformation</w:t>
      </w:r>
      <w:r w:rsidR="000B10CF" w:rsidRPr="00B670FD">
        <w:rPr>
          <w:rFonts w:asciiTheme="minorHAnsi" w:eastAsiaTheme="minorEastAsia" w:hAnsiTheme="minorHAnsi" w:cstheme="minorHAnsi"/>
          <w:noProof/>
          <w:sz w:val="22"/>
          <w:szCs w:val="22"/>
          <w:lang w:val="en-US" w:eastAsia="zh-CN"/>
        </w:rPr>
        <w:t>;</w:t>
      </w:r>
    </w:p>
    <w:p w14:paraId="5999FE5B" w14:textId="51A9DA0E"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civil society plays</w:t>
      </w:r>
      <w:r w:rsidR="00D47003" w:rsidRPr="00B670FD">
        <w:rPr>
          <w:rFonts w:asciiTheme="minorHAnsi" w:eastAsiaTheme="minorEastAsia" w:hAnsiTheme="minorHAnsi" w:cstheme="minorHAnsi"/>
          <w:noProof/>
          <w:sz w:val="22"/>
          <w:szCs w:val="22"/>
          <w:lang w:val="en-US" w:eastAsia="zh-CN"/>
        </w:rPr>
        <w:t xml:space="preserve"> an</w:t>
      </w:r>
      <w:r w:rsidRPr="00B670FD">
        <w:rPr>
          <w:rFonts w:asciiTheme="minorHAnsi" w:eastAsiaTheme="minorEastAsia" w:hAnsiTheme="minorHAnsi" w:cstheme="minorHAnsi"/>
          <w:noProof/>
          <w:sz w:val="22"/>
          <w:szCs w:val="22"/>
          <w:lang w:val="en-US" w:eastAsia="zh-CN"/>
        </w:rPr>
        <w:t xml:space="preserve"> invaluable role in reaching unserved and underserved communities fostering public trust and driving community engagement in digital inclusion efforts;</w:t>
      </w:r>
    </w:p>
    <w:p w14:paraId="03BFCBE5" w14:textId="7C5C7EFC"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unconnected persons include those living in areas with no access to adequate telecommunication/ICT infrastructure, as well as a significantly larger number of persons who live in areas already covered by such infrastructure but do not use it due to barriers inter-alia affordability and  lack of digital skills</w:t>
      </w:r>
      <w:r w:rsidR="000B10CF" w:rsidRPr="00B670FD">
        <w:rPr>
          <w:rFonts w:asciiTheme="minorHAnsi" w:eastAsiaTheme="minorEastAsia" w:hAnsiTheme="minorHAnsi" w:cstheme="minorHAnsi"/>
          <w:noProof/>
          <w:sz w:val="22"/>
          <w:szCs w:val="22"/>
          <w:lang w:val="en-US" w:eastAsia="zh-CN"/>
        </w:rPr>
        <w:t>;</w:t>
      </w:r>
    </w:p>
    <w:p w14:paraId="6FFDB3B4" w14:textId="5DC16B5A"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accelerating broadband deployment is a considerable challenge, especially in hard-to-reach, rural, and remote areas where topography and demography make the return on investment challenging;</w:t>
      </w:r>
    </w:p>
    <w:p w14:paraId="72E40456" w14:textId="604034B5"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developing countries continue to face distinct and unique barriers to achieving universal and meaningful connectivity, including geographic isolation, small market size, limited international bandwidth, and vulnerability to natural disasters, the latter of which increases infrastructure costs and diverts already scarce resources from long-term ICT investment;</w:t>
      </w:r>
    </w:p>
    <w:p w14:paraId="30875280" w14:textId="1A32FBDE"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for SIDs and other coastal countries, connectivity in maritime environments is vital for safeguarding lives, supporting economic activities, and promoting sustainable development, especially for vulnerable maritime communities;</w:t>
      </w:r>
    </w:p>
    <w:p w14:paraId="5274CAB2" w14:textId="30F52DA5"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it is necessary to build partnerships with a range of stakeholders, including governments, the private sector, civil society, the technical community, and academia, to address digital divides;</w:t>
      </w:r>
    </w:p>
    <w:p w14:paraId="6590F277" w14:textId="48E4DD0C"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04B2BD57" w14:textId="0F00E17D"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new and emerging telecommunications/ ICT when context appropriate to the specific needs of communities and marginalised groups,  play a pivotal role in enhancing universal and meaningful connectivity, driving innovation, and supporting inclusive growth, enabling smarter solutions and greater accessibility across sectors;</w:t>
      </w:r>
    </w:p>
    <w:p w14:paraId="6C9F3916" w14:textId="1593873B" w:rsidR="007B3DB2" w:rsidRPr="00B670FD" w:rsidRDefault="007B3DB2" w:rsidP="00DD4F36">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rapid development of new and emerging telecommunication/ ICT technologies, applications and tools is having an impact on the evolution of the digital divide,</w:t>
      </w:r>
    </w:p>
    <w:p w14:paraId="3510B2FD" w14:textId="1409F543" w:rsidR="007B3DB2" w:rsidRPr="00B670FD" w:rsidRDefault="007B3DB2" w:rsidP="006E5F24">
      <w:pPr>
        <w:pStyle w:val="Call"/>
        <w:rPr>
          <w:rFonts w:asciiTheme="minorHAnsi" w:eastAsiaTheme="minorEastAsia" w:hAnsiTheme="minorHAnsi" w:cstheme="minorHAnsi"/>
          <w:i w:val="0"/>
          <w:iCs/>
          <w:sz w:val="22"/>
          <w:szCs w:val="22"/>
          <w:lang w:eastAsia="zh-CN"/>
        </w:rPr>
      </w:pPr>
      <w:r w:rsidRPr="00B670FD">
        <w:rPr>
          <w:rFonts w:asciiTheme="minorHAnsi" w:eastAsiaTheme="minorEastAsia" w:hAnsiTheme="minorHAnsi" w:cstheme="minorHAnsi"/>
          <w:sz w:val="22"/>
          <w:szCs w:val="22"/>
          <w:lang w:eastAsia="zh-CN"/>
        </w:rPr>
        <w:t>is of view</w:t>
      </w:r>
    </w:p>
    <w:p w14:paraId="5CAF6162" w14:textId="2227D567"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resilient, safe, inclusive, and interoperable digital public infrastructure inter-alia digital identification and interoperable financial platforms designed with a people-centred approach and tailored to national contexts facilitate  verification of identity providing access  to telecommunication</w:t>
      </w:r>
      <w:r w:rsidR="00C854EC"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ICT  services and promote Social and financial inclusion</w:t>
      </w:r>
      <w:r w:rsidR="002B4E6D"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 xml:space="preserve">]  </w:t>
      </w:r>
    </w:p>
    <w:p w14:paraId="4F37E5C3" w14:textId="413A5CB8"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governments are encouraged to prioritize investments in expanding the latest   broadband infrastructure to unserved and underserved areas to ensure universal access to high-speed internet at affordable price. By improving infrastructure and updating regulations, these investments help bridge the digital divide, enabling more people to participate in the digital economy, access essential services, and improve their quality of life;</w:t>
      </w:r>
    </w:p>
    <w:p w14:paraId="2E7638AA" w14:textId="12260BA1"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implementing targeted digital literacy and skills training programs can help bridge the skills gap and address the  barrier to internet adoption and use, particularly for women</w:t>
      </w:r>
      <w:r w:rsidR="002E6801" w:rsidRPr="00B670FD">
        <w:rPr>
          <w:rFonts w:asciiTheme="minorHAnsi" w:eastAsiaTheme="minorEastAsia" w:hAnsiTheme="minorHAnsi" w:cstheme="minorHAnsi"/>
          <w:noProof/>
          <w:sz w:val="22"/>
          <w:szCs w:val="22"/>
          <w:lang w:val="en-US" w:eastAsia="zh-CN"/>
        </w:rPr>
        <w:t xml:space="preserve">, </w:t>
      </w:r>
      <w:r w:rsidRPr="00B670FD">
        <w:rPr>
          <w:rFonts w:asciiTheme="minorHAnsi" w:eastAsiaTheme="minorEastAsia" w:hAnsiTheme="minorHAnsi" w:cstheme="minorHAnsi"/>
          <w:noProof/>
          <w:sz w:val="22"/>
          <w:szCs w:val="22"/>
          <w:lang w:val="en-US" w:eastAsia="zh-CN"/>
        </w:rPr>
        <w:t xml:space="preserve">persons with disabilities, youth, and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w:t>
      </w:r>
      <w:r w:rsidR="00E4199B" w:rsidRPr="00B670FD">
        <w:rPr>
          <w:rFonts w:asciiTheme="minorHAnsi" w:eastAsiaTheme="minorEastAsia" w:hAnsiTheme="minorHAnsi" w:cstheme="minorHAnsi"/>
          <w:noProof/>
          <w:sz w:val="22"/>
          <w:szCs w:val="22"/>
          <w:lang w:val="en-US" w:eastAsia="zh-CN"/>
        </w:rPr>
        <w:t>persons</w:t>
      </w:r>
      <w:r w:rsidRPr="00B670FD">
        <w:rPr>
          <w:rFonts w:asciiTheme="minorHAnsi" w:eastAsiaTheme="minorEastAsia" w:hAnsiTheme="minorHAnsi" w:cstheme="minorHAnsi"/>
          <w:noProof/>
          <w:sz w:val="22"/>
          <w:szCs w:val="22"/>
          <w:lang w:val="en-US" w:eastAsia="zh-CN"/>
        </w:rPr>
        <w:t>. Digital literacy programs may aim to equip individuals with essential skills to navigate and utilize telecommunications</w:t>
      </w:r>
      <w:r w:rsidR="00C254A3"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ICT technologies, applications and tools effectively. These programs may cover basic computer skills, internet navigation, mobile phone skills, software proficiency, online communication, and cybersecurity awareness. The benefits of these programmes include enhanced employability, social inclusion, awareness of cyber threats and continuous learning;</w:t>
      </w:r>
    </w:p>
    <w:p w14:paraId="0868AEE6" w14:textId="092CA563"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creating policies </w:t>
      </w:r>
      <w:r w:rsidR="00C254A3" w:rsidRPr="00B670FD">
        <w:rPr>
          <w:rFonts w:asciiTheme="minorHAnsi" w:eastAsiaTheme="minorEastAsia" w:hAnsiTheme="minorHAnsi" w:cstheme="minorHAnsi"/>
          <w:noProof/>
          <w:sz w:val="22"/>
          <w:szCs w:val="22"/>
          <w:lang w:val="en-US" w:eastAsia="zh-CN"/>
        </w:rPr>
        <w:t>which</w:t>
      </w:r>
      <w:r w:rsidRPr="00B670FD">
        <w:rPr>
          <w:rFonts w:asciiTheme="minorHAnsi" w:eastAsiaTheme="minorEastAsia" w:hAnsiTheme="minorHAnsi" w:cstheme="minorHAnsi"/>
          <w:noProof/>
          <w:sz w:val="22"/>
          <w:szCs w:val="22"/>
          <w:lang w:val="en-US" w:eastAsia="zh-CN"/>
        </w:rPr>
        <w:t xml:space="preserve"> promote equality for communities facing systemic barrier</w:t>
      </w:r>
      <w:r w:rsidR="0062272F" w:rsidRPr="00B670FD">
        <w:rPr>
          <w:rFonts w:asciiTheme="minorHAnsi" w:eastAsiaTheme="minorEastAsia" w:hAnsiTheme="minorHAnsi" w:cstheme="minorHAnsi"/>
          <w:noProof/>
          <w:sz w:val="22"/>
          <w:szCs w:val="22"/>
          <w:lang w:val="en-US" w:eastAsia="zh-CN"/>
        </w:rPr>
        <w:t xml:space="preserve">s </w:t>
      </w:r>
      <w:r w:rsidRPr="00B670FD">
        <w:rPr>
          <w:rFonts w:asciiTheme="minorHAnsi" w:eastAsiaTheme="minorEastAsia" w:hAnsiTheme="minorHAnsi" w:cstheme="minorHAnsi"/>
          <w:noProof/>
          <w:sz w:val="22"/>
          <w:szCs w:val="22"/>
          <w:lang w:val="en-US" w:eastAsia="zh-CN"/>
        </w:rPr>
        <w:t xml:space="preserve">and support the inclusion of marginalised groups of </w:t>
      </w:r>
      <w:r w:rsidR="0062272F" w:rsidRPr="00B670FD">
        <w:rPr>
          <w:rFonts w:asciiTheme="minorHAnsi" w:eastAsiaTheme="minorEastAsia" w:hAnsiTheme="minorHAnsi" w:cstheme="minorHAnsi"/>
          <w:noProof/>
          <w:sz w:val="22"/>
          <w:szCs w:val="22"/>
          <w:lang w:val="en-US" w:eastAsia="zh-CN"/>
        </w:rPr>
        <w:t>s</w:t>
      </w:r>
      <w:r w:rsidRPr="00B670FD">
        <w:rPr>
          <w:rFonts w:asciiTheme="minorHAnsi" w:eastAsiaTheme="minorEastAsia" w:hAnsiTheme="minorHAnsi" w:cstheme="minorHAnsi"/>
          <w:noProof/>
          <w:sz w:val="22"/>
          <w:szCs w:val="22"/>
          <w:lang w:val="en-US" w:eastAsia="zh-CN"/>
        </w:rPr>
        <w:t>ociety in the digital economy can help address cultural barriers. These policies should include</w:t>
      </w:r>
      <w:r w:rsidR="002B4E6D" w:rsidRPr="00B670FD">
        <w:rPr>
          <w:rFonts w:asciiTheme="minorHAnsi" w:eastAsiaTheme="minorEastAsia" w:hAnsiTheme="minorHAnsi" w:cstheme="minorHAnsi"/>
          <w:noProof/>
          <w:sz w:val="22"/>
          <w:szCs w:val="22"/>
          <w:lang w:val="en-US" w:eastAsia="zh-CN"/>
        </w:rPr>
        <w:t xml:space="preserve">, </w:t>
      </w:r>
      <w:r w:rsidRPr="00B670FD">
        <w:rPr>
          <w:rFonts w:asciiTheme="minorHAnsi" w:eastAsiaTheme="minorEastAsia" w:hAnsiTheme="minorHAnsi" w:cstheme="minorHAnsi"/>
          <w:noProof/>
          <w:sz w:val="22"/>
          <w:szCs w:val="22"/>
          <w:lang w:val="en-US" w:eastAsia="zh-CN"/>
        </w:rPr>
        <w:t xml:space="preserve">equal access for all to technology targeted digital literacy programs, careers in STEM for women, and   accessible technology for </w:t>
      </w:r>
      <w:r w:rsidR="00E4199B" w:rsidRPr="00B670FD">
        <w:rPr>
          <w:rFonts w:asciiTheme="minorHAnsi" w:eastAsiaTheme="minorEastAsia" w:hAnsiTheme="minorHAnsi" w:cstheme="minorHAnsi"/>
          <w:noProof/>
          <w:sz w:val="22"/>
          <w:szCs w:val="22"/>
          <w:lang w:val="en-US" w:eastAsia="zh-CN"/>
        </w:rPr>
        <w:t>older persons</w:t>
      </w:r>
      <w:r w:rsidRPr="00B670FD">
        <w:rPr>
          <w:rFonts w:asciiTheme="minorHAnsi" w:eastAsiaTheme="minorEastAsia" w:hAnsiTheme="minorHAnsi" w:cstheme="minorHAnsi"/>
          <w:noProof/>
          <w:sz w:val="22"/>
          <w:szCs w:val="22"/>
          <w:lang w:val="en-US" w:eastAsia="zh-CN"/>
        </w:rPr>
        <w:t>;</w:t>
      </w:r>
    </w:p>
    <w:p w14:paraId="36C97CEE" w14:textId="77777777" w:rsidR="00154206"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skills can help leverage telecommunication/ICT services and technologies for sustainable development;</w:t>
      </w:r>
    </w:p>
    <w:p w14:paraId="2EF47031" w14:textId="1EBE5CDE"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sz w:val="22"/>
          <w:szCs w:val="22"/>
          <w:lang w:eastAsia="zh-CN"/>
        </w:rPr>
        <w:t xml:space="preserve">that civil society and community groups can make an important contribution to supporting marginalized groups of the society inter-alia women and </w:t>
      </w:r>
      <w:r w:rsidR="00E4199B" w:rsidRPr="00B670FD">
        <w:rPr>
          <w:rFonts w:asciiTheme="minorHAnsi" w:eastAsiaTheme="minorEastAsia" w:hAnsiTheme="minorHAnsi" w:cstheme="minorHAnsi"/>
          <w:sz w:val="22"/>
          <w:szCs w:val="22"/>
          <w:lang w:eastAsia="zh-CN"/>
        </w:rPr>
        <w:t>older persons</w:t>
      </w:r>
      <w:r w:rsidR="002B4E6D" w:rsidRPr="00B670FD">
        <w:rPr>
          <w:rFonts w:asciiTheme="minorHAnsi" w:eastAsiaTheme="minorEastAsia" w:hAnsiTheme="minorHAnsi" w:cstheme="minorHAnsi"/>
          <w:sz w:val="22"/>
          <w:szCs w:val="22"/>
          <w:lang w:eastAsia="zh-CN"/>
        </w:rPr>
        <w:t xml:space="preserve"> in</w:t>
      </w:r>
      <w:r w:rsidRPr="00B670FD">
        <w:rPr>
          <w:rFonts w:asciiTheme="minorHAnsi" w:eastAsiaTheme="minorEastAsia" w:hAnsiTheme="minorHAnsi" w:cstheme="minorHAnsi"/>
          <w:sz w:val="22"/>
          <w:szCs w:val="22"/>
          <w:lang w:eastAsia="zh-CN"/>
        </w:rPr>
        <w:t xml:space="preserve"> accessing and using telecommunications/</w:t>
      </w:r>
      <w:proofErr w:type="gramStart"/>
      <w:r w:rsidRPr="00B670FD">
        <w:rPr>
          <w:rFonts w:asciiTheme="minorHAnsi" w:eastAsiaTheme="minorEastAsia" w:hAnsiTheme="minorHAnsi" w:cstheme="minorHAnsi"/>
          <w:sz w:val="22"/>
          <w:szCs w:val="22"/>
          <w:lang w:eastAsia="zh-CN"/>
        </w:rPr>
        <w:t>ICTs;</w:t>
      </w:r>
      <w:proofErr w:type="gramEnd"/>
    </w:p>
    <w:p w14:paraId="7280E682" w14:textId="66BDD08A"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stakeholders should work together to build progress towards universal access to high-speed </w:t>
      </w:r>
      <w:r w:rsidR="007F5B3E" w:rsidRPr="00B670FD">
        <w:rPr>
          <w:rFonts w:asciiTheme="minorHAnsi" w:eastAsiaTheme="minorEastAsia" w:hAnsiTheme="minorHAnsi" w:cstheme="minorHAnsi"/>
          <w:noProof/>
          <w:sz w:val="22"/>
          <w:szCs w:val="22"/>
          <w:lang w:val="en-US" w:eastAsia="zh-CN"/>
        </w:rPr>
        <w:t>i</w:t>
      </w:r>
      <w:r w:rsidRPr="00B670FD">
        <w:rPr>
          <w:rFonts w:asciiTheme="minorHAnsi" w:eastAsiaTheme="minorEastAsia" w:hAnsiTheme="minorHAnsi" w:cstheme="minorHAnsi"/>
          <w:noProof/>
          <w:sz w:val="22"/>
          <w:szCs w:val="22"/>
          <w:lang w:val="en-US" w:eastAsia="zh-CN"/>
        </w:rPr>
        <w:t>nternet;</w:t>
      </w:r>
    </w:p>
    <w:p w14:paraId="5617F9D8" w14:textId="533C3286"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ITU within its mandate should continue to collaborate closely with other UN agencies, international organizations, and other stakeholders concerning connectivity and bridging digital divides, particularly on gender and age-related issues;</w:t>
      </w:r>
    </w:p>
    <w:p w14:paraId="70D8AD9B" w14:textId="660DFFBC" w:rsidR="007B3DB2" w:rsidRPr="00B670FD" w:rsidRDefault="00947283"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w:t>
      </w:r>
      <w:r w:rsidR="007B3DB2" w:rsidRPr="00B670FD">
        <w:rPr>
          <w:rFonts w:asciiTheme="minorHAnsi" w:eastAsiaTheme="minorEastAsia" w:hAnsiTheme="minorHAnsi" w:cstheme="minorHAnsi"/>
          <w:noProof/>
          <w:sz w:val="22"/>
          <w:szCs w:val="22"/>
          <w:lang w:val="en-US" w:eastAsia="zh-CN"/>
        </w:rPr>
        <w:t>hat inclusive regulatory and governance approaches, such as multi-stakeholder universal connectivity roadmaps and community-based regulatory strategies, are essential to ensure responsiveness to underserved populations;</w:t>
      </w:r>
    </w:p>
    <w:p w14:paraId="438900DB" w14:textId="11ECF90C"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governments pursuing digital transformations by adopting new and emerging telecommunication/ICT services and technologies should also take into account accessibility needs as well as age and gender-related considerations;</w:t>
      </w:r>
    </w:p>
    <w:p w14:paraId="4E29098E" w14:textId="19F2941E" w:rsidR="00154206"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policy and regulations and updated regulation can further enhance the effectiveness of PPPs in bridging the digital divide</w:t>
      </w:r>
      <w:r w:rsidR="002B4E6D" w:rsidRPr="00B670FD">
        <w:rPr>
          <w:rFonts w:asciiTheme="minorHAnsi" w:eastAsiaTheme="minorEastAsia" w:hAnsiTheme="minorHAnsi" w:cstheme="minorHAnsi"/>
          <w:noProof/>
          <w:sz w:val="22"/>
          <w:szCs w:val="22"/>
          <w:lang w:val="en-US" w:eastAsia="zh-CN"/>
        </w:rPr>
        <w:t xml:space="preserve">; </w:t>
      </w:r>
    </w:p>
    <w:p w14:paraId="6B2256B1" w14:textId="7B24CF13"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the ITU plays a critical role in bridging the digital divide by facilitating interoperability, interconnection, and maximising global connectivity of telecommunication networks and services; </w:t>
      </w:r>
    </w:p>
    <w:p w14:paraId="1F64C69A" w14:textId="6038B5C7"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it is urgent to bridge digital divides between and within countries and that international collaboration such as capacity building is important to these efforts</w:t>
      </w:r>
      <w:r w:rsidR="002B4E6D" w:rsidRPr="00B670FD">
        <w:rPr>
          <w:rFonts w:asciiTheme="minorHAnsi" w:eastAsiaTheme="minorEastAsia" w:hAnsiTheme="minorHAnsi" w:cstheme="minorHAnsi"/>
          <w:noProof/>
          <w:sz w:val="22"/>
          <w:szCs w:val="22"/>
          <w:lang w:val="en-US" w:eastAsia="zh-CN"/>
        </w:rPr>
        <w:t>;</w:t>
      </w:r>
    </w:p>
    <w:p w14:paraId="7823D6FC" w14:textId="20DA9ECB"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promoting affordable, accessible telecommunications/ICTs for </w:t>
      </w:r>
      <w:r w:rsidR="00E4199B" w:rsidRPr="00B670FD">
        <w:rPr>
          <w:rFonts w:asciiTheme="minorHAnsi" w:eastAsiaTheme="minorEastAsia" w:hAnsiTheme="minorHAnsi" w:cstheme="minorHAnsi"/>
          <w:noProof/>
          <w:sz w:val="22"/>
          <w:szCs w:val="22"/>
          <w:lang w:val="en-US" w:eastAsia="zh-CN"/>
        </w:rPr>
        <w:t xml:space="preserve">older </w:t>
      </w:r>
      <w:r w:rsidRPr="00B670FD">
        <w:rPr>
          <w:rFonts w:asciiTheme="minorHAnsi" w:eastAsiaTheme="minorEastAsia" w:hAnsiTheme="minorHAnsi" w:cstheme="minorHAnsi"/>
          <w:noProof/>
          <w:sz w:val="22"/>
          <w:szCs w:val="22"/>
          <w:lang w:val="en-US" w:eastAsia="zh-CN"/>
        </w:rPr>
        <w:t>and differentially abled persons is crucial as well as considering their needs during digital transformation;</w:t>
      </w:r>
    </w:p>
    <w:p w14:paraId="11FB87F9" w14:textId="71544666"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inclusion strategies  should use   formulated based on disaggregated data and localized analysis to identify digitally excluded groups in each country/region;</w:t>
      </w:r>
    </w:p>
    <w:p w14:paraId="7232414A" w14:textId="380D607B" w:rsidR="007B3DB2" w:rsidRPr="00B670FD" w:rsidRDefault="007B3DB2" w:rsidP="008B59C7">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policy makers should move beyond regulatory design and ensure mechanisms are in place to observe the actual implementation and impact of regulations over time with mechanisms like independent auditing, periodic reporting, and community feedback loops</w:t>
      </w:r>
      <w:r w:rsidR="002B4E6D" w:rsidRPr="00B670FD">
        <w:rPr>
          <w:rFonts w:asciiTheme="minorHAnsi" w:eastAsiaTheme="minorEastAsia" w:hAnsiTheme="minorHAnsi" w:cstheme="minorHAnsi"/>
          <w:noProof/>
          <w:sz w:val="22"/>
          <w:szCs w:val="22"/>
          <w:lang w:val="en-US" w:eastAsia="zh-CN"/>
        </w:rPr>
        <w:t>,</w:t>
      </w:r>
    </w:p>
    <w:p w14:paraId="44A1B04C" w14:textId="1FA32C12" w:rsidR="007B3DB2" w:rsidRPr="00B670FD" w:rsidRDefault="007B3DB2" w:rsidP="008B59C7">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t>invites Member States</w:t>
      </w:r>
    </w:p>
    <w:p w14:paraId="09F52762" w14:textId="004DC772"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consider establishing digital public infrastructure inter-alia National Digital Identity framework and an interoperable banking platform to provide secure digital identities for all individuals ensuring universal access and adoption to essential telecommunications</w:t>
      </w:r>
      <w:r w:rsidR="002B4E6D"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ICT,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r w:rsidR="002B4E6D"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w:t>
      </w:r>
    </w:p>
    <w:p w14:paraId="1CF490ED" w14:textId="6543709B"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to review and, where appropriate, revise the scope of the relevant policy and regulatory frameworks and  consider creating enabling environments for investments in expanding the latest mobile technologies such as IMT-2020, space based, and other broadband infrastructure to unserved and underserved areas including rural, remote and maritime area for benefit of respective communities. Provide incentives to private telecom operators for offering mobile and broadband services in underserved and unserved areas</w:t>
      </w:r>
      <w:r w:rsidR="002B4E6D" w:rsidRPr="00B670FD">
        <w:rPr>
          <w:rFonts w:asciiTheme="minorHAnsi" w:eastAsiaTheme="minorEastAsia" w:hAnsiTheme="minorHAnsi" w:cstheme="minorHAnsi"/>
          <w:noProof/>
          <w:sz w:val="22"/>
          <w:szCs w:val="22"/>
          <w:lang w:val="en-US" w:eastAsia="zh-CN"/>
        </w:rPr>
        <w:t>;</w:t>
      </w:r>
    </w:p>
    <w:p w14:paraId="6D68A205" w14:textId="17C39343"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develop inclusive policies that promote equal access, gender equality and support the digital inclusion of </w:t>
      </w:r>
      <w:r w:rsidR="00E4199B" w:rsidRPr="00B670FD">
        <w:rPr>
          <w:rFonts w:asciiTheme="minorHAnsi" w:eastAsiaTheme="minorEastAsia" w:hAnsiTheme="minorHAnsi" w:cstheme="minorHAnsi"/>
          <w:noProof/>
          <w:sz w:val="22"/>
          <w:szCs w:val="22"/>
          <w:lang w:val="en-US" w:eastAsia="zh-CN"/>
        </w:rPr>
        <w:t xml:space="preserve">older persons </w:t>
      </w:r>
      <w:r w:rsidRPr="00B670FD">
        <w:rPr>
          <w:rFonts w:asciiTheme="minorHAnsi" w:eastAsiaTheme="minorEastAsia" w:hAnsiTheme="minorHAnsi" w:cstheme="minorHAnsi"/>
          <w:noProof/>
          <w:sz w:val="22"/>
          <w:szCs w:val="22"/>
          <w:lang w:val="en-US" w:eastAsia="zh-CN"/>
        </w:rPr>
        <w:t xml:space="preserve">and persons with disabilities by addressing cultural, structural, and accessibility barriers. These efforts should recognise and reflect national and regional diversity, </w:t>
      </w:r>
      <w:r w:rsidR="003509A8" w:rsidRPr="00B670FD">
        <w:rPr>
          <w:rFonts w:asciiTheme="minorHAnsi" w:eastAsiaTheme="minorEastAsia" w:hAnsiTheme="minorHAnsi" w:cstheme="minorHAnsi"/>
          <w:noProof/>
          <w:sz w:val="22"/>
          <w:szCs w:val="22"/>
          <w:lang w:val="en-US" w:eastAsia="zh-CN"/>
        </w:rPr>
        <w:t>ensure access</w:t>
      </w:r>
      <w:r w:rsidRPr="00B670FD">
        <w:rPr>
          <w:rFonts w:asciiTheme="minorHAnsi" w:eastAsiaTheme="minorEastAsia" w:hAnsiTheme="minorHAnsi" w:cstheme="minorHAnsi"/>
          <w:noProof/>
          <w:sz w:val="22"/>
          <w:szCs w:val="22"/>
          <w:lang w:val="en-US" w:eastAsia="zh-CN"/>
        </w:rPr>
        <w:t xml:space="preserve"> for all to technology, provide targeted digital literacy programs, encourage women’s participation in STEM, and prioritize the design of accessible technologies for </w:t>
      </w:r>
      <w:r w:rsidR="00E4199B" w:rsidRPr="00B670FD">
        <w:rPr>
          <w:rFonts w:asciiTheme="minorHAnsi" w:eastAsiaTheme="minorEastAsia" w:hAnsiTheme="minorHAnsi" w:cstheme="minorHAnsi"/>
          <w:noProof/>
          <w:sz w:val="22"/>
          <w:szCs w:val="22"/>
          <w:lang w:val="en-US" w:eastAsia="zh-CN"/>
        </w:rPr>
        <w:t>older</w:t>
      </w:r>
      <w:r w:rsidRPr="00B670FD">
        <w:rPr>
          <w:rFonts w:asciiTheme="minorHAnsi" w:eastAsiaTheme="minorEastAsia" w:hAnsiTheme="minorHAnsi" w:cstheme="minorHAnsi"/>
          <w:noProof/>
          <w:sz w:val="22"/>
          <w:szCs w:val="22"/>
          <w:lang w:val="en-US" w:eastAsia="zh-CN"/>
        </w:rPr>
        <w:t xml:space="preserve"> persons, and persons with disabilities. Furthermore, states are encouraged to mainstream gender and age considerations across ICT, STEM, and telecommunications strategies to build a more inclusive and equitable digital </w:t>
      </w:r>
      <w:r w:rsidR="009A3C07" w:rsidRPr="00B670FD">
        <w:rPr>
          <w:rFonts w:asciiTheme="minorHAnsi" w:eastAsiaTheme="minorEastAsia" w:hAnsiTheme="minorHAnsi" w:cstheme="minorHAnsi"/>
          <w:noProof/>
          <w:sz w:val="22"/>
          <w:szCs w:val="22"/>
          <w:lang w:val="en-US" w:eastAsia="zh-CN"/>
        </w:rPr>
        <w:t>world;</w:t>
      </w:r>
    </w:p>
    <w:p w14:paraId="621C966C" w14:textId="52AE68E5"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support research into   barriers to accessing ICT/telecommunications and meaningful use of the Internet with a focus on gender and age considerations;</w:t>
      </w:r>
    </w:p>
    <w:p w14:paraId="7DC389C4" w14:textId="28C42EDA"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 to collect high-quality, disaggregated data by gender, age, geography, socio-economic status, Internet access and use, and participation in the telecommunications/ICT sector to enable measurement of the digital divide and to inform inclusive policy responses and development programs;</w:t>
      </w:r>
    </w:p>
    <w:p w14:paraId="518930EB" w14:textId="1D0F8CCA"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work with stakeholders from the private sector, civil society, the technical community, and academia to consider how best to expand meaningful and affordable connectivity and job opportunities in Telecommunications / ICT, provide digital skills and close the gender digital divide</w:t>
      </w:r>
      <w:r w:rsidR="009A3C07" w:rsidRPr="00B670FD">
        <w:rPr>
          <w:rFonts w:asciiTheme="minorHAnsi" w:eastAsiaTheme="minorEastAsia" w:hAnsiTheme="minorHAnsi" w:cstheme="minorHAnsi"/>
          <w:noProof/>
          <w:sz w:val="22"/>
          <w:szCs w:val="22"/>
          <w:lang w:val="en-US" w:eastAsia="zh-CN"/>
        </w:rPr>
        <w:t>;</w:t>
      </w:r>
    </w:p>
    <w:p w14:paraId="17268602" w14:textId="2FC3986C"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adopt regional, local, and national strategies, in consultation with stakeholders, for tackling digital divides by ensuring connectivity for all, and by promoting context appropriate and locally relevant digital solutions that address the specific needs of communities and vulnerable groups and that  stimulate    demand and investment in digital infrastructure;</w:t>
      </w:r>
    </w:p>
    <w:p w14:paraId="3BEFBE03" w14:textId="4B18264C"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promote and enhance digital literacy policies, programmes  and mechanisms as a means to help bridge the digital divide and to participate actively in regional and global collaborative forums;</w:t>
      </w:r>
    </w:p>
    <w:p w14:paraId="77595746" w14:textId="0C5A43AB"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identify gaps in digital skills curricula in education, apprenticeships, and other youth and adult job skills development programs and consider appropriate methods for addressing such gaps   while promoting career pathways and mentorship aligned with future workforce needs and emerging technologies</w:t>
      </w:r>
      <w:r w:rsidR="002B4E6D" w:rsidRPr="00B670FD">
        <w:rPr>
          <w:rFonts w:asciiTheme="minorHAnsi" w:eastAsiaTheme="minorEastAsia" w:hAnsiTheme="minorHAnsi" w:cstheme="minorHAnsi"/>
          <w:noProof/>
          <w:sz w:val="22"/>
          <w:szCs w:val="22"/>
          <w:lang w:val="en-US" w:eastAsia="zh-CN"/>
        </w:rPr>
        <w:t>;</w:t>
      </w:r>
    </w:p>
    <w:p w14:paraId="3975FEA2" w14:textId="4617A8B6"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consider adopting policy and regulatory measures that facilitate telecommunication/ICT infrastructure  deployment and its sharing specially in  rural and isolated areas;</w:t>
      </w:r>
    </w:p>
    <w:p w14:paraId="59E7E9A4" w14:textId="77777777" w:rsidR="002B4E6D"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create an enabling environment for the deployment and adoption of   new and emerging telecommunications /ICT   leveraging their potential in bridging digital divides;</w:t>
      </w:r>
    </w:p>
    <w:p w14:paraId="3529F603" w14:textId="753DAB77"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enhance international cooperation  in assisting developing countries with emerging telecommunications/ICT technologies, applications and tools to address the concurrent challenges related to digital divides;</w:t>
      </w:r>
    </w:p>
    <w:p w14:paraId="25CF908E" w14:textId="30FB2AB2"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establish policies, strategies, and standards, and provide training courses and guidance to enhance children’s digital skills and literacy while ensuring the protection of children online;</w:t>
      </w:r>
    </w:p>
    <w:p w14:paraId="26E96BA8" w14:textId="22377F34"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develop plans and policies, implementing telecommunications/ICT </w:t>
      </w:r>
      <w:r w:rsidR="00D360A3" w:rsidRPr="00B670FD">
        <w:rPr>
          <w:rFonts w:asciiTheme="minorHAnsi" w:eastAsiaTheme="minorEastAsia" w:hAnsiTheme="minorHAnsi" w:cstheme="minorHAnsi"/>
          <w:noProof/>
          <w:sz w:val="22"/>
          <w:szCs w:val="22"/>
          <w:lang w:val="en-US" w:eastAsia="zh-CN"/>
        </w:rPr>
        <w:t>technologies</w:t>
      </w:r>
      <w:r w:rsidRPr="00B670FD">
        <w:rPr>
          <w:rFonts w:asciiTheme="minorHAnsi" w:eastAsiaTheme="minorEastAsia" w:hAnsiTheme="minorHAnsi" w:cstheme="minorHAnsi"/>
          <w:noProof/>
          <w:sz w:val="22"/>
          <w:szCs w:val="22"/>
          <w:lang w:val="en-US" w:eastAsia="zh-CN"/>
        </w:rPr>
        <w:t xml:space="preserve"> and products that meet the needs of </w:t>
      </w:r>
      <w:r w:rsidR="00E4199B" w:rsidRPr="00B670FD">
        <w:rPr>
          <w:rFonts w:asciiTheme="minorHAnsi" w:eastAsiaTheme="minorEastAsia" w:hAnsiTheme="minorHAnsi" w:cstheme="minorHAnsi"/>
          <w:noProof/>
          <w:sz w:val="22"/>
          <w:szCs w:val="22"/>
          <w:lang w:val="en-US" w:eastAsia="zh-CN"/>
        </w:rPr>
        <w:t xml:space="preserve">older persons </w:t>
      </w:r>
      <w:r w:rsidRPr="00B670FD">
        <w:rPr>
          <w:rFonts w:asciiTheme="minorHAnsi" w:eastAsiaTheme="minorEastAsia" w:hAnsiTheme="minorHAnsi" w:cstheme="minorHAnsi"/>
          <w:noProof/>
          <w:sz w:val="22"/>
          <w:szCs w:val="22"/>
          <w:lang w:val="en-US" w:eastAsia="zh-CN"/>
        </w:rPr>
        <w:t>and  persons with disabilities, creating an accessible and age-friendly environment;</w:t>
      </w:r>
    </w:p>
    <w:p w14:paraId="5E24E142" w14:textId="4AA3F570" w:rsidR="002B4E6D"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implementing policies that facilitate the non-discriminatory deployment of new and emerging telecommunications/ICTs which is affordable and accessible to all, providing incentives to promote telecommunication/ICT infrastructure and services in unserved a</w:t>
      </w:r>
      <w:r w:rsidR="00AC7B7E" w:rsidRPr="00B670FD">
        <w:rPr>
          <w:rFonts w:asciiTheme="minorHAnsi" w:eastAsiaTheme="minorEastAsia" w:hAnsiTheme="minorHAnsi" w:cstheme="minorHAnsi"/>
          <w:noProof/>
          <w:sz w:val="22"/>
          <w:szCs w:val="22"/>
          <w:lang w:val="en-US" w:eastAsia="zh-CN"/>
        </w:rPr>
        <w:t>nd</w:t>
      </w:r>
      <w:r w:rsidRPr="00B670FD">
        <w:rPr>
          <w:rFonts w:asciiTheme="minorHAnsi" w:eastAsiaTheme="minorEastAsia" w:hAnsiTheme="minorHAnsi" w:cstheme="minorHAnsi"/>
          <w:noProof/>
          <w:sz w:val="22"/>
          <w:szCs w:val="22"/>
          <w:lang w:val="en-US" w:eastAsia="zh-CN"/>
        </w:rPr>
        <w:t xml:space="preserve"> underserved areas</w:t>
      </w:r>
      <w:r w:rsidR="002B4E6D" w:rsidRPr="00B670FD">
        <w:rPr>
          <w:rFonts w:asciiTheme="minorHAnsi" w:eastAsiaTheme="minorEastAsia" w:hAnsiTheme="minorHAnsi" w:cstheme="minorHAnsi"/>
          <w:noProof/>
          <w:sz w:val="22"/>
          <w:szCs w:val="22"/>
          <w:lang w:val="en-US" w:eastAsia="zh-CN"/>
        </w:rPr>
        <w:t>;</w:t>
      </w:r>
    </w:p>
    <w:p w14:paraId="143C7B1E" w14:textId="5665864E"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w:t>
      </w:r>
      <w:r w:rsidR="00D360A3" w:rsidRPr="00B670FD">
        <w:rPr>
          <w:rFonts w:asciiTheme="minorHAnsi" w:eastAsiaTheme="minorEastAsia" w:hAnsiTheme="minorHAnsi" w:cstheme="minorHAnsi"/>
          <w:noProof/>
          <w:sz w:val="22"/>
          <w:szCs w:val="22"/>
          <w:lang w:val="en-US" w:eastAsia="zh-CN"/>
        </w:rPr>
        <w:t xml:space="preserve">to </w:t>
      </w:r>
      <w:r w:rsidRPr="00B670FD">
        <w:rPr>
          <w:rFonts w:asciiTheme="minorHAnsi" w:eastAsiaTheme="minorEastAsia" w:hAnsiTheme="minorHAnsi" w:cstheme="minorHAnsi"/>
          <w:noProof/>
          <w:sz w:val="22"/>
          <w:szCs w:val="22"/>
          <w:lang w:val="en-US" w:eastAsia="zh-CN"/>
        </w:rPr>
        <w:t>enhance efforts on institutional and human capacity building to improve digital skills, literacy and competencies;]</w:t>
      </w:r>
    </w:p>
    <w:p w14:paraId="6F4BFC45" w14:textId="6A57F54A"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Integrate gender-responsive approaches in national ICT policies, strategies, and regulatory frameworks to ensure equitable access, skills development, and participation of women and girls in the digital economy;]</w:t>
      </w:r>
    </w:p>
    <w:p w14:paraId="5119E31E" w14:textId="56C1F7BA"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foster inclusive innovation ecosystems that encourage the participation of women and girls in the design, development, governance, and entrepreneurship aspects of emerging technologies, including AI, 5G, big data and other ICTs;]</w:t>
      </w:r>
    </w:p>
    <w:p w14:paraId="692AE012" w14:textId="1305B991"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w:t>
      </w:r>
      <w:r w:rsidR="00D360A3" w:rsidRPr="00B670FD">
        <w:rPr>
          <w:rFonts w:asciiTheme="minorHAnsi" w:eastAsiaTheme="minorEastAsia" w:hAnsiTheme="minorHAnsi" w:cstheme="minorHAnsi"/>
          <w:noProof/>
          <w:sz w:val="22"/>
          <w:szCs w:val="22"/>
          <w:lang w:val="en-US" w:eastAsia="zh-CN"/>
        </w:rPr>
        <w:t xml:space="preserve">to </w:t>
      </w:r>
      <w:r w:rsidRPr="00B670FD">
        <w:rPr>
          <w:rFonts w:asciiTheme="minorHAnsi" w:eastAsiaTheme="minorEastAsia" w:hAnsiTheme="minorHAnsi" w:cstheme="minorHAnsi"/>
          <w:noProof/>
          <w:sz w:val="22"/>
          <w:szCs w:val="22"/>
          <w:lang w:val="en-US" w:eastAsia="zh-CN"/>
        </w:rPr>
        <w:t xml:space="preserve">engage in multi-stakeholder partnerships involving governments, the private sector, academia, civil society, and international organizations to expand affordable and meaningful connectivity and close gender-based digital divides;] </w:t>
      </w:r>
    </w:p>
    <w:p w14:paraId="2CE2FB24" w14:textId="561513AE"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address the underinvestment in skills training by reducing the financial burden through tax incentives and government or donor sponsored grant schemes and also establish dedicated funds for sectoral training or support organizational level training budgets to ensure that both public and private sectors invest equitably in workforce development;]</w:t>
      </w:r>
    </w:p>
    <w:p w14:paraId="1AC95D6F" w14:textId="1141906A" w:rsidR="007B3DB2" w:rsidRPr="00B670FD" w:rsidRDefault="002B4E6D"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 </w:t>
      </w:r>
      <w:r w:rsidR="007B3DB2" w:rsidRPr="00B670FD">
        <w:rPr>
          <w:rFonts w:asciiTheme="minorHAnsi" w:eastAsiaTheme="minorEastAsia" w:hAnsiTheme="minorHAnsi" w:cstheme="minorHAnsi"/>
          <w:noProof/>
          <w:sz w:val="22"/>
          <w:szCs w:val="22"/>
          <w:lang w:val="en-US" w:eastAsia="zh-CN"/>
        </w:rPr>
        <w:t>[to strengthen partnership between governments and private sector, civil society, the technical community and academia   which allow for effective coordination of interventions in skills development to facilitate   bridging the digital divide;]</w:t>
      </w:r>
    </w:p>
    <w:p w14:paraId="3A123E7F" w14:textId="424C88BB"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implement a speciali</w:t>
      </w:r>
      <w:r w:rsidR="00D360A3" w:rsidRPr="00B670FD">
        <w:rPr>
          <w:rFonts w:asciiTheme="minorHAnsi" w:eastAsiaTheme="minorEastAsia" w:hAnsiTheme="minorHAnsi" w:cstheme="minorHAnsi"/>
          <w:noProof/>
          <w:sz w:val="22"/>
          <w:szCs w:val="22"/>
          <w:lang w:val="en-US" w:eastAsia="zh-CN"/>
        </w:rPr>
        <w:t>z</w:t>
      </w:r>
      <w:r w:rsidRPr="00B670FD">
        <w:rPr>
          <w:rFonts w:asciiTheme="minorHAnsi" w:eastAsiaTheme="minorEastAsia" w:hAnsiTheme="minorHAnsi" w:cstheme="minorHAnsi"/>
          <w:noProof/>
          <w:sz w:val="22"/>
          <w:szCs w:val="22"/>
          <w:lang w:val="en-US" w:eastAsia="zh-CN"/>
        </w:rPr>
        <w:t>ation policy to address the demand for specialized skills in Artificial Intelligence and other emerging technologies, to increase adoption of green digital solutions among the populace and also ensure an equitable distribution of the benefits of innovation</w:t>
      </w:r>
      <w:r w:rsidR="002B4E6D" w:rsidRPr="00B670FD">
        <w:rPr>
          <w:rFonts w:asciiTheme="minorHAnsi" w:eastAsiaTheme="minorEastAsia" w:hAnsiTheme="minorHAnsi" w:cstheme="minorHAnsi"/>
          <w:noProof/>
          <w:sz w:val="22"/>
          <w:szCs w:val="22"/>
          <w:lang w:val="en-US" w:eastAsia="zh-CN"/>
        </w:rPr>
        <w:t>;</w:t>
      </w:r>
      <w:r w:rsidRPr="00B670FD">
        <w:rPr>
          <w:rFonts w:asciiTheme="minorHAnsi" w:eastAsiaTheme="minorEastAsia" w:hAnsiTheme="minorHAnsi" w:cstheme="minorHAnsi"/>
          <w:noProof/>
          <w:sz w:val="22"/>
          <w:szCs w:val="22"/>
          <w:lang w:val="en-US" w:eastAsia="zh-CN"/>
        </w:rPr>
        <w:t>]</w:t>
      </w:r>
    </w:p>
    <w:p w14:paraId="68F45970" w14:textId="456DF9F7"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promote device recycling and redistribution by repurposing public-sector IT equipment (e.g., from government agencies, schools, and hospitals) to digitally excluded communities in addition to providing corporate tax incentives for donating refurbished devices to those in need;] </w:t>
      </w:r>
    </w:p>
    <w:p w14:paraId="01180C96" w14:textId="271B4696"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empower districts and municipalities to establish community infrastructure and broadband networks, particularly in low-income urban areas where private-sector investment is limited;]</w:t>
      </w:r>
    </w:p>
    <w:p w14:paraId="12A78361" w14:textId="5C6FA868"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upskill public-sector workers at the district and municipal levels to deliver digital services including skills training  to enhance digital inclusion efforts at the community level including digital skill training;]</w:t>
      </w:r>
    </w:p>
    <w:p w14:paraId="0C0F9DB8" w14:textId="03A711AF" w:rsidR="007B3DB2" w:rsidRPr="00B670FD" w:rsidRDefault="007B3DB2" w:rsidP="00A61CCB">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encourage policymakers and regulators to adopt adaptive governance models, implement result-based monitoring, and promote community-informed policymaking to bridge the digital divide,</w:t>
      </w:r>
    </w:p>
    <w:p w14:paraId="168E9FDA" w14:textId="09BECA67" w:rsidR="007B3DB2" w:rsidRPr="00B670FD" w:rsidRDefault="007B3DB2" w:rsidP="00A61CCB">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t>invites the Secretary-General</w:t>
      </w:r>
    </w:p>
    <w:p w14:paraId="78971BE6" w14:textId="100A85C4" w:rsidR="007B3DB2" w:rsidRPr="00B670FD" w:rsidRDefault="007B3DB2" w:rsidP="00A61CCB">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to reinforce the ITU’s efforts, within its mandate and in collaboration with Member States, stakeholders, and partner organizations, to bridge digital divides, particularly on gender, age, skills, and connectivity while ensuring that initiatives are responsive to the specific circumstances of developing countries, in line with ITU data and findings on universal and meaningful connectivity;</w:t>
      </w:r>
    </w:p>
    <w:p w14:paraId="58163F1D" w14:textId="2B6909D3" w:rsidR="007B3DB2" w:rsidRPr="00A54F84" w:rsidRDefault="007B3DB2" w:rsidP="00A61CCB">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assist in facilitating and sharing of best practices, guidelines, and toolkits among developing Member States for integrating gender equality considerations into ICT policies and strategies</w:t>
      </w:r>
      <w:r w:rsidR="00A54F84" w:rsidRPr="00B670FD">
        <w:rPr>
          <w:rFonts w:asciiTheme="minorHAnsi" w:eastAsiaTheme="minorEastAsia" w:hAnsiTheme="minorHAnsi" w:cstheme="minorHAnsi"/>
          <w:noProof/>
          <w:sz w:val="22"/>
          <w:szCs w:val="22"/>
          <w:lang w:val="en-US" w:eastAsia="zh-CN"/>
        </w:rPr>
        <w:t>.</w:t>
      </w:r>
    </w:p>
    <w:p w14:paraId="28E56577" w14:textId="46D1D46D" w:rsidR="00756188" w:rsidRDefault="00A61CCB">
      <w:pPr>
        <w:tabs>
          <w:tab w:val="clear" w:pos="567"/>
          <w:tab w:val="clear" w:pos="1134"/>
          <w:tab w:val="clear" w:pos="1701"/>
          <w:tab w:val="clear" w:pos="2268"/>
          <w:tab w:val="clear" w:pos="2835"/>
        </w:tabs>
        <w:overflowPunct/>
        <w:autoSpaceDE/>
        <w:autoSpaceDN/>
        <w:adjustRightInd/>
        <w:spacing w:before="0"/>
        <w:textAlignment w:val="auto"/>
      </w:pPr>
      <w:r>
        <w:br w:type="page"/>
      </w:r>
    </w:p>
    <w:p w14:paraId="063EF1C6" w14:textId="3194F62D" w:rsidR="001D324C" w:rsidRPr="00A61CCB" w:rsidRDefault="001D324C" w:rsidP="00A61CCB">
      <w:pPr>
        <w:pStyle w:val="Annextitle"/>
        <w:rPr>
          <w:rFonts w:eastAsia="Calibri"/>
        </w:rPr>
      </w:pPr>
      <w:r w:rsidRPr="00A61CCB">
        <w:rPr>
          <w:rFonts w:eastAsia="Calibri"/>
        </w:rPr>
        <w:t xml:space="preserve">DRAFT OPINION 2: </w:t>
      </w:r>
      <w:r w:rsidR="00672C18" w:rsidRPr="00A61CCB">
        <w:rPr>
          <w:rFonts w:eastAsia="Calibri"/>
        </w:rPr>
        <w:t>Green digital transformation: climate change and environmental sustainability</w:t>
      </w:r>
    </w:p>
    <w:p w14:paraId="341F1119" w14:textId="77777777" w:rsidR="00A00AFE" w:rsidRPr="00B670FD" w:rsidRDefault="00A00AFE" w:rsidP="00A61CCB">
      <w:pPr>
        <w:pStyle w:val="Normalaftertitle"/>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The seventh World Telecommunication/ICT Policy Forum (Geneva, 2026),</w:t>
      </w:r>
    </w:p>
    <w:p w14:paraId="26DFCDB7" w14:textId="77777777" w:rsidR="00A00AFE" w:rsidRPr="00B670FD" w:rsidRDefault="00A00AFE" w:rsidP="0023026C">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recalling</w:t>
      </w:r>
    </w:p>
    <w:p w14:paraId="72E3B2F4" w14:textId="2DAA8FE1"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 of the United Nations General Assembly, on transforming our world: the 2030 Agenda for Sustainable Development, in particular, Sustainable Development Goals 12 on Responsible Consumption and Production and 13 on Climate Action;</w:t>
      </w:r>
    </w:p>
    <w:p w14:paraId="245533CD" w14:textId="1079137F"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73B10E5F" w14:textId="0F2DA022"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182 (Rev. Bucharest, 2022) of the Plenipotentiary Conference, on the role of telecommunications/ICTs in regard to climate change and protection of the environment;</w:t>
      </w:r>
    </w:p>
    <w:p w14:paraId="6A81369D" w14:textId="6465011B"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1429 of the ITU Council, adopted at its 2024 session, on ITU’s role in facilitating ICTs’ contribution to sustainability and climate action;</w:t>
      </w:r>
    </w:p>
    <w:p w14:paraId="519D6007" w14:textId="77777777" w:rsidR="009F6CA0"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73 (Rev. New Delhi, 2024) of the World Telecommunication Standardization Assembly, on information and communication technologies, environment, climate change and circular economy;</w:t>
      </w:r>
    </w:p>
    <w:p w14:paraId="2FD37C8F" w14:textId="094C75ED"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Resolution 79 (Rev. New Delhi, 2024) of </w:t>
      </w:r>
      <w:r w:rsidR="00820C72" w:rsidRPr="00B670FD">
        <w:rPr>
          <w:rFonts w:asciiTheme="minorHAnsi" w:eastAsiaTheme="minorEastAsia" w:hAnsiTheme="minorHAnsi" w:cstheme="minorHAnsi"/>
          <w:noProof/>
          <w:sz w:val="22"/>
          <w:szCs w:val="22"/>
          <w:lang w:val="en-US" w:eastAsia="zh-CN"/>
        </w:rPr>
        <w:t xml:space="preserve">the </w:t>
      </w:r>
      <w:r w:rsidRPr="00B670FD">
        <w:rPr>
          <w:rFonts w:asciiTheme="minorHAnsi" w:eastAsiaTheme="minorEastAsia" w:hAnsiTheme="minorHAnsi" w:cstheme="minorHAnsi"/>
          <w:noProof/>
          <w:sz w:val="22"/>
          <w:szCs w:val="22"/>
          <w:lang w:val="en-US" w:eastAsia="zh-CN"/>
        </w:rPr>
        <w:t>World Telecommunication Standardization Assembly, on the role of telecommunications/ICTs in handling and controlling e-waste from telecommunications and information technology equipment and methods of treating it;</w:t>
      </w:r>
    </w:p>
    <w:p w14:paraId="5F5E5549" w14:textId="508A0F92" w:rsidR="00A00AFE" w:rsidRPr="00B670FD" w:rsidRDefault="00A00AFE" w:rsidP="0023026C">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66 (Rev. Kigali, 2022) of the World Telecommunication Development Conference, on information and communication technology, environment, climate change and circular economy,</w:t>
      </w:r>
    </w:p>
    <w:p w14:paraId="40FABB78" w14:textId="2A6B0602" w:rsidR="00A00AFE" w:rsidRPr="00B670FD" w:rsidRDefault="00A00AFE" w:rsidP="0023026C">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emphasising</w:t>
      </w:r>
    </w:p>
    <w:p w14:paraId="168DB3B1" w14:textId="77777777" w:rsidR="00241BFF" w:rsidRPr="00B670FD" w:rsidRDefault="00A00AFE" w:rsidP="0023026C">
      <w:pPr>
        <w:pStyle w:val="ListParagraph"/>
        <w:numPr>
          <w:ilvl w:val="0"/>
          <w:numId w:val="10"/>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climate change and biodiversity loss and pollution represent significant challenges of our time and that addressing them requires progress towards sustainable </w:t>
      </w:r>
      <w:proofErr w:type="gramStart"/>
      <w:r w:rsidRPr="00B670FD">
        <w:rPr>
          <w:rFonts w:asciiTheme="minorHAnsi" w:eastAsiaTheme="minorEastAsia" w:hAnsiTheme="minorHAnsi" w:cstheme="minorHAnsi"/>
          <w:sz w:val="22"/>
          <w:szCs w:val="22"/>
          <w:lang w:eastAsia="zh-CN"/>
        </w:rPr>
        <w:t>development;</w:t>
      </w:r>
      <w:proofErr w:type="gramEnd"/>
    </w:p>
    <w:p w14:paraId="2DEEF29A" w14:textId="5CF0A242" w:rsidR="00A00AFE" w:rsidRPr="00B670FD" w:rsidRDefault="00A00AFE" w:rsidP="0023026C">
      <w:pPr>
        <w:pStyle w:val="ListParagraph"/>
        <w:numPr>
          <w:ilvl w:val="0"/>
          <w:numId w:val="10"/>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limiting global warming requires rapid, deep and sustained reductions in global greenhouse gas (GHG) emissions, in accordance with the principle of common but differentiated responsibilities and respective capabilities </w:t>
      </w:r>
      <w:proofErr w:type="gramStart"/>
      <w:r w:rsidRPr="00B670FD">
        <w:rPr>
          <w:rFonts w:asciiTheme="minorHAnsi" w:eastAsiaTheme="minorEastAsia" w:hAnsiTheme="minorHAnsi" w:cstheme="minorHAnsi"/>
          <w:sz w:val="22"/>
          <w:szCs w:val="22"/>
          <w:lang w:eastAsia="zh-CN"/>
        </w:rPr>
        <w:t>in light of</w:t>
      </w:r>
      <w:proofErr w:type="gramEnd"/>
      <w:r w:rsidRPr="00B670FD">
        <w:rPr>
          <w:rFonts w:asciiTheme="minorHAnsi" w:eastAsiaTheme="minorEastAsia" w:hAnsiTheme="minorHAnsi" w:cstheme="minorHAnsi"/>
          <w:sz w:val="22"/>
          <w:szCs w:val="22"/>
          <w:lang w:eastAsia="zh-CN"/>
        </w:rPr>
        <w:t xml:space="preserve"> different national circumstances,</w:t>
      </w:r>
    </w:p>
    <w:p w14:paraId="42DDCFFE" w14:textId="77777777" w:rsidR="00A00AFE" w:rsidRPr="00B670FD" w:rsidRDefault="00A00AFE" w:rsidP="0023026C">
      <w:pPr>
        <w:pStyle w:val="Call"/>
        <w:rPr>
          <w:rFonts w:asciiTheme="minorHAnsi" w:eastAsiaTheme="minorEastAsia" w:hAnsiTheme="minorHAnsi" w:cstheme="minorHAnsi"/>
          <w:sz w:val="22"/>
          <w:szCs w:val="22"/>
        </w:rPr>
      </w:pPr>
      <w:proofErr w:type="gramStart"/>
      <w:r w:rsidRPr="00B670FD">
        <w:rPr>
          <w:rFonts w:asciiTheme="minorHAnsi" w:eastAsiaTheme="minorEastAsia" w:hAnsiTheme="minorHAnsi" w:cstheme="minorHAnsi"/>
          <w:sz w:val="22"/>
          <w:szCs w:val="22"/>
        </w:rPr>
        <w:t>taking into account</w:t>
      </w:r>
      <w:proofErr w:type="gramEnd"/>
    </w:p>
    <w:p w14:paraId="52811924" w14:textId="13A43671" w:rsidR="00A00AFE" w:rsidRPr="00B670FD" w:rsidRDefault="00A00AFE" w:rsidP="0023026C">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telecommunications/ICTs contribute to climate change throughout their life </w:t>
      </w:r>
      <w:proofErr w:type="gramStart"/>
      <w:r w:rsidRPr="00B670FD">
        <w:rPr>
          <w:rFonts w:asciiTheme="minorHAnsi" w:eastAsiaTheme="minorEastAsia" w:hAnsiTheme="minorHAnsi" w:cstheme="minorHAnsi"/>
          <w:sz w:val="22"/>
          <w:szCs w:val="22"/>
          <w:lang w:eastAsia="zh-CN"/>
        </w:rPr>
        <w:t>cycle;</w:t>
      </w:r>
      <w:proofErr w:type="gramEnd"/>
    </w:p>
    <w:p w14:paraId="3DAE5A10" w14:textId="31B50E78" w:rsidR="00A00AFE" w:rsidRPr="00B670FD" w:rsidRDefault="00A00AFE" w:rsidP="0023026C">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a green digital transformation combats climate change by developing, deploying, and disposing</w:t>
      </w:r>
      <w:r w:rsidR="00FB6A05" w:rsidRPr="00B670FD">
        <w:rPr>
          <w:rFonts w:asciiTheme="minorHAnsi" w:eastAsiaTheme="minorEastAsia" w:hAnsiTheme="minorHAnsi" w:cstheme="minorHAnsi"/>
          <w:sz w:val="22"/>
          <w:szCs w:val="22"/>
          <w:lang w:eastAsia="zh-CN"/>
        </w:rPr>
        <w:t xml:space="preserve"> of</w:t>
      </w:r>
      <w:r w:rsidRPr="00B670FD">
        <w:rPr>
          <w:rFonts w:asciiTheme="minorHAnsi" w:eastAsiaTheme="minorEastAsia" w:hAnsiTheme="minorHAnsi" w:cstheme="minorHAnsi"/>
          <w:sz w:val="22"/>
          <w:szCs w:val="22"/>
          <w:lang w:eastAsia="zh-CN"/>
        </w:rPr>
        <w:t xml:space="preserve"> telecommunications/ICTs in environmentally sustainable </w:t>
      </w:r>
      <w:proofErr w:type="gramStart"/>
      <w:r w:rsidRPr="00B670FD">
        <w:rPr>
          <w:rFonts w:asciiTheme="minorHAnsi" w:eastAsiaTheme="minorEastAsia" w:hAnsiTheme="minorHAnsi" w:cstheme="minorHAnsi"/>
          <w:sz w:val="22"/>
          <w:szCs w:val="22"/>
          <w:lang w:eastAsia="zh-CN"/>
        </w:rPr>
        <w:t>ways;</w:t>
      </w:r>
      <w:proofErr w:type="gramEnd"/>
    </w:p>
    <w:p w14:paraId="64C1E570" w14:textId="3CD435B6" w:rsidR="00A00AFE" w:rsidRPr="00B670FD" w:rsidRDefault="00A00AFE" w:rsidP="0023026C">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t>
      </w:r>
      <w:proofErr w:type="gramStart"/>
      <w:r w:rsidRPr="00B670FD">
        <w:rPr>
          <w:rFonts w:asciiTheme="minorHAnsi" w:eastAsiaTheme="minorEastAsia" w:hAnsiTheme="minorHAnsi" w:cstheme="minorHAnsi"/>
          <w:sz w:val="22"/>
          <w:szCs w:val="22"/>
          <w:lang w:eastAsia="zh-CN"/>
        </w:rPr>
        <w:t>waste;</w:t>
      </w:r>
      <w:proofErr w:type="gramEnd"/>
    </w:p>
    <w:p w14:paraId="7D8BDA6B" w14:textId="156773DB" w:rsidR="00A00AFE" w:rsidRPr="00B670FD" w:rsidRDefault="00A00AFE" w:rsidP="0023026C">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new policy initiatives, such as a green digital transformation, are essential to meet agreed climate change targets laid out in the Paris Agreement signed at the 21</w:t>
      </w:r>
      <w:r w:rsidRPr="00B670FD">
        <w:rPr>
          <w:rFonts w:asciiTheme="minorHAnsi" w:eastAsiaTheme="minorEastAsia" w:hAnsiTheme="minorHAnsi" w:cstheme="minorHAnsi"/>
          <w:sz w:val="22"/>
          <w:szCs w:val="22"/>
          <w:vertAlign w:val="superscript"/>
          <w:lang w:eastAsia="zh-CN"/>
        </w:rPr>
        <w:t>st</w:t>
      </w:r>
      <w:r w:rsidRPr="00B670FD">
        <w:rPr>
          <w:rFonts w:asciiTheme="minorHAnsi" w:eastAsiaTheme="minorEastAsia" w:hAnsiTheme="minorHAnsi" w:cstheme="minorHAnsi"/>
          <w:sz w:val="22"/>
          <w:szCs w:val="22"/>
          <w:lang w:eastAsia="zh-CN"/>
        </w:rPr>
        <w:t xml:space="preserve"> UN Climate Change Conference (COP21), with the United Nations Environmental Program (UNEP) reporting that limiting</w:t>
      </w:r>
      <w:r w:rsidRPr="00B670FD">
        <w:rPr>
          <w:rFonts w:asciiTheme="minorHAnsi" w:eastAsiaTheme="minorEastAsia" w:hAnsiTheme="minorHAnsi" w:cstheme="minorHAnsi"/>
          <w:bCs/>
          <w:sz w:val="22"/>
          <w:szCs w:val="22"/>
          <w:lang w:eastAsia="zh-CN"/>
        </w:rPr>
        <w:t xml:space="preserve"> </w:t>
      </w:r>
      <w:r w:rsidRPr="00B670FD">
        <w:rPr>
          <w:rFonts w:asciiTheme="minorHAnsi" w:eastAsiaTheme="minorEastAsia" w:hAnsiTheme="minorHAnsi" w:cstheme="minorHAnsi"/>
          <w:sz w:val="22"/>
          <w:szCs w:val="22"/>
          <w:lang w:eastAsia="zh-CN"/>
        </w:rPr>
        <w:t>global warming to 1.5°C is impossible under the current Nationally Determined Contributions (NDCs)</w:t>
      </w:r>
      <w:r w:rsidR="00C03CA3" w:rsidRPr="00B670FD">
        <w:rPr>
          <w:rFonts w:asciiTheme="minorHAnsi" w:eastAsiaTheme="minorEastAsia" w:hAnsiTheme="minorHAnsi" w:cstheme="minorHAnsi"/>
          <w:sz w:val="22"/>
          <w:szCs w:val="22"/>
          <w:lang w:eastAsia="zh-CN"/>
        </w:rPr>
        <w:t>,</w:t>
      </w:r>
    </w:p>
    <w:p w14:paraId="794727D0" w14:textId="77777777" w:rsidR="00A00AFE" w:rsidRPr="00B670FD" w:rsidRDefault="00A00AFE" w:rsidP="00C03CA3">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considering</w:t>
      </w:r>
    </w:p>
    <w:p w14:paraId="39CF5AF6" w14:textId="36B4BCE6" w:rsidR="00A00AFE" w:rsidRPr="00B670FD" w:rsidRDefault="00A00AFE" w:rsidP="00C03CA3">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ITU Telecommunication Standardization Bureau’s (ITU-T) Green Digital Companies Report with </w:t>
      </w:r>
      <w:r w:rsidR="00630684" w:rsidRPr="00B670FD">
        <w:rPr>
          <w:rFonts w:asciiTheme="minorHAnsi" w:eastAsiaTheme="minorEastAsia" w:hAnsiTheme="minorHAnsi" w:cstheme="minorHAnsi"/>
          <w:sz w:val="22"/>
          <w:szCs w:val="22"/>
          <w:lang w:eastAsia="zh-CN"/>
        </w:rPr>
        <w:t xml:space="preserve">the </w:t>
      </w:r>
      <w:r w:rsidRPr="00B670FD">
        <w:rPr>
          <w:rFonts w:asciiTheme="minorHAnsi" w:eastAsiaTheme="minorEastAsia" w:hAnsiTheme="minorHAnsi" w:cstheme="minorHAnsi"/>
          <w:sz w:val="22"/>
          <w:szCs w:val="22"/>
          <w:lang w:eastAsia="zh-CN"/>
        </w:rPr>
        <w:t xml:space="preserve">World Benchmarking Alliance, that revealed that the race to develop artificial intelligence and expand data centres is driving unprecedented growth in the digital sector and fuelling a sharp rise in GHG emissions and energy </w:t>
      </w:r>
      <w:proofErr w:type="gramStart"/>
      <w:r w:rsidRPr="00B670FD">
        <w:rPr>
          <w:rFonts w:asciiTheme="minorHAnsi" w:eastAsiaTheme="minorEastAsia" w:hAnsiTheme="minorHAnsi" w:cstheme="minorHAnsi"/>
          <w:sz w:val="22"/>
          <w:szCs w:val="22"/>
          <w:lang w:eastAsia="zh-CN"/>
        </w:rPr>
        <w:t>consumption;</w:t>
      </w:r>
      <w:proofErr w:type="gramEnd"/>
    </w:p>
    <w:p w14:paraId="62E167B5" w14:textId="2713F3AE" w:rsidR="00A00AFE" w:rsidRPr="00B670FD" w:rsidRDefault="00A00AFE" w:rsidP="00C03CA3">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the importance of leveraging digital technologies for achieving the ultimate objectives of the United Nations Framework Convention on Climate Change (UNFCCC), in the context of sustainable development, and the Paris Agreement signed at the 21st UN Climate Change Conference (COP21</w:t>
      </w:r>
      <w:proofErr w:type="gramStart"/>
      <w:r w:rsidRPr="00B670FD">
        <w:rPr>
          <w:rFonts w:asciiTheme="minorHAnsi" w:eastAsiaTheme="minorEastAsia" w:hAnsiTheme="minorHAnsi" w:cstheme="minorHAnsi"/>
          <w:sz w:val="22"/>
          <w:szCs w:val="22"/>
          <w:lang w:eastAsia="zh-CN"/>
        </w:rPr>
        <w:t>);</w:t>
      </w:r>
      <w:proofErr w:type="gramEnd"/>
    </w:p>
    <w:p w14:paraId="7C546A82" w14:textId="43781315" w:rsidR="00A00AFE" w:rsidRPr="00B670FD" w:rsidRDefault="00A00AFE" w:rsidP="00C03CA3">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public procurement frameworks and market mechanisms can encourage the deployment of environmentally sustainable telecommunication/ICTs,</w:t>
      </w:r>
    </w:p>
    <w:p w14:paraId="4D8702AC" w14:textId="77777777" w:rsidR="00A00AFE" w:rsidRPr="00B670FD" w:rsidRDefault="00A00AFE" w:rsidP="00C03CA3">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recognising</w:t>
      </w:r>
    </w:p>
    <w:p w14:paraId="4F7E6DA7" w14:textId="7AC28821"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the environmental benefits and damage of telecommunications/ICTs are not evenly distributed and that many developing countries suffer from environmental hazards due to </w:t>
      </w:r>
      <w:proofErr w:type="gramStart"/>
      <w:r w:rsidRPr="00B670FD">
        <w:rPr>
          <w:rFonts w:asciiTheme="minorHAnsi" w:eastAsiaTheme="minorEastAsia" w:hAnsiTheme="minorHAnsi" w:cstheme="minorHAnsi"/>
          <w:sz w:val="22"/>
          <w:szCs w:val="22"/>
          <w:lang w:eastAsia="zh-CN"/>
        </w:rPr>
        <w:t>e-waste;</w:t>
      </w:r>
      <w:proofErr w:type="gramEnd"/>
    </w:p>
    <w:p w14:paraId="7779795F" w14:textId="0A96F303"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according to the United Nations’ 2024 </w:t>
      </w:r>
      <w:r w:rsidRPr="00B670FD">
        <w:rPr>
          <w:rFonts w:asciiTheme="minorHAnsi" w:eastAsiaTheme="minorEastAsia" w:hAnsiTheme="minorHAnsi" w:cstheme="minorHAnsi"/>
          <w:i/>
          <w:iCs/>
          <w:sz w:val="22"/>
          <w:szCs w:val="22"/>
          <w:lang w:eastAsia="zh-CN"/>
        </w:rPr>
        <w:t>Digital Economy Report</w:t>
      </w:r>
      <w:r w:rsidRPr="00B670FD">
        <w:rPr>
          <w:rFonts w:asciiTheme="minorHAnsi" w:eastAsiaTheme="minorEastAsia" w:hAnsiTheme="minorHAnsi" w:cstheme="minorHAnsi"/>
          <w:sz w:val="22"/>
          <w:szCs w:val="22"/>
          <w:lang w:eastAsia="zh-CN"/>
        </w:rPr>
        <w:t>, in per capita terms, developed countries generated on average 3.25 kg of digital-related waste compared with less than 1 kg in developing countries, and 0.21 kg in the least developed countries (LDCs</w:t>
      </w:r>
      <w:proofErr w:type="gramStart"/>
      <w:r w:rsidRPr="00B670FD">
        <w:rPr>
          <w:rFonts w:asciiTheme="minorHAnsi" w:eastAsiaTheme="minorEastAsia" w:hAnsiTheme="minorHAnsi" w:cstheme="minorHAnsi"/>
          <w:sz w:val="22"/>
          <w:szCs w:val="22"/>
          <w:lang w:eastAsia="zh-CN"/>
        </w:rPr>
        <w:t>);</w:t>
      </w:r>
      <w:proofErr w:type="gramEnd"/>
    </w:p>
    <w:p w14:paraId="0A323278" w14:textId="684910FC"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industry practices should promote opportunities and incentives for consumers to reuse, repair, and recycle ICT products, which aim at </w:t>
      </w:r>
      <w:proofErr w:type="gramStart"/>
      <w:r w:rsidRPr="00B670FD">
        <w:rPr>
          <w:rFonts w:asciiTheme="minorHAnsi" w:eastAsiaTheme="minorEastAsia" w:hAnsiTheme="minorHAnsi" w:cstheme="minorHAnsi"/>
          <w:sz w:val="22"/>
          <w:szCs w:val="22"/>
          <w:lang w:eastAsia="zh-CN"/>
        </w:rPr>
        <w:t>reducing  e</w:t>
      </w:r>
      <w:proofErr w:type="gramEnd"/>
      <w:r w:rsidRPr="00B670FD">
        <w:rPr>
          <w:rFonts w:asciiTheme="minorHAnsi" w:eastAsiaTheme="minorEastAsia" w:hAnsiTheme="minorHAnsi" w:cstheme="minorHAnsi"/>
          <w:sz w:val="22"/>
          <w:szCs w:val="22"/>
          <w:lang w:eastAsia="zh-CN"/>
        </w:rPr>
        <w:t xml:space="preserve">-waste, particularly in developing </w:t>
      </w:r>
      <w:proofErr w:type="gramStart"/>
      <w:r w:rsidRPr="00B670FD">
        <w:rPr>
          <w:rFonts w:asciiTheme="minorHAnsi" w:eastAsiaTheme="minorEastAsia" w:hAnsiTheme="minorHAnsi" w:cstheme="minorHAnsi"/>
          <w:sz w:val="22"/>
          <w:szCs w:val="22"/>
          <w:lang w:eastAsia="zh-CN"/>
        </w:rPr>
        <w:t>countries;</w:t>
      </w:r>
      <w:proofErr w:type="gramEnd"/>
    </w:p>
    <w:p w14:paraId="5F3DB355" w14:textId="2E426891"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 xml:space="preserve">[that telecommunications/ICTs infrastructure, including data centres, can lead </w:t>
      </w:r>
      <w:proofErr w:type="gramStart"/>
      <w:r w:rsidRPr="00B670FD">
        <w:rPr>
          <w:rFonts w:asciiTheme="minorHAnsi" w:eastAsiaTheme="minorEastAsia" w:hAnsiTheme="minorHAnsi" w:cstheme="minorHAnsi"/>
          <w:sz w:val="22"/>
          <w:szCs w:val="22"/>
        </w:rPr>
        <w:t>to  high</w:t>
      </w:r>
      <w:proofErr w:type="gramEnd"/>
      <w:r w:rsidRPr="00B670FD">
        <w:rPr>
          <w:rFonts w:asciiTheme="minorHAnsi" w:eastAsiaTheme="minorEastAsia" w:hAnsiTheme="minorHAnsi" w:cstheme="minorHAnsi"/>
          <w:sz w:val="22"/>
          <w:szCs w:val="22"/>
        </w:rPr>
        <w:t xml:space="preserve"> energy consumption and carbon emissions if they are not managed sustainably;]</w:t>
      </w:r>
    </w:p>
    <w:p w14:paraId="5D15B817" w14:textId="1B6151B6"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rPr>
      </w:pPr>
      <w:r w:rsidRPr="00B670FD">
        <w:rPr>
          <w:rFonts w:asciiTheme="minorHAnsi" w:hAnsiTheme="minorHAnsi" w:cstheme="minorHAnsi"/>
          <w:sz w:val="22"/>
          <w:szCs w:val="22"/>
        </w:rPr>
        <w:t xml:space="preserve">that the rapid development of </w:t>
      </w:r>
      <w:r w:rsidRPr="00B670FD">
        <w:rPr>
          <w:rFonts w:asciiTheme="minorHAnsi" w:eastAsiaTheme="minorEastAsia" w:hAnsiTheme="minorHAnsi" w:cstheme="minorHAnsi"/>
          <w:sz w:val="22"/>
          <w:szCs w:val="22"/>
        </w:rPr>
        <w:t>telecommunications/ICTs</w:t>
      </w:r>
      <w:r w:rsidRPr="00B670FD">
        <w:rPr>
          <w:rFonts w:asciiTheme="minorHAnsi" w:hAnsiTheme="minorHAnsi" w:cstheme="minorHAnsi"/>
          <w:sz w:val="22"/>
          <w:szCs w:val="22"/>
        </w:rPr>
        <w:t xml:space="preserve"> can lead to increased electronic waste, which poses environmental </w:t>
      </w:r>
      <w:proofErr w:type="gramStart"/>
      <w:r w:rsidRPr="00B670FD">
        <w:rPr>
          <w:rFonts w:asciiTheme="minorHAnsi" w:hAnsiTheme="minorHAnsi" w:cstheme="minorHAnsi"/>
          <w:sz w:val="22"/>
          <w:szCs w:val="22"/>
        </w:rPr>
        <w:t>hazards;</w:t>
      </w:r>
      <w:proofErr w:type="gramEnd"/>
    </w:p>
    <w:p w14:paraId="25443FFF" w14:textId="6DFD3FFC" w:rsidR="00A00AFE" w:rsidRPr="00B670FD" w:rsidRDefault="003D493F"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w:t>
      </w:r>
      <w:r w:rsidR="00A00AFE" w:rsidRPr="00B670FD">
        <w:rPr>
          <w:rFonts w:asciiTheme="minorHAnsi" w:eastAsiaTheme="minorEastAsia" w:hAnsiTheme="minorHAnsi" w:cstheme="minorHAnsi"/>
          <w:sz w:val="22"/>
          <w:szCs w:val="22"/>
          <w:lang w:eastAsia="zh-CN"/>
        </w:rPr>
        <w:t xml:space="preserve">hat SIDS and other countries with small populations may face challenges in implementing green digital transformation programs without partnerships to scale up </w:t>
      </w:r>
      <w:proofErr w:type="gramStart"/>
      <w:r w:rsidR="00A00AFE" w:rsidRPr="00B670FD">
        <w:rPr>
          <w:rFonts w:asciiTheme="minorHAnsi" w:eastAsiaTheme="minorEastAsia" w:hAnsiTheme="minorHAnsi" w:cstheme="minorHAnsi"/>
          <w:sz w:val="22"/>
          <w:szCs w:val="22"/>
          <w:lang w:eastAsia="zh-CN"/>
        </w:rPr>
        <w:t>operations;</w:t>
      </w:r>
      <w:proofErr w:type="gramEnd"/>
    </w:p>
    <w:p w14:paraId="4657D3DB" w14:textId="282377BD"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developing countries may have challenges meeting Paris Agreement targets and facilitating the green digital transformation without financial and technical support.</w:t>
      </w:r>
    </w:p>
    <w:p w14:paraId="32675792" w14:textId="1C031BA2"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a green digital transformation must factor in that many developing countries still need to digitalize further </w:t>
      </w:r>
      <w:proofErr w:type="gramStart"/>
      <w:r w:rsidRPr="00B670FD">
        <w:rPr>
          <w:rFonts w:asciiTheme="minorHAnsi" w:eastAsiaTheme="minorEastAsia" w:hAnsiTheme="minorHAnsi" w:cstheme="minorHAnsi"/>
          <w:sz w:val="22"/>
          <w:szCs w:val="22"/>
          <w:lang w:eastAsia="zh-CN"/>
        </w:rPr>
        <w:t>in order to</w:t>
      </w:r>
      <w:proofErr w:type="gramEnd"/>
      <w:r w:rsidRPr="00B670FD">
        <w:rPr>
          <w:rFonts w:asciiTheme="minorHAnsi" w:eastAsiaTheme="minorEastAsia" w:hAnsiTheme="minorHAnsi" w:cstheme="minorHAnsi"/>
          <w:sz w:val="22"/>
          <w:szCs w:val="22"/>
          <w:lang w:eastAsia="zh-CN"/>
        </w:rPr>
        <w:t xml:space="preserve"> participate effectively in the global economy and </w:t>
      </w:r>
      <w:proofErr w:type="gramStart"/>
      <w:r w:rsidRPr="00B670FD">
        <w:rPr>
          <w:rFonts w:asciiTheme="minorHAnsi" w:eastAsiaTheme="minorEastAsia" w:hAnsiTheme="minorHAnsi" w:cstheme="minorHAnsi"/>
          <w:sz w:val="22"/>
          <w:szCs w:val="22"/>
          <w:lang w:eastAsia="zh-CN"/>
        </w:rPr>
        <w:t>society;</w:t>
      </w:r>
      <w:proofErr w:type="gramEnd"/>
    </w:p>
    <w:p w14:paraId="61DE176A" w14:textId="57532AA0" w:rsidR="00A00AFE" w:rsidRPr="00B670FD" w:rsidRDefault="00A00AFE" w:rsidP="00966E99">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hAnsiTheme="minorHAnsi" w:cstheme="minorHAnsi"/>
          <w:sz w:val="22"/>
          <w:szCs w:val="22"/>
        </w:rPr>
        <w:t xml:space="preserve">the contributions made by relevant ITU Study Groups across all three bureaus, such as ITU-T </w:t>
      </w:r>
      <w:r w:rsidRPr="00B670FD">
        <w:rPr>
          <w:rFonts w:asciiTheme="minorHAnsi" w:eastAsiaTheme="minorEastAsia" w:hAnsiTheme="minorHAnsi" w:cstheme="minorHAnsi"/>
          <w:sz w:val="22"/>
          <w:szCs w:val="22"/>
          <w:lang w:eastAsia="zh-CN"/>
        </w:rPr>
        <w:t>Study Group 5, ITU-R Study Group 7, ITU-D Study Group 2</w:t>
      </w:r>
      <w:r w:rsidR="00966E99" w:rsidRPr="00B670FD">
        <w:rPr>
          <w:rFonts w:asciiTheme="minorHAnsi" w:eastAsiaTheme="minorEastAsia" w:hAnsiTheme="minorHAnsi" w:cstheme="minorHAnsi"/>
          <w:sz w:val="22"/>
          <w:szCs w:val="22"/>
          <w:lang w:eastAsia="zh-CN"/>
        </w:rPr>
        <w:t>,</w:t>
      </w:r>
    </w:p>
    <w:p w14:paraId="20352596" w14:textId="77777777" w:rsidR="00A00AFE" w:rsidRPr="00B670FD" w:rsidRDefault="00A00AFE" w:rsidP="00C03CA3">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is of the view that</w:t>
      </w:r>
    </w:p>
    <w:p w14:paraId="31EFAA6F" w14:textId="6F8FF1B4"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a green digital transformation can only be environmentally sustainable through the rapid, deep and sustained reductions in global GHG </w:t>
      </w:r>
      <w:proofErr w:type="gramStart"/>
      <w:r w:rsidRPr="00B670FD">
        <w:rPr>
          <w:rFonts w:asciiTheme="minorHAnsi" w:eastAsiaTheme="minorEastAsia" w:hAnsiTheme="minorHAnsi" w:cstheme="minorHAnsi"/>
          <w:sz w:val="22"/>
          <w:szCs w:val="22"/>
          <w:lang w:eastAsia="zh-CN"/>
        </w:rPr>
        <w:t>emissions;</w:t>
      </w:r>
      <w:proofErr w:type="gramEnd"/>
    </w:p>
    <w:p w14:paraId="526A2DFA" w14:textId="7C87AB92"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national, regional and local governments, the private sector, civil society, the technical community and academia should partner together and work towards green digital </w:t>
      </w:r>
      <w:proofErr w:type="gramStart"/>
      <w:r w:rsidRPr="00B670FD">
        <w:rPr>
          <w:rFonts w:asciiTheme="minorHAnsi" w:eastAsiaTheme="minorEastAsia" w:hAnsiTheme="minorHAnsi" w:cstheme="minorHAnsi"/>
          <w:sz w:val="22"/>
          <w:szCs w:val="22"/>
          <w:lang w:eastAsia="zh-CN"/>
        </w:rPr>
        <w:t>transformation;</w:t>
      </w:r>
      <w:proofErr w:type="gramEnd"/>
    </w:p>
    <w:p w14:paraId="4E72BEDD" w14:textId="4A55C643"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while telecommunications/ICTs make a significant contribution to global GHG emissions, their transformative power can be harnessed </w:t>
      </w:r>
      <w:proofErr w:type="gramStart"/>
      <w:r w:rsidRPr="00B670FD">
        <w:rPr>
          <w:rFonts w:asciiTheme="minorHAnsi" w:eastAsiaTheme="minorEastAsia" w:hAnsiTheme="minorHAnsi" w:cstheme="minorHAnsi"/>
          <w:sz w:val="22"/>
          <w:szCs w:val="22"/>
          <w:lang w:eastAsia="zh-CN"/>
        </w:rPr>
        <w:t>in order to</w:t>
      </w:r>
      <w:proofErr w:type="gramEnd"/>
      <w:r w:rsidRPr="00B670FD">
        <w:rPr>
          <w:rFonts w:asciiTheme="minorHAnsi" w:eastAsiaTheme="minorEastAsia" w:hAnsiTheme="minorHAnsi" w:cstheme="minorHAnsi"/>
          <w:sz w:val="22"/>
          <w:szCs w:val="22"/>
          <w:lang w:eastAsia="zh-CN"/>
        </w:rPr>
        <w:t xml:space="preserve"> address climate </w:t>
      </w:r>
      <w:proofErr w:type="gramStart"/>
      <w:r w:rsidRPr="00B670FD">
        <w:rPr>
          <w:rFonts w:asciiTheme="minorHAnsi" w:eastAsiaTheme="minorEastAsia" w:hAnsiTheme="minorHAnsi" w:cstheme="minorHAnsi"/>
          <w:sz w:val="22"/>
          <w:szCs w:val="22"/>
          <w:lang w:eastAsia="zh-CN"/>
        </w:rPr>
        <w:t>change;</w:t>
      </w:r>
      <w:proofErr w:type="gramEnd"/>
    </w:p>
    <w:p w14:paraId="23110578" w14:textId="19D2F490"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the increasing, dynamic pace of the telecommunications/ICTs sector should be compatible with a green digital transformation and represents an opportunity for economic growth, improved competitiveness, and sustainable development across all economic sectors, while simultaneously decreasing GHG emissions from </w:t>
      </w:r>
      <w:proofErr w:type="gramStart"/>
      <w:r w:rsidRPr="00B670FD">
        <w:rPr>
          <w:rFonts w:asciiTheme="minorHAnsi" w:eastAsiaTheme="minorEastAsia" w:hAnsiTheme="minorHAnsi" w:cstheme="minorHAnsi"/>
          <w:sz w:val="22"/>
          <w:szCs w:val="22"/>
          <w:lang w:eastAsia="zh-CN"/>
        </w:rPr>
        <w:t>other  sectors</w:t>
      </w:r>
      <w:proofErr w:type="gramEnd"/>
      <w:r w:rsidRPr="00B670FD">
        <w:rPr>
          <w:rFonts w:asciiTheme="minorHAnsi" w:eastAsiaTheme="minorEastAsia" w:hAnsiTheme="minorHAnsi" w:cstheme="minorHAnsi"/>
          <w:sz w:val="22"/>
          <w:szCs w:val="22"/>
          <w:lang w:eastAsia="zh-CN"/>
        </w:rPr>
        <w:t>;</w:t>
      </w:r>
    </w:p>
    <w:p w14:paraId="5F0B969F" w14:textId="45ED0281"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telecommunications/ICTs can help to mitigate the environmental impact of other sectors by identifying data-driven actionable </w:t>
      </w:r>
      <w:proofErr w:type="gramStart"/>
      <w:r w:rsidRPr="00B670FD">
        <w:rPr>
          <w:rFonts w:asciiTheme="minorHAnsi" w:eastAsiaTheme="minorEastAsia" w:hAnsiTheme="minorHAnsi" w:cstheme="minorHAnsi"/>
          <w:sz w:val="22"/>
          <w:szCs w:val="22"/>
          <w:lang w:eastAsia="zh-CN"/>
        </w:rPr>
        <w:t>insights;</w:t>
      </w:r>
      <w:proofErr w:type="gramEnd"/>
    </w:p>
    <w:p w14:paraId="5A9E3D48" w14:textId="51D1FE05"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transitioning to a more circular economy would optimize the economic and environmental impacts of telecommunications/ICTs, including supporting business opportunities and job </w:t>
      </w:r>
      <w:proofErr w:type="gramStart"/>
      <w:r w:rsidRPr="00B670FD">
        <w:rPr>
          <w:rFonts w:asciiTheme="minorHAnsi" w:eastAsiaTheme="minorEastAsia" w:hAnsiTheme="minorHAnsi" w:cstheme="minorHAnsi"/>
          <w:sz w:val="22"/>
          <w:szCs w:val="22"/>
          <w:lang w:eastAsia="zh-CN"/>
        </w:rPr>
        <w:t>creation;</w:t>
      </w:r>
      <w:proofErr w:type="gramEnd"/>
    </w:p>
    <w:p w14:paraId="03A1E61A" w14:textId="4A038A76" w:rsidR="00A00AFE" w:rsidRPr="00B670FD" w:rsidRDefault="00A00AFE" w:rsidP="00966E99">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sustainability, energy efficiency, inter alia, voluntary infrastructure sharing and spectrum sharing, and reducing e-waste could be integral considerations in the development, deployment and use of telecommunication/ICTs,</w:t>
      </w:r>
    </w:p>
    <w:p w14:paraId="750518FB" w14:textId="77777777" w:rsidR="00A00AFE" w:rsidRPr="00B670FD" w:rsidRDefault="00A00AFE" w:rsidP="00F03EF9">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invites Member States</w:t>
      </w:r>
    </w:p>
    <w:p w14:paraId="5F9C5576" w14:textId="1807E1BB"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utilise telecommunications/ICTs as an effective method for reducing GHG emissions across multiple economic </w:t>
      </w:r>
      <w:proofErr w:type="gramStart"/>
      <w:r w:rsidRPr="00B670FD">
        <w:rPr>
          <w:rFonts w:asciiTheme="minorHAnsi" w:eastAsiaTheme="minorEastAsia" w:hAnsiTheme="minorHAnsi" w:cstheme="minorHAnsi"/>
          <w:sz w:val="22"/>
          <w:szCs w:val="22"/>
          <w:lang w:eastAsia="zh-CN"/>
        </w:rPr>
        <w:t>sectors;</w:t>
      </w:r>
      <w:proofErr w:type="gramEnd"/>
    </w:p>
    <w:p w14:paraId="0B876883" w14:textId="59BE4459"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formulate appropriate strategies and policies at the regional, national, and local level that promote the circularity of telecommunication/ICTs equipment at the public sector, consumer and industry </w:t>
      </w:r>
      <w:proofErr w:type="gramStart"/>
      <w:r w:rsidRPr="00B670FD">
        <w:rPr>
          <w:rFonts w:asciiTheme="minorHAnsi" w:eastAsiaTheme="minorEastAsia" w:hAnsiTheme="minorHAnsi" w:cstheme="minorHAnsi"/>
          <w:sz w:val="22"/>
          <w:szCs w:val="22"/>
          <w:lang w:eastAsia="zh-CN"/>
        </w:rPr>
        <w:t>level;</w:t>
      </w:r>
      <w:proofErr w:type="gramEnd"/>
    </w:p>
    <w:p w14:paraId="64C1187E" w14:textId="1923032B"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consider launching multistakeholder working groups for the eco-design of telecommunication/ICTs to develop low-cost safe and sustainable-by-design solutions with reduced carbon footprint across their </w:t>
      </w:r>
      <w:proofErr w:type="gramStart"/>
      <w:r w:rsidRPr="00B670FD">
        <w:rPr>
          <w:rFonts w:asciiTheme="minorHAnsi" w:eastAsiaTheme="minorEastAsia" w:hAnsiTheme="minorHAnsi" w:cstheme="minorHAnsi"/>
          <w:sz w:val="22"/>
          <w:szCs w:val="22"/>
          <w:lang w:eastAsia="zh-CN"/>
        </w:rPr>
        <w:t>lifecycle;</w:t>
      </w:r>
      <w:proofErr w:type="gramEnd"/>
    </w:p>
    <w:p w14:paraId="5ED58EBC" w14:textId="50C27267"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foster an enabling environment for investment into environmentally sustainable telecommunication/</w:t>
      </w:r>
      <w:proofErr w:type="gramStart"/>
      <w:r w:rsidRPr="00B670FD">
        <w:rPr>
          <w:rFonts w:asciiTheme="minorHAnsi" w:eastAsiaTheme="minorEastAsia" w:hAnsiTheme="minorHAnsi" w:cstheme="minorHAnsi"/>
          <w:sz w:val="22"/>
          <w:szCs w:val="22"/>
          <w:lang w:eastAsia="zh-CN"/>
        </w:rPr>
        <w:t>ICTs;</w:t>
      </w:r>
      <w:proofErr w:type="gramEnd"/>
    </w:p>
    <w:p w14:paraId="41D1B0E4" w14:textId="4586396B"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invest in research and development into environmentally sustainable telecommunication/</w:t>
      </w:r>
      <w:proofErr w:type="gramStart"/>
      <w:r w:rsidRPr="00B670FD">
        <w:rPr>
          <w:rFonts w:asciiTheme="minorHAnsi" w:eastAsiaTheme="minorEastAsia" w:hAnsiTheme="minorHAnsi" w:cstheme="minorHAnsi"/>
          <w:sz w:val="22"/>
          <w:szCs w:val="22"/>
          <w:lang w:eastAsia="zh-CN"/>
        </w:rPr>
        <w:t>ICTs;</w:t>
      </w:r>
      <w:proofErr w:type="gramEnd"/>
    </w:p>
    <w:p w14:paraId="247BF891" w14:textId="2BF29012"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consider using government procurement requirements to encourage deployment of sustainable telecommunications/ICTS among relevant organisations, if </w:t>
      </w:r>
      <w:proofErr w:type="gramStart"/>
      <w:r w:rsidRPr="00B670FD">
        <w:rPr>
          <w:rFonts w:asciiTheme="minorHAnsi" w:eastAsiaTheme="minorEastAsia" w:hAnsiTheme="minorHAnsi" w:cstheme="minorHAnsi"/>
          <w:sz w:val="22"/>
          <w:szCs w:val="22"/>
          <w:lang w:eastAsia="zh-CN"/>
        </w:rPr>
        <w:t>appropriate;</w:t>
      </w:r>
      <w:proofErr w:type="gramEnd"/>
    </w:p>
    <w:p w14:paraId="42FB8F11" w14:textId="5317C2E0"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encourage industry to implement a Life Cycle Assessment on their products and publicly report the environmental impacts from raw material extraction, transport, manufacture, distribution, use, and end of life</w:t>
      </w:r>
      <w:proofErr w:type="gramStart"/>
      <w:r w:rsidRPr="00B670FD">
        <w:rPr>
          <w:rFonts w:asciiTheme="minorHAnsi" w:eastAsiaTheme="minorEastAsia" w:hAnsiTheme="minorHAnsi" w:cstheme="minorHAnsi"/>
          <w:sz w:val="22"/>
          <w:szCs w:val="22"/>
          <w:lang w:eastAsia="zh-CN"/>
        </w:rPr>
        <w:t>];</w:t>
      </w:r>
      <w:proofErr w:type="gramEnd"/>
    </w:p>
    <w:p w14:paraId="47AC6873" w14:textId="5638B867" w:rsidR="00A00AFE" w:rsidRPr="00B670FD" w:rsidRDefault="00A00AFE"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implement public awareness campaigns on e-waste disposal and recycling that increase understanding among consumers about the waste implications of their devices,</w:t>
      </w:r>
    </w:p>
    <w:p w14:paraId="3C2FE57C" w14:textId="5AC50C71" w:rsidR="00A00AFE" w:rsidRPr="00B670FD" w:rsidRDefault="00866D02"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incentivize</w:t>
      </w:r>
      <w:r w:rsidR="00A00AFE" w:rsidRPr="00B670FD">
        <w:rPr>
          <w:rFonts w:asciiTheme="minorHAnsi" w:eastAsiaTheme="minorEastAsia" w:hAnsiTheme="minorHAnsi" w:cstheme="minorHAnsi"/>
          <w:sz w:val="22"/>
          <w:szCs w:val="22"/>
          <w:lang w:eastAsia="zh-CN"/>
        </w:rPr>
        <w:t xml:space="preserve"> use of renewable energy and energy efficient devices with low GHG emissions, </w:t>
      </w:r>
      <w:proofErr w:type="gramStart"/>
      <w:r w:rsidR="00A00AFE" w:rsidRPr="00B670FD">
        <w:rPr>
          <w:rFonts w:asciiTheme="minorHAnsi" w:eastAsiaTheme="minorEastAsia" w:hAnsiTheme="minorHAnsi" w:cstheme="minorHAnsi"/>
          <w:sz w:val="22"/>
          <w:szCs w:val="22"/>
          <w:lang w:eastAsia="zh-CN"/>
        </w:rPr>
        <w:t>taking into account</w:t>
      </w:r>
      <w:proofErr w:type="gramEnd"/>
      <w:r w:rsidR="00A00AFE" w:rsidRPr="00B670FD">
        <w:rPr>
          <w:rFonts w:asciiTheme="minorHAnsi" w:eastAsiaTheme="minorEastAsia" w:hAnsiTheme="minorHAnsi" w:cstheme="minorHAnsi"/>
          <w:sz w:val="22"/>
          <w:szCs w:val="22"/>
          <w:lang w:eastAsia="zh-CN"/>
        </w:rPr>
        <w:t xml:space="preserve"> circumstances and capabilities of </w:t>
      </w:r>
      <w:bookmarkStart w:id="2" w:name="_Hlk211347167"/>
      <w:r w:rsidR="00A00AFE" w:rsidRPr="00B670FD">
        <w:rPr>
          <w:rFonts w:asciiTheme="minorHAnsi" w:eastAsiaTheme="minorEastAsia" w:hAnsiTheme="minorHAnsi" w:cstheme="minorHAnsi"/>
          <w:sz w:val="22"/>
          <w:szCs w:val="22"/>
          <w:lang w:eastAsia="zh-CN"/>
        </w:rPr>
        <w:t xml:space="preserve">individual </w:t>
      </w:r>
      <w:bookmarkEnd w:id="2"/>
      <w:r w:rsidR="00A00AFE" w:rsidRPr="00B670FD">
        <w:rPr>
          <w:rFonts w:asciiTheme="minorHAnsi" w:eastAsiaTheme="minorEastAsia" w:hAnsiTheme="minorHAnsi" w:cstheme="minorHAnsi"/>
          <w:sz w:val="22"/>
          <w:szCs w:val="22"/>
          <w:lang w:eastAsia="zh-CN"/>
        </w:rPr>
        <w:t xml:space="preserve">Member </w:t>
      </w:r>
      <w:proofErr w:type="gramStart"/>
      <w:r w:rsidR="00A00AFE" w:rsidRPr="00B670FD">
        <w:rPr>
          <w:rFonts w:asciiTheme="minorHAnsi" w:eastAsiaTheme="minorEastAsia" w:hAnsiTheme="minorHAnsi" w:cstheme="minorHAnsi"/>
          <w:sz w:val="22"/>
          <w:szCs w:val="22"/>
          <w:lang w:eastAsia="zh-CN"/>
        </w:rPr>
        <w:t>States;</w:t>
      </w:r>
      <w:proofErr w:type="gramEnd"/>
    </w:p>
    <w:p w14:paraId="17CAA273" w14:textId="3C755235" w:rsidR="00A00AFE" w:rsidRPr="00B670FD" w:rsidRDefault="001231CC" w:rsidP="00F03EF9">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strengthen</w:t>
      </w:r>
      <w:r w:rsidR="00A00AFE" w:rsidRPr="00B670FD">
        <w:rPr>
          <w:rFonts w:asciiTheme="minorHAnsi" w:eastAsiaTheme="minorEastAsia" w:hAnsiTheme="minorHAnsi" w:cstheme="minorHAnsi"/>
          <w:sz w:val="22"/>
          <w:szCs w:val="22"/>
          <w:lang w:eastAsia="zh-CN"/>
        </w:rPr>
        <w:t xml:space="preserve"> framework</w:t>
      </w:r>
      <w:r w:rsidRPr="00B670FD">
        <w:rPr>
          <w:rFonts w:asciiTheme="minorHAnsi" w:eastAsiaTheme="minorEastAsia" w:hAnsiTheme="minorHAnsi" w:cstheme="minorHAnsi"/>
          <w:sz w:val="22"/>
          <w:szCs w:val="22"/>
          <w:lang w:eastAsia="zh-CN"/>
        </w:rPr>
        <w:t>s</w:t>
      </w:r>
      <w:r w:rsidR="00A00AFE" w:rsidRPr="00B670FD">
        <w:rPr>
          <w:rFonts w:asciiTheme="minorHAnsi" w:eastAsiaTheme="minorEastAsia" w:hAnsiTheme="minorHAnsi" w:cstheme="minorHAnsi"/>
          <w:sz w:val="22"/>
          <w:szCs w:val="22"/>
          <w:lang w:eastAsia="zh-CN"/>
        </w:rPr>
        <w:t xml:space="preserve"> for disposal of e-waste management by way of developing policies, regulations, frameworks and strategies</w:t>
      </w:r>
      <w:r w:rsidRPr="00B670FD">
        <w:rPr>
          <w:rFonts w:asciiTheme="minorHAnsi" w:eastAsiaTheme="minorEastAsia" w:hAnsiTheme="minorHAnsi" w:cstheme="minorHAnsi"/>
          <w:sz w:val="22"/>
          <w:szCs w:val="22"/>
          <w:lang w:eastAsia="zh-CN"/>
        </w:rPr>
        <w:t>,</w:t>
      </w:r>
    </w:p>
    <w:p w14:paraId="104B2470" w14:textId="5A36F0B6" w:rsidR="00A00AFE" w:rsidRPr="00B670FD" w:rsidRDefault="00A00AFE" w:rsidP="00F03EF9">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invites Member States, Sector Members and other stakeholders</w:t>
      </w:r>
    </w:p>
    <w:p w14:paraId="2DC19975" w14:textId="20A332CE"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take urgent and immediate steps to reduce the negative environmental impact and risks of telecommunication/ICTs and all relevant </w:t>
      </w:r>
      <w:proofErr w:type="gramStart"/>
      <w:r w:rsidRPr="00B670FD">
        <w:rPr>
          <w:rFonts w:asciiTheme="minorHAnsi" w:eastAsiaTheme="minorEastAsia" w:hAnsiTheme="minorHAnsi" w:cstheme="minorHAnsi"/>
          <w:sz w:val="22"/>
          <w:szCs w:val="22"/>
          <w:lang w:eastAsia="zh-CN"/>
        </w:rPr>
        <w:t>infrastructure</w:t>
      </w:r>
      <w:r w:rsidR="00B84C93" w:rsidRPr="00B670FD">
        <w:rPr>
          <w:rFonts w:asciiTheme="minorHAnsi" w:eastAsiaTheme="minorEastAsia" w:hAnsiTheme="minorHAnsi" w:cstheme="minorHAnsi"/>
          <w:sz w:val="22"/>
          <w:szCs w:val="22"/>
          <w:lang w:eastAsia="zh-CN"/>
        </w:rPr>
        <w:t>;</w:t>
      </w:r>
      <w:proofErr w:type="gramEnd"/>
    </w:p>
    <w:p w14:paraId="7728DCE4" w14:textId="7279578B"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strengthen their commitment to tackling e-waste, by planning for future recycling at the design stage of future ICTs, to encourage the use and development of sustainable and robust telecommunication/ICT equipment as well as recyclable materials as part of the circular </w:t>
      </w:r>
      <w:proofErr w:type="gramStart"/>
      <w:r w:rsidRPr="00B670FD">
        <w:rPr>
          <w:rFonts w:asciiTheme="minorHAnsi" w:eastAsiaTheme="minorEastAsia" w:hAnsiTheme="minorHAnsi" w:cstheme="minorHAnsi"/>
          <w:sz w:val="22"/>
          <w:szCs w:val="22"/>
          <w:lang w:eastAsia="zh-CN"/>
        </w:rPr>
        <w:t>economy;</w:t>
      </w:r>
      <w:proofErr w:type="gramEnd"/>
      <w:r w:rsidRPr="00B670FD">
        <w:rPr>
          <w:rFonts w:asciiTheme="minorHAnsi" w:eastAsiaTheme="minorEastAsia" w:hAnsiTheme="minorHAnsi" w:cstheme="minorHAnsi"/>
          <w:sz w:val="22"/>
          <w:szCs w:val="22"/>
          <w:lang w:eastAsia="zh-CN"/>
        </w:rPr>
        <w:t xml:space="preserve"> </w:t>
      </w:r>
    </w:p>
    <w:p w14:paraId="75AF0A4A" w14:textId="44B8E48B"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promote sustainable consumption and production patterns, by participating in the circular economy of telecommunications/ICTs, by encouraging the repair, reuse, and resale of relevant devices, and by raising public awareness on e-waste disposal and </w:t>
      </w:r>
      <w:proofErr w:type="gramStart"/>
      <w:r w:rsidRPr="00B670FD">
        <w:rPr>
          <w:rFonts w:asciiTheme="minorHAnsi" w:eastAsiaTheme="minorEastAsia" w:hAnsiTheme="minorHAnsi" w:cstheme="minorHAnsi"/>
          <w:sz w:val="22"/>
          <w:szCs w:val="22"/>
          <w:lang w:eastAsia="zh-CN"/>
        </w:rPr>
        <w:t>recycling;</w:t>
      </w:r>
      <w:proofErr w:type="gramEnd"/>
    </w:p>
    <w:p w14:paraId="572AB5A3" w14:textId="0424912D" w:rsidR="00A00AFE" w:rsidRPr="00B670FD" w:rsidRDefault="00A00AFE" w:rsidP="00F03EF9">
      <w:pPr>
        <w:pStyle w:val="ListParagraph"/>
        <w:numPr>
          <w:ilvl w:val="0"/>
          <w:numId w:val="16"/>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 xml:space="preserve">to develop policies that promote energy-efficient technologies, which can contribute to reducing the sector's carbon </w:t>
      </w:r>
      <w:proofErr w:type="gramStart"/>
      <w:r w:rsidRPr="00B670FD">
        <w:rPr>
          <w:rFonts w:asciiTheme="minorHAnsi" w:hAnsiTheme="minorHAnsi" w:cstheme="minorHAnsi"/>
          <w:sz w:val="22"/>
          <w:szCs w:val="22"/>
        </w:rPr>
        <w:t>footprint;</w:t>
      </w:r>
      <w:proofErr w:type="gramEnd"/>
    </w:p>
    <w:p w14:paraId="1C8718B1" w14:textId="09E21550" w:rsidR="00A00AFE" w:rsidRPr="00B670FD" w:rsidRDefault="00A00AFE" w:rsidP="00F03EF9">
      <w:pPr>
        <w:pStyle w:val="ListParagraph"/>
        <w:numPr>
          <w:ilvl w:val="0"/>
          <w:numId w:val="16"/>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 xml:space="preserve">to adopt e-waste management policies, including recycling programs and responsible disposal of old </w:t>
      </w:r>
      <w:proofErr w:type="gramStart"/>
      <w:r w:rsidRPr="00B670FD">
        <w:rPr>
          <w:rFonts w:asciiTheme="minorHAnsi" w:hAnsiTheme="minorHAnsi" w:cstheme="minorHAnsi"/>
          <w:sz w:val="22"/>
          <w:szCs w:val="22"/>
        </w:rPr>
        <w:t>electronics;</w:t>
      </w:r>
      <w:proofErr w:type="gramEnd"/>
    </w:p>
    <w:p w14:paraId="05CAF60D" w14:textId="415846C0" w:rsidR="00A00AFE" w:rsidRPr="00B670FD" w:rsidRDefault="00A00AFE" w:rsidP="00F03EF9">
      <w:pPr>
        <w:pStyle w:val="ListParagraph"/>
        <w:numPr>
          <w:ilvl w:val="0"/>
          <w:numId w:val="16"/>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 xml:space="preserve">to harness the power of digital transformation to advance inclusive and sustainable development, while mitigating its negative environmental impacts by shifting towards a circular digital economy, characterized by responsible consumption and production, renewable energy use, and comprehensive e-waste </w:t>
      </w:r>
      <w:proofErr w:type="gramStart"/>
      <w:r w:rsidRPr="00B670FD">
        <w:rPr>
          <w:rFonts w:asciiTheme="minorHAnsi" w:hAnsiTheme="minorHAnsi" w:cstheme="minorHAnsi"/>
          <w:sz w:val="22"/>
          <w:szCs w:val="22"/>
        </w:rPr>
        <w:t>management;</w:t>
      </w:r>
      <w:proofErr w:type="gramEnd"/>
    </w:p>
    <w:p w14:paraId="564E0998" w14:textId="30295FBC"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hAnsiTheme="minorHAnsi" w:cstheme="minorHAnsi"/>
          <w:sz w:val="22"/>
          <w:szCs w:val="22"/>
        </w:rPr>
        <w:t xml:space="preserve">to incentivize the reduction of emissions through carbon taxes or credits to encourage sustainable practices in digital </w:t>
      </w:r>
      <w:proofErr w:type="gramStart"/>
      <w:r w:rsidRPr="00B670FD">
        <w:rPr>
          <w:rFonts w:asciiTheme="minorHAnsi" w:hAnsiTheme="minorHAnsi" w:cstheme="minorHAnsi"/>
          <w:sz w:val="22"/>
          <w:szCs w:val="22"/>
        </w:rPr>
        <w:t>industries;</w:t>
      </w:r>
      <w:proofErr w:type="gramEnd"/>
    </w:p>
    <w:p w14:paraId="0AD2E0E4" w14:textId="58B9E3F8"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utilize telecommunication/ICTs to combat climate change and promote circularity in other sectors, such as energy, manufacturing industries, transportation, buildings and agriculture to achieve the sustainable development </w:t>
      </w:r>
      <w:proofErr w:type="gramStart"/>
      <w:r w:rsidRPr="00B670FD">
        <w:rPr>
          <w:rFonts w:asciiTheme="minorHAnsi" w:eastAsiaTheme="minorEastAsia" w:hAnsiTheme="minorHAnsi" w:cstheme="minorHAnsi"/>
          <w:sz w:val="22"/>
          <w:szCs w:val="22"/>
          <w:lang w:eastAsia="zh-CN"/>
        </w:rPr>
        <w:t>goals;</w:t>
      </w:r>
      <w:proofErr w:type="gramEnd"/>
    </w:p>
    <w:p w14:paraId="570A480B" w14:textId="6E6B862B"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w:t>
      </w:r>
      <w:proofErr w:type="gramStart"/>
      <w:r w:rsidRPr="00B670FD">
        <w:rPr>
          <w:rFonts w:asciiTheme="minorHAnsi" w:eastAsiaTheme="minorEastAsia" w:hAnsiTheme="minorHAnsi" w:cstheme="minorHAnsi"/>
          <w:sz w:val="22"/>
          <w:szCs w:val="22"/>
          <w:lang w:eastAsia="zh-CN"/>
        </w:rPr>
        <w:t>Agreement;</w:t>
      </w:r>
      <w:proofErr w:type="gramEnd"/>
    </w:p>
    <w:p w14:paraId="407AB732" w14:textId="2E072119"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consider adopting relevant ITU-T recommendations on e-waste and the </w:t>
      </w:r>
      <w:proofErr w:type="gramStart"/>
      <w:r w:rsidRPr="00B670FD">
        <w:rPr>
          <w:rFonts w:asciiTheme="minorHAnsi" w:eastAsiaTheme="minorEastAsia" w:hAnsiTheme="minorHAnsi" w:cstheme="minorHAnsi"/>
          <w:sz w:val="22"/>
          <w:szCs w:val="22"/>
          <w:lang w:eastAsia="zh-CN"/>
        </w:rPr>
        <w:t>environment;</w:t>
      </w:r>
      <w:proofErr w:type="gramEnd"/>
    </w:p>
    <w:p w14:paraId="3ED2D3E7" w14:textId="628D9120"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participate actively in ITU’s activities on sustainable development and the intersectoral related </w:t>
      </w:r>
      <w:proofErr w:type="gramStart"/>
      <w:r w:rsidRPr="00B670FD">
        <w:rPr>
          <w:rFonts w:asciiTheme="minorHAnsi" w:eastAsiaTheme="minorEastAsia" w:hAnsiTheme="minorHAnsi" w:cstheme="minorHAnsi"/>
          <w:sz w:val="22"/>
          <w:szCs w:val="22"/>
          <w:lang w:eastAsia="zh-CN"/>
        </w:rPr>
        <w:t>efforts;</w:t>
      </w:r>
      <w:proofErr w:type="gramEnd"/>
    </w:p>
    <w:p w14:paraId="39181D7C" w14:textId="043FB386"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promote infrastructure and resource sharing (and cross-sector infrastructure sharing where feasible)</w:t>
      </w:r>
      <w:r w:rsidR="00980E8C" w:rsidRPr="00B670FD">
        <w:rPr>
          <w:rFonts w:asciiTheme="minorHAnsi" w:eastAsiaTheme="minorEastAsia" w:hAnsiTheme="minorHAnsi" w:cstheme="minorHAnsi"/>
          <w:sz w:val="22"/>
          <w:szCs w:val="22"/>
          <w:lang w:eastAsia="zh-CN"/>
        </w:rPr>
        <w:t>,</w:t>
      </w:r>
      <w:r w:rsidRPr="00B670FD">
        <w:rPr>
          <w:rFonts w:asciiTheme="minorHAnsi" w:eastAsiaTheme="minorEastAsia" w:hAnsiTheme="minorHAnsi" w:cstheme="minorHAnsi"/>
          <w:sz w:val="22"/>
          <w:szCs w:val="22"/>
          <w:lang w:eastAsia="zh-CN"/>
        </w:rPr>
        <w:t xml:space="preserve"> </w:t>
      </w:r>
      <w:proofErr w:type="gramStart"/>
      <w:r w:rsidRPr="00B670FD">
        <w:rPr>
          <w:rFonts w:asciiTheme="minorHAnsi" w:eastAsiaTheme="minorEastAsia" w:hAnsiTheme="minorHAnsi" w:cstheme="minorHAnsi"/>
          <w:sz w:val="22"/>
          <w:szCs w:val="22"/>
          <w:lang w:eastAsia="zh-CN"/>
        </w:rPr>
        <w:t>in order to</w:t>
      </w:r>
      <w:proofErr w:type="gramEnd"/>
      <w:r w:rsidRPr="00B670FD">
        <w:rPr>
          <w:rFonts w:asciiTheme="minorHAnsi" w:eastAsiaTheme="minorEastAsia" w:hAnsiTheme="minorHAnsi" w:cstheme="minorHAnsi"/>
          <w:sz w:val="22"/>
          <w:szCs w:val="22"/>
          <w:lang w:eastAsia="zh-CN"/>
        </w:rPr>
        <w:t xml:space="preserve"> reduce redundant infrastructure, minimize resource consumption, lower energy use, and leverage assets across sectors such as energy, transport and telecommunication/ICTs,</w:t>
      </w:r>
    </w:p>
    <w:p w14:paraId="6D2FEC58" w14:textId="1C718292" w:rsidR="00A00AFE" w:rsidRPr="00B670FD" w:rsidRDefault="00A00AFE" w:rsidP="00F03EF9">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integrate telecommunications/ICT into environmental protection strategies to create an overall ecosystem for moving towards sustainable future</w:t>
      </w:r>
      <w:r w:rsidR="00980E8C" w:rsidRPr="00B670FD">
        <w:rPr>
          <w:rFonts w:asciiTheme="minorHAnsi" w:eastAsiaTheme="minorEastAsia" w:hAnsiTheme="minorHAnsi" w:cstheme="minorHAnsi"/>
          <w:sz w:val="22"/>
          <w:szCs w:val="22"/>
          <w:lang w:eastAsia="zh-CN"/>
        </w:rPr>
        <w:t>,</w:t>
      </w:r>
    </w:p>
    <w:p w14:paraId="69F72BCE" w14:textId="15A342C9" w:rsidR="00A00AFE" w:rsidRPr="00B670FD" w:rsidRDefault="00A00AFE" w:rsidP="00A424C4">
      <w:pPr>
        <w:pStyle w:val="Call"/>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invites the ITU Secretary-General</w:t>
      </w:r>
    </w:p>
    <w:p w14:paraId="4A587532" w14:textId="7B57FCC3" w:rsidR="00A00AFE" w:rsidRPr="00B670FD" w:rsidRDefault="00A00AFE" w:rsidP="00F03EF9">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work on raising the awareness of all related stakeholders, especially those most affected by climate change, and having regard to their development plans, on ICT environmental protection issues and for the well-being of the </w:t>
      </w:r>
      <w:proofErr w:type="gramStart"/>
      <w:r w:rsidRPr="00B670FD">
        <w:rPr>
          <w:rFonts w:asciiTheme="minorHAnsi" w:eastAsiaTheme="minorEastAsia" w:hAnsiTheme="minorHAnsi" w:cstheme="minorHAnsi"/>
          <w:sz w:val="22"/>
          <w:szCs w:val="22"/>
          <w:lang w:eastAsia="zh-CN"/>
        </w:rPr>
        <w:t>population;</w:t>
      </w:r>
      <w:proofErr w:type="gramEnd"/>
    </w:p>
    <w:p w14:paraId="3E94E691" w14:textId="4E85EA8B" w:rsidR="00A00AFE" w:rsidRPr="00B670FD" w:rsidRDefault="00A00AFE" w:rsidP="00F03EF9">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use ITU as a platform to promote green digital transformation</w:t>
      </w:r>
      <w:proofErr w:type="gramStart"/>
      <w:r w:rsidRPr="00B670FD">
        <w:rPr>
          <w:rFonts w:asciiTheme="minorHAnsi" w:eastAsiaTheme="minorEastAsia" w:hAnsiTheme="minorHAnsi" w:cstheme="minorHAnsi"/>
          <w:sz w:val="22"/>
          <w:szCs w:val="22"/>
          <w:lang w:eastAsia="zh-CN"/>
        </w:rPr>
        <w:t>];</w:t>
      </w:r>
      <w:proofErr w:type="gramEnd"/>
    </w:p>
    <w:p w14:paraId="715E15A0" w14:textId="7A1FA1C7" w:rsidR="00A00AFE" w:rsidRPr="00B670FD" w:rsidRDefault="00A00AFE" w:rsidP="00F03EF9">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use the 2026 World Telecommunication/ICT Policy Forum as an occasion to strengthen coordination between the three sectors on their work addressing green digital </w:t>
      </w:r>
      <w:proofErr w:type="gramStart"/>
      <w:r w:rsidRPr="00B670FD">
        <w:rPr>
          <w:rFonts w:asciiTheme="minorHAnsi" w:eastAsiaTheme="minorEastAsia" w:hAnsiTheme="minorHAnsi" w:cstheme="minorHAnsi"/>
          <w:sz w:val="22"/>
          <w:szCs w:val="22"/>
          <w:lang w:eastAsia="zh-CN"/>
        </w:rPr>
        <w:t>transformation;</w:t>
      </w:r>
      <w:proofErr w:type="gramEnd"/>
    </w:p>
    <w:p w14:paraId="5219F595" w14:textId="3E4A74E8" w:rsidR="00980E8C" w:rsidRPr="00B670FD" w:rsidRDefault="00A00AFE" w:rsidP="00F03EF9">
      <w:pPr>
        <w:pStyle w:val="ListParagraph"/>
        <w:numPr>
          <w:ilvl w:val="0"/>
          <w:numId w:val="17"/>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 xml:space="preserve">to use ITU’s platform to establish comprehensive global governance frameworks that promote green digital transformation and empower developing countries to participate fully in the digital </w:t>
      </w:r>
      <w:proofErr w:type="gramStart"/>
      <w:r w:rsidRPr="00B670FD">
        <w:rPr>
          <w:rFonts w:asciiTheme="minorHAnsi" w:hAnsiTheme="minorHAnsi" w:cstheme="minorHAnsi"/>
          <w:sz w:val="22"/>
          <w:szCs w:val="22"/>
        </w:rPr>
        <w:t>economy;</w:t>
      </w:r>
      <w:proofErr w:type="gramEnd"/>
    </w:p>
    <w:p w14:paraId="1565F579" w14:textId="0E14DA1F" w:rsidR="00A00AFE" w:rsidRPr="00980E8C" w:rsidRDefault="00A00AFE" w:rsidP="00F03EF9">
      <w:pPr>
        <w:pStyle w:val="ListParagraph"/>
        <w:numPr>
          <w:ilvl w:val="0"/>
          <w:numId w:val="17"/>
        </w:numPr>
        <w:ind w:left="0" w:firstLine="0"/>
        <w:contextualSpacing w:val="0"/>
        <w:jc w:val="both"/>
        <w:rPr>
          <w:rFonts w:asciiTheme="minorHAnsi" w:hAnsiTheme="minorHAnsi" w:cstheme="minorHAnsi"/>
          <w:sz w:val="22"/>
          <w:szCs w:val="22"/>
        </w:rPr>
      </w:pPr>
      <w:r w:rsidRPr="00B670FD">
        <w:rPr>
          <w:rFonts w:asciiTheme="minorHAnsi" w:eastAsiaTheme="minorEastAsia" w:hAnsiTheme="minorHAnsi" w:cstheme="minorHAnsi"/>
          <w:sz w:val="22"/>
          <w:szCs w:val="22"/>
          <w:lang w:eastAsia="zh-CN"/>
        </w:rPr>
        <w:t>to facilitate collaboration with member states, regional entities and other key stakeholders, to share knowledge, and best practices to support institutional capacity building of member states to advance green digital transformation initiatives</w:t>
      </w:r>
      <w:r w:rsidR="00980E8C" w:rsidRPr="00B670FD">
        <w:rPr>
          <w:rFonts w:asciiTheme="minorHAnsi" w:eastAsiaTheme="minorEastAsia" w:hAnsiTheme="minorHAnsi" w:cstheme="minorHAnsi"/>
          <w:sz w:val="22"/>
          <w:szCs w:val="22"/>
          <w:lang w:eastAsia="zh-CN"/>
        </w:rPr>
        <w:t>.</w:t>
      </w:r>
    </w:p>
    <w:p w14:paraId="41160EB4" w14:textId="062E539C" w:rsidR="001D324C" w:rsidRDefault="00F03EF9">
      <w:pPr>
        <w:tabs>
          <w:tab w:val="clear" w:pos="567"/>
          <w:tab w:val="clear" w:pos="1134"/>
          <w:tab w:val="clear" w:pos="1701"/>
          <w:tab w:val="clear" w:pos="2268"/>
          <w:tab w:val="clear" w:pos="2835"/>
        </w:tabs>
        <w:overflowPunct/>
        <w:autoSpaceDE/>
        <w:autoSpaceDN/>
        <w:adjustRightInd/>
        <w:spacing w:before="0"/>
        <w:textAlignment w:val="auto"/>
      </w:pPr>
      <w:r>
        <w:br w:type="page"/>
      </w:r>
    </w:p>
    <w:p w14:paraId="631E021A" w14:textId="4FA6B806" w:rsidR="00AA1F3A" w:rsidRPr="009812C4" w:rsidRDefault="00AA1F3A" w:rsidP="005C5078">
      <w:pPr>
        <w:pStyle w:val="Annextitle"/>
        <w:rPr>
          <w:rFonts w:eastAsia="Calibri"/>
        </w:rPr>
      </w:pPr>
      <w:r w:rsidRPr="009812C4">
        <w:rPr>
          <w:rFonts w:eastAsia="Calibri"/>
        </w:rPr>
        <w:t xml:space="preserve">DRAFT OPINION </w:t>
      </w:r>
      <w:r>
        <w:rPr>
          <w:rFonts w:eastAsia="Calibri"/>
        </w:rPr>
        <w:t>3</w:t>
      </w:r>
      <w:r w:rsidRPr="009812C4">
        <w:rPr>
          <w:rFonts w:eastAsia="Calibri"/>
        </w:rPr>
        <w:t>:  </w:t>
      </w:r>
      <w:r w:rsidR="00C42715">
        <w:rPr>
          <w:rFonts w:eastAsia="Calibri"/>
        </w:rPr>
        <w:t>R</w:t>
      </w:r>
      <w:r w:rsidR="00C42715" w:rsidRPr="00C42715">
        <w:rPr>
          <w:rFonts w:eastAsia="Calibri"/>
        </w:rPr>
        <w:t>esilience of telecommunication/ICTs</w:t>
      </w:r>
    </w:p>
    <w:p w14:paraId="1AB80837" w14:textId="77777777" w:rsidR="00623F14" w:rsidRPr="00B670FD" w:rsidRDefault="00623F14" w:rsidP="004C0234">
      <w:pPr>
        <w:pStyle w:val="Normalaftertitle"/>
        <w:rPr>
          <w:rFonts w:asciiTheme="minorHAnsi" w:hAnsiTheme="minorHAnsi" w:cstheme="minorHAnsi"/>
          <w:sz w:val="22"/>
          <w:szCs w:val="22"/>
        </w:rPr>
      </w:pPr>
      <w:r w:rsidRPr="00B670FD">
        <w:rPr>
          <w:rFonts w:asciiTheme="minorHAnsi" w:eastAsia="SimSun" w:hAnsiTheme="minorHAnsi" w:cstheme="minorHAnsi"/>
          <w:sz w:val="22"/>
          <w:szCs w:val="22"/>
        </w:rPr>
        <w:t>The seventh World Telecommunication/ICT Policy Forum (Geneva, 2026),</w:t>
      </w:r>
    </w:p>
    <w:p w14:paraId="211FDD34"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recalling</w:t>
      </w:r>
    </w:p>
    <w:p w14:paraId="5E75E8B5" w14:textId="66C7FFA1"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A/RES/79/1 of the United Nations General Assembly (UNGA) on the adoption of Pact of the </w:t>
      </w:r>
      <w:proofErr w:type="gramStart"/>
      <w:r w:rsidRPr="00B670FD">
        <w:rPr>
          <w:rFonts w:asciiTheme="minorHAnsi" w:hAnsiTheme="minorHAnsi" w:cstheme="minorHAnsi"/>
          <w:sz w:val="22"/>
          <w:szCs w:val="22"/>
        </w:rPr>
        <w:t>Future;</w:t>
      </w:r>
      <w:proofErr w:type="gramEnd"/>
    </w:p>
    <w:p w14:paraId="6C6D5945" w14:textId="1A19E5E9"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70/1 of the United Nations General Assembly, on Transforming our World: the 2030 Agenda for Sustainable Development, in particular, Sustainable Development Goals 12 (Responsible Consumption and Production) and 13 (Climate Action</w:t>
      </w:r>
      <w:proofErr w:type="gramStart"/>
      <w:r w:rsidRPr="00B670FD">
        <w:rPr>
          <w:rFonts w:asciiTheme="minorHAnsi" w:hAnsiTheme="minorHAnsi" w:cstheme="minorHAnsi"/>
          <w:sz w:val="22"/>
          <w:szCs w:val="22"/>
        </w:rPr>
        <w:t>);</w:t>
      </w:r>
      <w:proofErr w:type="gramEnd"/>
      <w:r w:rsidRPr="00B670FD">
        <w:rPr>
          <w:rFonts w:asciiTheme="minorHAnsi" w:hAnsiTheme="minorHAnsi" w:cstheme="minorHAnsi"/>
          <w:sz w:val="22"/>
          <w:szCs w:val="22"/>
        </w:rPr>
        <w:t xml:space="preserve"> </w:t>
      </w:r>
    </w:p>
    <w:p w14:paraId="3A068D06" w14:textId="135ADDC7"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B670FD">
        <w:rPr>
          <w:rFonts w:asciiTheme="minorHAnsi" w:hAnsiTheme="minorHAnsi" w:cstheme="minorHAnsi"/>
          <w:sz w:val="22"/>
          <w:szCs w:val="22"/>
        </w:rPr>
        <w:t>);</w:t>
      </w:r>
      <w:proofErr w:type="gramEnd"/>
      <w:r w:rsidRPr="00B670FD">
        <w:rPr>
          <w:rFonts w:asciiTheme="minorHAnsi" w:hAnsiTheme="minorHAnsi" w:cstheme="minorHAnsi"/>
          <w:sz w:val="22"/>
          <w:szCs w:val="22"/>
        </w:rPr>
        <w:t xml:space="preserve"> </w:t>
      </w:r>
    </w:p>
    <w:p w14:paraId="285CFAD2" w14:textId="70B34034"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136 (Rev. Dubai, 2018) of the Plenipotentiary Conference, on the use of telecommunications/ICTs for monitoring and management in emergency and disaster situations for early warning, prevention, mitigation and </w:t>
      </w:r>
      <w:proofErr w:type="gramStart"/>
      <w:r w:rsidRPr="00B670FD">
        <w:rPr>
          <w:rFonts w:asciiTheme="minorHAnsi" w:hAnsiTheme="minorHAnsi" w:cstheme="minorHAnsi"/>
          <w:sz w:val="22"/>
          <w:szCs w:val="22"/>
        </w:rPr>
        <w:t>relief;</w:t>
      </w:r>
      <w:proofErr w:type="gramEnd"/>
      <w:r w:rsidRPr="00B670FD">
        <w:rPr>
          <w:rFonts w:asciiTheme="minorHAnsi" w:hAnsiTheme="minorHAnsi" w:cstheme="minorHAnsi"/>
          <w:sz w:val="22"/>
          <w:szCs w:val="22"/>
        </w:rPr>
        <w:t xml:space="preserve"> </w:t>
      </w:r>
    </w:p>
    <w:p w14:paraId="120F0363" w14:textId="2377414E"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11 (Rev. Kigali, 2022) of the World Telecommunication Development Conference (WTDC) on telecommunication/information and communication technology services in rural, isolated, and poorly served </w:t>
      </w:r>
      <w:proofErr w:type="gramStart"/>
      <w:r w:rsidRPr="00B670FD">
        <w:rPr>
          <w:rFonts w:asciiTheme="minorHAnsi" w:hAnsiTheme="minorHAnsi" w:cstheme="minorHAnsi"/>
          <w:sz w:val="22"/>
          <w:szCs w:val="22"/>
        </w:rPr>
        <w:t>areas;</w:t>
      </w:r>
      <w:proofErr w:type="gramEnd"/>
      <w:r w:rsidRPr="00B670FD">
        <w:rPr>
          <w:rFonts w:asciiTheme="minorHAnsi" w:hAnsiTheme="minorHAnsi" w:cstheme="minorHAnsi"/>
          <w:sz w:val="22"/>
          <w:szCs w:val="22"/>
        </w:rPr>
        <w:t xml:space="preserve"> </w:t>
      </w:r>
    </w:p>
    <w:p w14:paraId="6501B02C" w14:textId="513ED75A"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WTDC Resolution 37 (Rev. Kigali, 2022) on bridging the digital </w:t>
      </w:r>
      <w:proofErr w:type="gramStart"/>
      <w:r w:rsidRPr="00B670FD">
        <w:rPr>
          <w:rFonts w:asciiTheme="minorHAnsi" w:hAnsiTheme="minorHAnsi" w:cstheme="minorHAnsi"/>
          <w:sz w:val="22"/>
          <w:szCs w:val="22"/>
        </w:rPr>
        <w:t>divide;</w:t>
      </w:r>
      <w:proofErr w:type="gramEnd"/>
      <w:r w:rsidRPr="00B670FD">
        <w:rPr>
          <w:rFonts w:asciiTheme="minorHAnsi" w:hAnsiTheme="minorHAnsi" w:cstheme="minorHAnsi"/>
          <w:sz w:val="22"/>
          <w:szCs w:val="22"/>
        </w:rPr>
        <w:t xml:space="preserve"> </w:t>
      </w:r>
    </w:p>
    <w:p w14:paraId="0CD08591" w14:textId="38576435"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71 (Rev. Bucharest, 2022) of the Plenipotentiary Conference on the ITU strategic framework for 2024-2027, which aims to enable and foster universal access to affordable, high-quality, and secure telecommunications/</w:t>
      </w:r>
      <w:proofErr w:type="gramStart"/>
      <w:r w:rsidRPr="00B670FD">
        <w:rPr>
          <w:rFonts w:asciiTheme="minorHAnsi" w:hAnsiTheme="minorHAnsi" w:cstheme="minorHAnsi"/>
          <w:sz w:val="22"/>
          <w:szCs w:val="22"/>
        </w:rPr>
        <w:t>ICTs;</w:t>
      </w:r>
      <w:proofErr w:type="gramEnd"/>
      <w:r w:rsidRPr="00B670FD">
        <w:rPr>
          <w:rFonts w:asciiTheme="minorHAnsi" w:hAnsiTheme="minorHAnsi" w:cstheme="minorHAnsi"/>
          <w:sz w:val="22"/>
          <w:szCs w:val="22"/>
        </w:rPr>
        <w:t xml:space="preserve"> </w:t>
      </w:r>
    </w:p>
    <w:p w14:paraId="36A0CFA3" w14:textId="250B48D8"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200 (Rev. Bucharest, 2022) of the Plenipotentiary Conference on the Connect 2030 Agenda for global telecommunication/information and communication technology, including broadband, for sustainable </w:t>
      </w:r>
      <w:proofErr w:type="gramStart"/>
      <w:r w:rsidRPr="00B670FD">
        <w:rPr>
          <w:rFonts w:asciiTheme="minorHAnsi" w:hAnsiTheme="minorHAnsi" w:cstheme="minorHAnsi"/>
          <w:sz w:val="22"/>
          <w:szCs w:val="22"/>
        </w:rPr>
        <w:t>development;</w:t>
      </w:r>
      <w:proofErr w:type="gramEnd"/>
      <w:r w:rsidRPr="00B670FD">
        <w:rPr>
          <w:rFonts w:asciiTheme="minorHAnsi" w:hAnsiTheme="minorHAnsi" w:cstheme="minorHAnsi"/>
          <w:sz w:val="22"/>
          <w:szCs w:val="22"/>
        </w:rPr>
        <w:t xml:space="preserve"> </w:t>
      </w:r>
    </w:p>
    <w:p w14:paraId="524A7063" w14:textId="2C999466"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130 (Rev. Bucharest, 2022) of the Plenipotentiary Conference on strengthening the role of ITU in building confidence and security in the use of </w:t>
      </w:r>
      <w:proofErr w:type="gramStart"/>
      <w:r w:rsidRPr="00B670FD">
        <w:rPr>
          <w:rFonts w:asciiTheme="minorHAnsi" w:hAnsiTheme="minorHAnsi" w:cstheme="minorHAnsi"/>
          <w:sz w:val="22"/>
          <w:szCs w:val="22"/>
        </w:rPr>
        <w:t>ICTs;</w:t>
      </w:r>
      <w:proofErr w:type="gramEnd"/>
      <w:r w:rsidRPr="00B670FD">
        <w:rPr>
          <w:rFonts w:asciiTheme="minorHAnsi" w:hAnsiTheme="minorHAnsi" w:cstheme="minorHAnsi"/>
          <w:sz w:val="22"/>
          <w:szCs w:val="22"/>
        </w:rPr>
        <w:t xml:space="preserve"> </w:t>
      </w:r>
    </w:p>
    <w:p w14:paraId="0CC66D72" w14:textId="7F52BD05"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139 (Rev. Bucharest, 2022) on the use of telecommunications/information and communication technologies to bridge the digital divide and build an inclusive information </w:t>
      </w:r>
      <w:proofErr w:type="gramStart"/>
      <w:r w:rsidRPr="00B670FD">
        <w:rPr>
          <w:rFonts w:asciiTheme="minorHAnsi" w:hAnsiTheme="minorHAnsi" w:cstheme="minorHAnsi"/>
          <w:sz w:val="22"/>
          <w:szCs w:val="22"/>
        </w:rPr>
        <w:t>society;</w:t>
      </w:r>
      <w:proofErr w:type="gramEnd"/>
      <w:r w:rsidRPr="00B670FD">
        <w:rPr>
          <w:rFonts w:asciiTheme="minorHAnsi" w:hAnsiTheme="minorHAnsi" w:cstheme="minorHAnsi"/>
          <w:sz w:val="22"/>
          <w:szCs w:val="22"/>
        </w:rPr>
        <w:t xml:space="preserve"> </w:t>
      </w:r>
    </w:p>
    <w:p w14:paraId="33615BF9" w14:textId="56821943"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182 (Rev. Bucharest, 2022) of the Plenipotentiary Conference, on the role of telecommunications/ICTs </w:t>
      </w:r>
      <w:proofErr w:type="gramStart"/>
      <w:r w:rsidRPr="00B670FD">
        <w:rPr>
          <w:rFonts w:asciiTheme="minorHAnsi" w:hAnsiTheme="minorHAnsi" w:cstheme="minorHAnsi"/>
          <w:sz w:val="22"/>
          <w:szCs w:val="22"/>
        </w:rPr>
        <w:t>in regard to</w:t>
      </w:r>
      <w:proofErr w:type="gramEnd"/>
      <w:r w:rsidRPr="00B670FD">
        <w:rPr>
          <w:rFonts w:asciiTheme="minorHAnsi" w:hAnsiTheme="minorHAnsi" w:cstheme="minorHAnsi"/>
          <w:sz w:val="22"/>
          <w:szCs w:val="22"/>
        </w:rPr>
        <w:t xml:space="preserve"> climate change and the protection of the </w:t>
      </w:r>
      <w:proofErr w:type="gramStart"/>
      <w:r w:rsidRPr="00B670FD">
        <w:rPr>
          <w:rFonts w:asciiTheme="minorHAnsi" w:hAnsiTheme="minorHAnsi" w:cstheme="minorHAnsi"/>
          <w:sz w:val="22"/>
          <w:szCs w:val="22"/>
        </w:rPr>
        <w:t>environment;</w:t>
      </w:r>
      <w:proofErr w:type="gramEnd"/>
      <w:r w:rsidRPr="00B670FD">
        <w:rPr>
          <w:rFonts w:asciiTheme="minorHAnsi" w:hAnsiTheme="minorHAnsi" w:cstheme="minorHAnsi"/>
          <w:sz w:val="22"/>
          <w:szCs w:val="22"/>
        </w:rPr>
        <w:t xml:space="preserve"> </w:t>
      </w:r>
    </w:p>
    <w:p w14:paraId="391223B8" w14:textId="2D5BC206" w:rsidR="00623F14" w:rsidRPr="00B670FD" w:rsidRDefault="00623F14" w:rsidP="00D70492">
      <w:pPr>
        <w:pStyle w:val="ListParagraph"/>
        <w:numPr>
          <w:ilvl w:val="2"/>
          <w:numId w:val="1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WTDC Resolution 45 (Rev. Kigali, 2022) on mechanisms for enhancing cooperation on cybersecurity</w:t>
      </w:r>
      <w:r w:rsidR="00FB2366" w:rsidRPr="00B670FD">
        <w:rPr>
          <w:rFonts w:asciiTheme="minorHAnsi" w:hAnsiTheme="minorHAnsi" w:cstheme="minorHAnsi"/>
          <w:sz w:val="22"/>
          <w:szCs w:val="22"/>
        </w:rPr>
        <w:t>,</w:t>
      </w:r>
    </w:p>
    <w:p w14:paraId="07F10F88"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noting</w:t>
      </w:r>
    </w:p>
    <w:p w14:paraId="45ED8509" w14:textId="6691EA64" w:rsidR="00623F14" w:rsidRPr="00B670FD" w:rsidRDefault="00623F14" w:rsidP="004C0234">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Resilient telecommunications/information and communication technologies (ICTs) are capable of predicting, responding to, and withstanding a variety of shocks, including, but not limited to, [climate-related ones], cyber incidents, natural hazards or disasters,</w:t>
      </w:r>
    </w:p>
    <w:p w14:paraId="44157FB0" w14:textId="77777777" w:rsidR="00623F14" w:rsidRPr="00B670FD" w:rsidRDefault="00623F14" w:rsidP="00D70492">
      <w:pPr>
        <w:pStyle w:val="Call"/>
        <w:rPr>
          <w:rFonts w:asciiTheme="minorHAnsi" w:hAnsiTheme="minorHAnsi" w:cstheme="minorHAnsi"/>
          <w:i w:val="0"/>
          <w:iCs/>
          <w:sz w:val="22"/>
          <w:szCs w:val="22"/>
        </w:rPr>
      </w:pPr>
      <w:proofErr w:type="gramStart"/>
      <w:r w:rsidRPr="00B670FD">
        <w:rPr>
          <w:rFonts w:asciiTheme="minorHAnsi" w:eastAsia="SimSun" w:hAnsiTheme="minorHAnsi" w:cstheme="minorHAnsi"/>
          <w:sz w:val="22"/>
          <w:szCs w:val="22"/>
        </w:rPr>
        <w:t>taking into account</w:t>
      </w:r>
      <w:proofErr w:type="gramEnd"/>
    </w:p>
    <w:p w14:paraId="07D05F7A" w14:textId="4F36C59B"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building resilient telecommunications/ICTs capable of withstanding natural disasters or hazards, different cyberthreats and non-malicious technical outages is vital at a time when accessing and delivering essential services and information depends on the </w:t>
      </w:r>
      <w:proofErr w:type="gramStart"/>
      <w:r w:rsidRPr="00B670FD">
        <w:rPr>
          <w:rFonts w:asciiTheme="minorHAnsi" w:hAnsiTheme="minorHAnsi" w:cstheme="minorHAnsi"/>
          <w:sz w:val="22"/>
          <w:szCs w:val="22"/>
        </w:rPr>
        <w:t>Internet;</w:t>
      </w:r>
      <w:proofErr w:type="gramEnd"/>
      <w:r w:rsidRPr="00B670FD">
        <w:rPr>
          <w:rFonts w:asciiTheme="minorHAnsi" w:hAnsiTheme="minorHAnsi" w:cstheme="minorHAnsi"/>
          <w:sz w:val="22"/>
          <w:szCs w:val="22"/>
        </w:rPr>
        <w:t xml:space="preserve"> </w:t>
      </w:r>
    </w:p>
    <w:p w14:paraId="5FEB8B4F" w14:textId="384E93FF"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resilience initiatives are increasingly important because climate change is contributing to a greater number of disasters which affect telecommunications/</w:t>
      </w:r>
      <w:proofErr w:type="gramStart"/>
      <w:r w:rsidRPr="00B670FD">
        <w:rPr>
          <w:rFonts w:asciiTheme="minorHAnsi" w:hAnsiTheme="minorHAnsi" w:cstheme="minorHAnsi"/>
          <w:sz w:val="22"/>
          <w:szCs w:val="22"/>
        </w:rPr>
        <w:t>ICTs;</w:t>
      </w:r>
      <w:proofErr w:type="gramEnd"/>
      <w:r w:rsidRPr="00B670FD">
        <w:rPr>
          <w:rFonts w:asciiTheme="minorHAnsi" w:hAnsiTheme="minorHAnsi" w:cstheme="minorHAnsi"/>
          <w:sz w:val="22"/>
          <w:szCs w:val="22"/>
        </w:rPr>
        <w:t xml:space="preserve"> </w:t>
      </w:r>
    </w:p>
    <w:p w14:paraId="6A4C342E" w14:textId="74CA233C"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deployment of resilient telecommunications/ICTs must be accessible to historically unserved and underserved groups, as crises can exacerbate pre-existing inequalities and digital </w:t>
      </w:r>
      <w:proofErr w:type="gramStart"/>
      <w:r w:rsidRPr="00B670FD">
        <w:rPr>
          <w:rFonts w:asciiTheme="minorHAnsi" w:hAnsiTheme="minorHAnsi" w:cstheme="minorHAnsi"/>
          <w:sz w:val="22"/>
          <w:szCs w:val="22"/>
        </w:rPr>
        <w:t>divides;</w:t>
      </w:r>
      <w:proofErr w:type="gramEnd"/>
      <w:r w:rsidRPr="00B670FD">
        <w:rPr>
          <w:rFonts w:asciiTheme="minorHAnsi" w:hAnsiTheme="minorHAnsi" w:cstheme="minorHAnsi"/>
          <w:sz w:val="22"/>
          <w:szCs w:val="22"/>
        </w:rPr>
        <w:t xml:space="preserve"> </w:t>
      </w:r>
    </w:p>
    <w:p w14:paraId="087ACACA" w14:textId="20885CE1"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w:t>
      </w:r>
      <w:proofErr w:type="gramStart"/>
      <w:r w:rsidRPr="00B670FD">
        <w:rPr>
          <w:rFonts w:asciiTheme="minorHAnsi" w:hAnsiTheme="minorHAnsi" w:cstheme="minorHAnsi"/>
          <w:sz w:val="22"/>
          <w:szCs w:val="22"/>
        </w:rPr>
        <w:t>infrastructures;</w:t>
      </w:r>
      <w:proofErr w:type="gramEnd"/>
      <w:r w:rsidRPr="00B670FD">
        <w:rPr>
          <w:rFonts w:asciiTheme="minorHAnsi" w:hAnsiTheme="minorHAnsi" w:cstheme="minorHAnsi"/>
          <w:sz w:val="22"/>
          <w:szCs w:val="22"/>
        </w:rPr>
        <w:t xml:space="preserve"> </w:t>
      </w:r>
    </w:p>
    <w:p w14:paraId="69C26772" w14:textId="1CCF6535"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w:t>
      </w:r>
      <w:proofErr w:type="gramStart"/>
      <w:r w:rsidRPr="00B670FD">
        <w:rPr>
          <w:rFonts w:asciiTheme="minorHAnsi" w:hAnsiTheme="minorHAnsi" w:cstheme="minorHAnsi"/>
          <w:sz w:val="22"/>
          <w:szCs w:val="22"/>
        </w:rPr>
        <w:t>equitably;</w:t>
      </w:r>
      <w:proofErr w:type="gramEnd"/>
      <w:r w:rsidRPr="00B670FD">
        <w:rPr>
          <w:rFonts w:asciiTheme="minorHAnsi" w:hAnsiTheme="minorHAnsi" w:cstheme="minorHAnsi"/>
          <w:sz w:val="22"/>
          <w:szCs w:val="22"/>
        </w:rPr>
        <w:t xml:space="preserve"> </w:t>
      </w:r>
    </w:p>
    <w:p w14:paraId="620765DD" w14:textId="01D64CAA" w:rsidR="00623F14" w:rsidRPr="00B670FD" w:rsidRDefault="00623F14" w:rsidP="00D70492">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50DBCD3D"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considering</w:t>
      </w:r>
    </w:p>
    <w:p w14:paraId="1B5D83F7" w14:textId="122C86FB"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 infrastructure is essential for supporting the global digital economy, fostering innovation, and driving inclusive growth, especially as economies become increasingly dependent on robust ICT </w:t>
      </w:r>
      <w:proofErr w:type="gramStart"/>
      <w:r w:rsidRPr="00B670FD">
        <w:rPr>
          <w:rFonts w:asciiTheme="minorHAnsi" w:hAnsiTheme="minorHAnsi" w:cstheme="minorHAnsi"/>
          <w:sz w:val="22"/>
          <w:szCs w:val="22"/>
        </w:rPr>
        <w:t>systems;</w:t>
      </w:r>
      <w:proofErr w:type="gramEnd"/>
      <w:r w:rsidRPr="00B670FD">
        <w:rPr>
          <w:rFonts w:asciiTheme="minorHAnsi" w:hAnsiTheme="minorHAnsi" w:cstheme="minorHAnsi"/>
          <w:sz w:val="22"/>
          <w:szCs w:val="22"/>
        </w:rPr>
        <w:t xml:space="preserve"> </w:t>
      </w:r>
    </w:p>
    <w:p w14:paraId="65FF179A" w14:textId="77777777" w:rsidR="00374139"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ensuring reliable and secure connectivity and accessibility of telecommunications/ICT systems to all segments of society can enhance economic opportunities, education, healthcare, and other critical sectors, contributing to sustainable economic </w:t>
      </w:r>
      <w:proofErr w:type="gramStart"/>
      <w:r w:rsidRPr="00B670FD">
        <w:rPr>
          <w:rFonts w:asciiTheme="minorHAnsi" w:hAnsiTheme="minorHAnsi" w:cstheme="minorHAnsi"/>
          <w:sz w:val="22"/>
          <w:szCs w:val="22"/>
        </w:rPr>
        <w:t>development;</w:t>
      </w:r>
      <w:proofErr w:type="gramEnd"/>
      <w:r w:rsidRPr="00B670FD">
        <w:rPr>
          <w:rFonts w:asciiTheme="minorHAnsi" w:hAnsiTheme="minorHAnsi" w:cstheme="minorHAnsi"/>
          <w:sz w:val="22"/>
          <w:szCs w:val="22"/>
        </w:rPr>
        <w:t xml:space="preserve"> </w:t>
      </w:r>
    </w:p>
    <w:p w14:paraId="21A78AF6" w14:textId="0491BCA7"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strengthening telecommunications/ICT infrastructure in underserved and remote areas, through innovative solutions such as satellite networks, can promote inclusive digital economies and narrow the digital </w:t>
      </w:r>
      <w:proofErr w:type="gramStart"/>
      <w:r w:rsidRPr="00B670FD">
        <w:rPr>
          <w:rFonts w:asciiTheme="minorHAnsi" w:hAnsiTheme="minorHAnsi" w:cstheme="minorHAnsi"/>
          <w:sz w:val="22"/>
          <w:szCs w:val="22"/>
        </w:rPr>
        <w:t>divide;</w:t>
      </w:r>
      <w:proofErr w:type="gramEnd"/>
      <w:r w:rsidRPr="00B670FD">
        <w:rPr>
          <w:rFonts w:asciiTheme="minorHAnsi" w:hAnsiTheme="minorHAnsi" w:cstheme="minorHAnsi"/>
          <w:sz w:val="22"/>
          <w:szCs w:val="22"/>
        </w:rPr>
        <w:t xml:space="preserve"> </w:t>
      </w:r>
    </w:p>
    <w:p w14:paraId="338AC1D4" w14:textId="239AB210"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and secure telecommunications/ICT systems are critical in supporting business continuity, public service delivery, [safety and security], and access to essential services in times of crisis, natural disasters, different cyber threats, </w:t>
      </w:r>
      <w:proofErr w:type="spellStart"/>
      <w:r w:rsidRPr="00B670FD">
        <w:rPr>
          <w:rFonts w:asciiTheme="minorHAnsi" w:hAnsiTheme="minorHAnsi" w:cstheme="minorHAnsi"/>
          <w:sz w:val="22"/>
          <w:szCs w:val="22"/>
        </w:rPr>
        <w:t>non malicious</w:t>
      </w:r>
      <w:proofErr w:type="spellEnd"/>
      <w:r w:rsidRPr="00B670FD">
        <w:rPr>
          <w:rFonts w:asciiTheme="minorHAnsi" w:hAnsiTheme="minorHAnsi" w:cstheme="minorHAnsi"/>
          <w:sz w:val="22"/>
          <w:szCs w:val="22"/>
        </w:rPr>
        <w:t xml:space="preserve"> technical outages, and global health </w:t>
      </w:r>
      <w:proofErr w:type="gramStart"/>
      <w:r w:rsidRPr="00B670FD">
        <w:rPr>
          <w:rFonts w:asciiTheme="minorHAnsi" w:hAnsiTheme="minorHAnsi" w:cstheme="minorHAnsi"/>
          <w:sz w:val="22"/>
          <w:szCs w:val="22"/>
        </w:rPr>
        <w:t>emergencies;</w:t>
      </w:r>
      <w:proofErr w:type="gramEnd"/>
      <w:r w:rsidRPr="00B670FD">
        <w:rPr>
          <w:rFonts w:asciiTheme="minorHAnsi" w:hAnsiTheme="minorHAnsi" w:cstheme="minorHAnsi"/>
          <w:sz w:val="22"/>
          <w:szCs w:val="22"/>
        </w:rPr>
        <w:t xml:space="preserve"> </w:t>
      </w:r>
    </w:p>
    <w:p w14:paraId="6D3AC046" w14:textId="37518769"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use of telecommunications/ICTs for sharing of information in the event of a crisis is a powerful decision-making tool for rescue and response services and operating entities, and for communication with and between </w:t>
      </w:r>
      <w:proofErr w:type="gramStart"/>
      <w:r w:rsidRPr="00B670FD">
        <w:rPr>
          <w:rFonts w:asciiTheme="minorHAnsi" w:hAnsiTheme="minorHAnsi" w:cstheme="minorHAnsi"/>
          <w:sz w:val="22"/>
          <w:szCs w:val="22"/>
        </w:rPr>
        <w:t>individuals;</w:t>
      </w:r>
      <w:proofErr w:type="gramEnd"/>
      <w:r w:rsidRPr="00B670FD">
        <w:rPr>
          <w:rFonts w:asciiTheme="minorHAnsi" w:hAnsiTheme="minorHAnsi" w:cstheme="minorHAnsi"/>
          <w:sz w:val="22"/>
          <w:szCs w:val="22"/>
        </w:rPr>
        <w:t xml:space="preserve"> </w:t>
      </w:r>
    </w:p>
    <w:p w14:paraId="01EF2A9B" w14:textId="5F922F93"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w:t>
      </w:r>
      <w:proofErr w:type="gramStart"/>
      <w:r w:rsidRPr="00B670FD">
        <w:rPr>
          <w:rFonts w:asciiTheme="minorHAnsi" w:hAnsiTheme="minorHAnsi" w:cstheme="minorHAnsi"/>
          <w:sz w:val="22"/>
          <w:szCs w:val="22"/>
        </w:rPr>
        <w:t>organizations;</w:t>
      </w:r>
      <w:proofErr w:type="gramEnd"/>
      <w:r w:rsidRPr="00B670FD">
        <w:rPr>
          <w:rFonts w:asciiTheme="minorHAnsi" w:hAnsiTheme="minorHAnsi" w:cstheme="minorHAnsi"/>
          <w:sz w:val="22"/>
          <w:szCs w:val="22"/>
        </w:rPr>
        <w:t xml:space="preserve"> </w:t>
      </w:r>
    </w:p>
    <w:p w14:paraId="4F422272" w14:textId="20C644DF"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telecommunications/ICTs must remain secure and dependable against a spectrum of external disruptions, such as natural disasters or hazards, power cuts, and cyber </w:t>
      </w:r>
      <w:proofErr w:type="gramStart"/>
      <w:r w:rsidRPr="00B670FD">
        <w:rPr>
          <w:rFonts w:asciiTheme="minorHAnsi" w:hAnsiTheme="minorHAnsi" w:cstheme="minorHAnsi"/>
          <w:sz w:val="22"/>
          <w:szCs w:val="22"/>
        </w:rPr>
        <w:t>incidents;</w:t>
      </w:r>
      <w:proofErr w:type="gramEnd"/>
    </w:p>
    <w:p w14:paraId="37305AB7" w14:textId="3F05A711"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enhancing the cybersecurity of telecommunications/ICT systems is essential for building trust in digital economies, supporting financial transactions, e-commerce, and safeguarding personally identifiable </w:t>
      </w:r>
      <w:proofErr w:type="gramStart"/>
      <w:r w:rsidRPr="00B670FD">
        <w:rPr>
          <w:rFonts w:asciiTheme="minorHAnsi" w:hAnsiTheme="minorHAnsi" w:cstheme="minorHAnsi"/>
          <w:sz w:val="22"/>
          <w:szCs w:val="22"/>
        </w:rPr>
        <w:t>information;</w:t>
      </w:r>
      <w:proofErr w:type="gramEnd"/>
      <w:r w:rsidRPr="00B670FD">
        <w:rPr>
          <w:rFonts w:asciiTheme="minorHAnsi" w:hAnsiTheme="minorHAnsi" w:cstheme="minorHAnsi"/>
          <w:sz w:val="22"/>
          <w:szCs w:val="22"/>
        </w:rPr>
        <w:t xml:space="preserve"> </w:t>
      </w:r>
    </w:p>
    <w:p w14:paraId="5514ED27" w14:textId="1F882321"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resilience should be incorporated into all stages of the design and deployment of telecommunications/ICTs to uphold durability throughout their lifecycle, to withstand changing environments, and to avoid exacerbating or threats and </w:t>
      </w:r>
      <w:proofErr w:type="gramStart"/>
      <w:r w:rsidRPr="00B670FD">
        <w:rPr>
          <w:rFonts w:asciiTheme="minorHAnsi" w:hAnsiTheme="minorHAnsi" w:cstheme="minorHAnsi"/>
          <w:sz w:val="22"/>
          <w:szCs w:val="22"/>
        </w:rPr>
        <w:t>vulnerabilities;</w:t>
      </w:r>
      <w:proofErr w:type="gramEnd"/>
      <w:r w:rsidRPr="00B670FD">
        <w:rPr>
          <w:rFonts w:asciiTheme="minorHAnsi" w:hAnsiTheme="minorHAnsi" w:cstheme="minorHAnsi"/>
          <w:sz w:val="22"/>
          <w:szCs w:val="22"/>
        </w:rPr>
        <w:t xml:space="preserve"> </w:t>
      </w:r>
    </w:p>
    <w:p w14:paraId="1EDAE6BC" w14:textId="7107B60B"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4ED26D8C" w14:textId="77DE5415"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fostering partnerships between governments, the private sector, regulatory authorities, civil society, the technical community, academia and international organizations is key to ensuring the development of resilient telecommunications/ICT ecosystems that can adapt to evolving threats and opportunities in the digital </w:t>
      </w:r>
      <w:proofErr w:type="gramStart"/>
      <w:r w:rsidRPr="00B670FD">
        <w:rPr>
          <w:rFonts w:asciiTheme="minorHAnsi" w:hAnsiTheme="minorHAnsi" w:cstheme="minorHAnsi"/>
          <w:sz w:val="22"/>
          <w:szCs w:val="22"/>
        </w:rPr>
        <w:t>economy;</w:t>
      </w:r>
      <w:proofErr w:type="gramEnd"/>
      <w:r w:rsidRPr="00B670FD">
        <w:rPr>
          <w:rFonts w:asciiTheme="minorHAnsi" w:hAnsiTheme="minorHAnsi" w:cstheme="minorHAnsi"/>
          <w:sz w:val="22"/>
          <w:szCs w:val="22"/>
        </w:rPr>
        <w:t xml:space="preserve"> </w:t>
      </w:r>
    </w:p>
    <w:p w14:paraId="79C176FC" w14:textId="32E465F6"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international collaboration and sharing of best practices can strengthen national capacities to build robust telecommunications/ICT systems, ensuring all countries benefit from the opportunities created by the digital </w:t>
      </w:r>
      <w:proofErr w:type="gramStart"/>
      <w:r w:rsidRPr="00B670FD">
        <w:rPr>
          <w:rFonts w:asciiTheme="minorHAnsi" w:hAnsiTheme="minorHAnsi" w:cstheme="minorHAnsi"/>
          <w:sz w:val="22"/>
          <w:szCs w:val="22"/>
        </w:rPr>
        <w:t>economy;</w:t>
      </w:r>
      <w:proofErr w:type="gramEnd"/>
      <w:r w:rsidRPr="00B670FD">
        <w:rPr>
          <w:rFonts w:asciiTheme="minorHAnsi" w:hAnsiTheme="minorHAnsi" w:cstheme="minorHAnsi"/>
          <w:sz w:val="22"/>
          <w:szCs w:val="22"/>
        </w:rPr>
        <w:t xml:space="preserve"> </w:t>
      </w:r>
    </w:p>
    <w:p w14:paraId="0DFEADAB" w14:textId="4E6037BE" w:rsidR="00623F14" w:rsidRPr="00B670FD" w:rsidRDefault="00676FD9"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w:t>
      </w:r>
      <w:r w:rsidR="00623F14" w:rsidRPr="00B670FD">
        <w:rPr>
          <w:rFonts w:asciiTheme="minorHAnsi" w:hAnsiTheme="minorHAnsi" w:cstheme="minorHAnsi"/>
          <w:sz w:val="22"/>
          <w:szCs w:val="22"/>
        </w:rPr>
        <w:t xml:space="preserve">the importance of iterative long-term strategies and risk management plans that coordinate the resilience of a range of telecommunications/ICTs, which make it easier to anticipate and respond to issues across contexts and address constantly evolving threats and </w:t>
      </w:r>
      <w:proofErr w:type="gramStart"/>
      <w:r w:rsidR="00623F14" w:rsidRPr="00B670FD">
        <w:rPr>
          <w:rFonts w:asciiTheme="minorHAnsi" w:hAnsiTheme="minorHAnsi" w:cstheme="minorHAnsi"/>
          <w:sz w:val="22"/>
          <w:szCs w:val="22"/>
        </w:rPr>
        <w:t>vulnerabilities;</w:t>
      </w:r>
      <w:proofErr w:type="gramEnd"/>
    </w:p>
    <w:p w14:paraId="3C2DD0FB" w14:textId="0ABDA46B" w:rsidR="00623F14" w:rsidRPr="00B670FD" w:rsidRDefault="00623F14"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promotion and utilization of innovative technologies can play a pivotal role in building resilient telecommunications/ICT economies capable of adapting to technological advancements and market </w:t>
      </w:r>
      <w:proofErr w:type="gramStart"/>
      <w:r w:rsidRPr="00B670FD">
        <w:rPr>
          <w:rFonts w:asciiTheme="minorHAnsi" w:hAnsiTheme="minorHAnsi" w:cstheme="minorHAnsi"/>
          <w:sz w:val="22"/>
          <w:szCs w:val="22"/>
        </w:rPr>
        <w:t>shifts;</w:t>
      </w:r>
      <w:proofErr w:type="gramEnd"/>
      <w:r w:rsidRPr="00B670FD">
        <w:rPr>
          <w:rFonts w:asciiTheme="minorHAnsi" w:hAnsiTheme="minorHAnsi" w:cstheme="minorHAnsi"/>
          <w:sz w:val="22"/>
          <w:szCs w:val="22"/>
        </w:rPr>
        <w:t xml:space="preserve"> </w:t>
      </w:r>
    </w:p>
    <w:p w14:paraId="3CCEC044" w14:textId="1E95A364" w:rsidR="00623F14" w:rsidRPr="00B670FD" w:rsidRDefault="00676FD9" w:rsidP="00D70492">
      <w:pPr>
        <w:pStyle w:val="ListParagraph"/>
        <w:numPr>
          <w:ilvl w:val="0"/>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w:t>
      </w:r>
      <w:r w:rsidR="00623F14" w:rsidRPr="00B670FD">
        <w:rPr>
          <w:rFonts w:asciiTheme="minorHAnsi" w:hAnsiTheme="minorHAnsi" w:cstheme="minorHAnsi"/>
          <w:sz w:val="22"/>
          <w:szCs w:val="22"/>
        </w:rPr>
        <w:t xml:space="preserve">the importance of submarine cable infrastructure, the role of the International Advisory Body for Submarine Cable Resilience and the outcomes of the International Submarine Cable Resilience Summit, held in Abuja, Nigeria, on 27 February 2025, which adopted the Abuja Declaration </w:t>
      </w:r>
      <w:proofErr w:type="gramStart"/>
      <w:r w:rsidR="00623F14" w:rsidRPr="00B670FD">
        <w:rPr>
          <w:rFonts w:asciiTheme="minorHAnsi" w:hAnsiTheme="minorHAnsi" w:cstheme="minorHAnsi"/>
          <w:sz w:val="22"/>
          <w:szCs w:val="22"/>
        </w:rPr>
        <w:t>in order to</w:t>
      </w:r>
      <w:proofErr w:type="gramEnd"/>
      <w:r w:rsidR="00623F14" w:rsidRPr="00B670FD">
        <w:rPr>
          <w:rFonts w:asciiTheme="minorHAnsi" w:hAnsiTheme="minorHAnsi" w:cstheme="minorHAnsi"/>
          <w:sz w:val="22"/>
          <w:szCs w:val="22"/>
        </w:rPr>
        <w:t xml:space="preserve"> enhance the resilience and sustainability of submarine telecommunications infrastructure</w:t>
      </w:r>
      <w:r w:rsidR="0027360E" w:rsidRPr="00B670FD">
        <w:rPr>
          <w:rFonts w:asciiTheme="minorHAnsi" w:hAnsiTheme="minorHAnsi" w:cstheme="minorHAnsi"/>
          <w:sz w:val="22"/>
          <w:szCs w:val="22"/>
        </w:rPr>
        <w:t>,</w:t>
      </w:r>
    </w:p>
    <w:p w14:paraId="62B2C465" w14:textId="77777777" w:rsidR="00623F14" w:rsidRPr="00B670FD" w:rsidRDefault="00623F14" w:rsidP="00D70492">
      <w:pPr>
        <w:pStyle w:val="Call"/>
        <w:rPr>
          <w:rFonts w:asciiTheme="minorHAnsi" w:hAnsiTheme="minorHAnsi" w:cstheme="minorHAnsi"/>
          <w:i w:val="0"/>
          <w:sz w:val="22"/>
          <w:szCs w:val="22"/>
        </w:rPr>
      </w:pPr>
      <w:r w:rsidRPr="00B670FD">
        <w:rPr>
          <w:rFonts w:asciiTheme="minorHAnsi" w:eastAsia="SimSun" w:hAnsiTheme="minorHAnsi" w:cstheme="minorHAnsi"/>
          <w:sz w:val="22"/>
          <w:szCs w:val="22"/>
        </w:rPr>
        <w:t>recognising</w:t>
      </w:r>
    </w:p>
    <w:p w14:paraId="7F2552C5" w14:textId="426A4DAB" w:rsidR="00623F14" w:rsidRPr="00B670FD" w:rsidRDefault="00623F14"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telecommunications/ICTs are an essential foundation for sustainable development and bridging digital </w:t>
      </w:r>
      <w:proofErr w:type="gramStart"/>
      <w:r w:rsidRPr="00B670FD">
        <w:rPr>
          <w:rFonts w:asciiTheme="minorHAnsi" w:hAnsiTheme="minorHAnsi" w:cstheme="minorHAnsi"/>
          <w:sz w:val="22"/>
          <w:szCs w:val="22"/>
        </w:rPr>
        <w:t>divides;</w:t>
      </w:r>
      <w:proofErr w:type="gramEnd"/>
      <w:r w:rsidRPr="00B670FD">
        <w:rPr>
          <w:rFonts w:asciiTheme="minorHAnsi" w:hAnsiTheme="minorHAnsi" w:cstheme="minorHAnsi"/>
          <w:sz w:val="22"/>
          <w:szCs w:val="22"/>
        </w:rPr>
        <w:t xml:space="preserve"> </w:t>
      </w:r>
    </w:p>
    <w:p w14:paraId="55E547FA" w14:textId="7E63BF71" w:rsidR="00623F14" w:rsidRPr="00B670FD" w:rsidRDefault="004C6D0B"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
      </w:r>
      <w:r w:rsidR="00623F14" w:rsidRPr="00B670FD">
        <w:rPr>
          <w:rFonts w:asciiTheme="minorHAnsi" w:hAnsiTheme="minorHAnsi" w:cstheme="minorHAnsi"/>
          <w:sz w:val="22"/>
          <w:szCs w:val="22"/>
        </w:rPr>
        <w:t xml:space="preserve">that many developing countries remain dependent on </w:t>
      </w:r>
      <w:r w:rsidRPr="00B670FD">
        <w:rPr>
          <w:rFonts w:asciiTheme="minorHAnsi" w:hAnsiTheme="minorHAnsi" w:cstheme="minorHAnsi"/>
          <w:sz w:val="22"/>
          <w:szCs w:val="22"/>
        </w:rPr>
        <w:t xml:space="preserve">imported telecommunications equipment and systems, leaving them vulnerable to external disruptions </w:t>
      </w:r>
      <w:r w:rsidR="00623F14" w:rsidRPr="00B670FD">
        <w:rPr>
          <w:rFonts w:asciiTheme="minorHAnsi" w:hAnsiTheme="minorHAnsi" w:cstheme="minorHAnsi"/>
          <w:sz w:val="22"/>
          <w:szCs w:val="22"/>
        </w:rPr>
        <w:t>such as pandemics, conflicts, vandalism, and terrorism</w:t>
      </w:r>
      <w:r w:rsidRPr="00B670FD">
        <w:rPr>
          <w:rFonts w:asciiTheme="minorHAnsi" w:hAnsiTheme="minorHAnsi" w:cstheme="minorHAnsi"/>
          <w:sz w:val="22"/>
          <w:szCs w:val="22"/>
        </w:rPr>
        <w:t>,</w:t>
      </w:r>
      <w:r w:rsidR="00623F14" w:rsidRPr="00B670FD">
        <w:rPr>
          <w:rFonts w:asciiTheme="minorHAnsi" w:hAnsiTheme="minorHAnsi" w:cstheme="minorHAnsi"/>
          <w:sz w:val="22"/>
          <w:szCs w:val="22"/>
        </w:rPr>
        <w:t xml:space="preserve"> and that the adoption of advanced technologies, requires significant capital investment that is largely inaccessible to these economies, resulting in continued reliance on outdated ICT infrastructure;]</w:t>
      </w:r>
    </w:p>
    <w:p w14:paraId="580717C3" w14:textId="4A8D194D" w:rsidR="00623F14" w:rsidRPr="00B670FD" w:rsidRDefault="004347FF"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
      </w:r>
      <w:r w:rsidR="00623F14" w:rsidRPr="00B670FD">
        <w:rPr>
          <w:rFonts w:asciiTheme="minorHAnsi" w:hAnsiTheme="minorHAnsi" w:cstheme="minorHAnsi"/>
          <w:sz w:val="22"/>
          <w:szCs w:val="22"/>
        </w:rPr>
        <w:t xml:space="preserve">that the absence or instability of grid electricity in many developing countries significantly hampers the adoption, deployment, operation, and maintenance of modern ICT infrastructure that is driven by new technologies, yet such services depend on telecommunications networks, data </w:t>
      </w:r>
      <w:proofErr w:type="spellStart"/>
      <w:r w:rsidR="00623F14" w:rsidRPr="00B670FD">
        <w:rPr>
          <w:rFonts w:asciiTheme="minorHAnsi" w:hAnsiTheme="minorHAnsi" w:cstheme="minorHAnsi"/>
          <w:sz w:val="22"/>
          <w:szCs w:val="22"/>
        </w:rPr>
        <w:t>centers</w:t>
      </w:r>
      <w:proofErr w:type="spellEnd"/>
      <w:r w:rsidR="00623F14" w:rsidRPr="00B670FD">
        <w:rPr>
          <w:rFonts w:asciiTheme="minorHAnsi" w:hAnsiTheme="minorHAnsi" w:cstheme="minorHAnsi"/>
          <w:sz w:val="22"/>
          <w:szCs w:val="22"/>
        </w:rPr>
        <w:t>, internet exchange points, and digital platforms that are highly dependent on consistent and reliable power supply;]</w:t>
      </w:r>
    </w:p>
    <w:p w14:paraId="28B7835C" w14:textId="06764EEC" w:rsidR="00623F14" w:rsidRPr="00B670FD" w:rsidRDefault="00623F14"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adoption of advanced technologies, requires significant capital investment that is [largely inaccessible] to developing countries, resulting in continued reliance on outdated ICT </w:t>
      </w:r>
      <w:proofErr w:type="gramStart"/>
      <w:r w:rsidRPr="00B670FD">
        <w:rPr>
          <w:rFonts w:asciiTheme="minorHAnsi" w:hAnsiTheme="minorHAnsi" w:cstheme="minorHAnsi"/>
          <w:sz w:val="22"/>
          <w:szCs w:val="22"/>
        </w:rPr>
        <w:t>infrastructure;</w:t>
      </w:r>
      <w:proofErr w:type="gramEnd"/>
    </w:p>
    <w:p w14:paraId="159403B8" w14:textId="11F7CF4B" w:rsidR="00623F14" w:rsidRPr="00B670FD" w:rsidRDefault="00623F14"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availability of stable and reliable grid electricity is a critical factor for adoption, deployment, operation, and maintenance of modern ICT </w:t>
      </w:r>
      <w:proofErr w:type="gramStart"/>
      <w:r w:rsidRPr="00B670FD">
        <w:rPr>
          <w:rFonts w:asciiTheme="minorHAnsi" w:hAnsiTheme="minorHAnsi" w:cstheme="minorHAnsi"/>
          <w:sz w:val="22"/>
          <w:szCs w:val="22"/>
        </w:rPr>
        <w:t>infrastructure</w:t>
      </w:r>
      <w:r w:rsidR="003A7725" w:rsidRPr="00B670FD">
        <w:rPr>
          <w:rFonts w:asciiTheme="minorHAnsi" w:hAnsiTheme="minorHAnsi" w:cstheme="minorHAnsi"/>
          <w:sz w:val="22"/>
          <w:szCs w:val="22"/>
        </w:rPr>
        <w:t>;</w:t>
      </w:r>
      <w:proofErr w:type="gramEnd"/>
      <w:r w:rsidR="003A7725" w:rsidRPr="00B670FD">
        <w:rPr>
          <w:rFonts w:asciiTheme="minorHAnsi" w:hAnsiTheme="minorHAnsi" w:cstheme="minorHAnsi"/>
          <w:sz w:val="22"/>
          <w:szCs w:val="22"/>
        </w:rPr>
        <w:t xml:space="preserve"> </w:t>
      </w:r>
    </w:p>
    <w:p w14:paraId="6A5F7944" w14:textId="0EA8CE54" w:rsidR="00623F14" w:rsidRPr="00B670FD" w:rsidRDefault="003A7725"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w:t>
      </w:r>
      <w:r w:rsidR="00623F14" w:rsidRPr="00B670FD">
        <w:rPr>
          <w:rFonts w:asciiTheme="minorHAnsi" w:hAnsiTheme="minorHAnsi" w:cstheme="minorHAnsi"/>
          <w:sz w:val="22"/>
          <w:szCs w:val="22"/>
        </w:rPr>
        <w:t xml:space="preserve">the role of the private sector, civil society, the technical community, academia, and regional and international organisations in providing telecommunication/ICT equipment and services, expertise and capacity-building assistance to support resilience </w:t>
      </w:r>
      <w:proofErr w:type="gramStart"/>
      <w:r w:rsidR="00623F14" w:rsidRPr="00B670FD">
        <w:rPr>
          <w:rFonts w:asciiTheme="minorHAnsi" w:hAnsiTheme="minorHAnsi" w:cstheme="minorHAnsi"/>
          <w:sz w:val="22"/>
          <w:szCs w:val="22"/>
        </w:rPr>
        <w:t>initiatives;</w:t>
      </w:r>
      <w:proofErr w:type="gramEnd"/>
      <w:r w:rsidR="00623F14" w:rsidRPr="00B670FD">
        <w:rPr>
          <w:rFonts w:asciiTheme="minorHAnsi" w:hAnsiTheme="minorHAnsi" w:cstheme="minorHAnsi"/>
          <w:sz w:val="22"/>
          <w:szCs w:val="22"/>
        </w:rPr>
        <w:t xml:space="preserve"> </w:t>
      </w:r>
    </w:p>
    <w:p w14:paraId="6BBC1438" w14:textId="00FF6721" w:rsidR="00623F14" w:rsidRPr="00B670FD" w:rsidRDefault="003A7725" w:rsidP="00D70492">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w:t>
      </w:r>
      <w:r w:rsidR="00623F14" w:rsidRPr="00B670FD">
        <w:rPr>
          <w:rFonts w:asciiTheme="minorHAnsi" w:hAnsiTheme="minorHAnsi" w:cstheme="minorHAnsi"/>
          <w:sz w:val="22"/>
          <w:szCs w:val="22"/>
        </w:rPr>
        <w:t>the work of the ITU in key resilience activities, such as the Early Warnings for All Initiative, and the contributions of ITU study groups across all three sectors, in developing technical recommendations and best practices,</w:t>
      </w:r>
    </w:p>
    <w:p w14:paraId="2960A57A" w14:textId="77777777" w:rsidR="00623F14" w:rsidRPr="00B670FD" w:rsidRDefault="00623F14" w:rsidP="00D70492">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is of the view</w:t>
      </w:r>
    </w:p>
    <w:p w14:paraId="7BB8F9FB" w14:textId="49F97C6B"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resilience policies and initiatives should be multi-facetted and comprehensive encompassing cybersecurity, early warnings systems and early action, the regular upgrading and maintenance of telecommunications/ICT infrastructure, [environmental monitoring] [climate monitoring], disaster risk reduction initiatives and public-private </w:t>
      </w:r>
      <w:proofErr w:type="gramStart"/>
      <w:r w:rsidRPr="00B670FD">
        <w:rPr>
          <w:rFonts w:asciiTheme="minorHAnsi" w:hAnsiTheme="minorHAnsi" w:cstheme="minorHAnsi"/>
          <w:sz w:val="22"/>
          <w:szCs w:val="22"/>
        </w:rPr>
        <w:t>collaboration;</w:t>
      </w:r>
      <w:proofErr w:type="gramEnd"/>
    </w:p>
    <w:p w14:paraId="025B0906" w14:textId="20B039F5"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enhancing resilience across society requires coordinated action among governments, regulatory authorities,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w:t>
      </w:r>
      <w:proofErr w:type="gramStart"/>
      <w:r w:rsidRPr="00B670FD">
        <w:rPr>
          <w:rFonts w:asciiTheme="minorHAnsi" w:hAnsiTheme="minorHAnsi" w:cstheme="minorHAnsi"/>
          <w:sz w:val="22"/>
          <w:szCs w:val="22"/>
        </w:rPr>
        <w:t>services;</w:t>
      </w:r>
      <w:proofErr w:type="gramEnd"/>
    </w:p>
    <w:p w14:paraId="3A6A1F04" w14:textId="25002199"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it is essential to build resilience into all stages of telecommunications/ICTs design, development and </w:t>
      </w:r>
      <w:proofErr w:type="gramStart"/>
      <w:r w:rsidRPr="00B670FD">
        <w:rPr>
          <w:rFonts w:asciiTheme="minorHAnsi" w:hAnsiTheme="minorHAnsi" w:cstheme="minorHAnsi"/>
          <w:sz w:val="22"/>
          <w:szCs w:val="22"/>
        </w:rPr>
        <w:t>deployment;</w:t>
      </w:r>
      <w:proofErr w:type="gramEnd"/>
      <w:r w:rsidRPr="00B670FD">
        <w:rPr>
          <w:rFonts w:asciiTheme="minorHAnsi" w:hAnsiTheme="minorHAnsi" w:cstheme="minorHAnsi"/>
          <w:sz w:val="22"/>
          <w:szCs w:val="22"/>
        </w:rPr>
        <w:t xml:space="preserve"> </w:t>
      </w:r>
    </w:p>
    <w:p w14:paraId="1434B10D" w14:textId="36D92EA9"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 infrastructure is a critical enabler of economic growth, inclusion, and innovation, and must be adaptable to emerging </w:t>
      </w:r>
      <w:proofErr w:type="gramStart"/>
      <w:r w:rsidRPr="00B670FD">
        <w:rPr>
          <w:rFonts w:asciiTheme="minorHAnsi" w:hAnsiTheme="minorHAnsi" w:cstheme="minorHAnsi"/>
          <w:sz w:val="22"/>
          <w:szCs w:val="22"/>
        </w:rPr>
        <w:t>challenges;</w:t>
      </w:r>
      <w:proofErr w:type="gramEnd"/>
      <w:r w:rsidRPr="00B670FD">
        <w:rPr>
          <w:rFonts w:asciiTheme="minorHAnsi" w:hAnsiTheme="minorHAnsi" w:cstheme="minorHAnsi"/>
          <w:sz w:val="22"/>
          <w:szCs w:val="22"/>
        </w:rPr>
        <w:t xml:space="preserve"> </w:t>
      </w:r>
    </w:p>
    <w:p w14:paraId="4478F5F9" w14:textId="44DFD11A"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bridging the digital divide and ensuring affordable access to telecommunications/ICTs is integral to building </w:t>
      </w:r>
      <w:proofErr w:type="gramStart"/>
      <w:r w:rsidRPr="00B670FD">
        <w:rPr>
          <w:rFonts w:asciiTheme="minorHAnsi" w:hAnsiTheme="minorHAnsi" w:cstheme="minorHAnsi"/>
          <w:sz w:val="22"/>
          <w:szCs w:val="22"/>
        </w:rPr>
        <w:t>resilience;</w:t>
      </w:r>
      <w:proofErr w:type="gramEnd"/>
      <w:r w:rsidRPr="00B670FD">
        <w:rPr>
          <w:rFonts w:asciiTheme="minorHAnsi" w:hAnsiTheme="minorHAnsi" w:cstheme="minorHAnsi"/>
          <w:sz w:val="22"/>
          <w:szCs w:val="22"/>
        </w:rPr>
        <w:t xml:space="preserve"> </w:t>
      </w:r>
    </w:p>
    <w:p w14:paraId="6F811869" w14:textId="629E1215"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cooperation and collaboration on regulatory frameworks, best practices, an enabling environment for investment, and innovative financing mechanisms play an important role in building resilient telecommunications/ICT systems that </w:t>
      </w:r>
      <w:proofErr w:type="gramStart"/>
      <w:r w:rsidRPr="00B670FD">
        <w:rPr>
          <w:rFonts w:asciiTheme="minorHAnsi" w:hAnsiTheme="minorHAnsi" w:cstheme="minorHAnsi"/>
          <w:sz w:val="22"/>
          <w:szCs w:val="22"/>
        </w:rPr>
        <w:t>are capable of responding</w:t>
      </w:r>
      <w:proofErr w:type="gramEnd"/>
      <w:r w:rsidRPr="00B670FD">
        <w:rPr>
          <w:rFonts w:asciiTheme="minorHAnsi" w:hAnsiTheme="minorHAnsi" w:cstheme="minorHAnsi"/>
          <w:sz w:val="22"/>
          <w:szCs w:val="22"/>
        </w:rPr>
        <w:t xml:space="preserve"> to global challenges and supporting economic stability, especially during natural disasters and emergencies terrestrial, subsea and satellite infrastructure all play a vital role in offering resilient means of </w:t>
      </w:r>
      <w:proofErr w:type="gramStart"/>
      <w:r w:rsidRPr="00B670FD">
        <w:rPr>
          <w:rFonts w:asciiTheme="minorHAnsi" w:hAnsiTheme="minorHAnsi" w:cstheme="minorHAnsi"/>
          <w:sz w:val="22"/>
          <w:szCs w:val="22"/>
        </w:rPr>
        <w:t>communication;</w:t>
      </w:r>
      <w:proofErr w:type="gramEnd"/>
      <w:r w:rsidRPr="00B670FD">
        <w:rPr>
          <w:rFonts w:asciiTheme="minorHAnsi" w:hAnsiTheme="minorHAnsi" w:cstheme="minorHAnsi"/>
          <w:sz w:val="22"/>
          <w:szCs w:val="22"/>
        </w:rPr>
        <w:t xml:space="preserve"> </w:t>
      </w:r>
    </w:p>
    <w:p w14:paraId="469274DF" w14:textId="65289DEC"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a multi-channel approach to public-awareness raising should be adopted to ensure relevant resilience messaging, such as emergency communications and cyber hygiene-related advice, reaches a wide audience and enables individuals to act earlier and protect </w:t>
      </w:r>
      <w:proofErr w:type="gramStart"/>
      <w:r w:rsidRPr="00B670FD">
        <w:rPr>
          <w:rFonts w:asciiTheme="minorHAnsi" w:hAnsiTheme="minorHAnsi" w:cstheme="minorHAnsi"/>
          <w:sz w:val="22"/>
          <w:szCs w:val="22"/>
        </w:rPr>
        <w:t>themselves;</w:t>
      </w:r>
      <w:proofErr w:type="gramEnd"/>
      <w:r w:rsidRPr="00B670FD">
        <w:rPr>
          <w:rFonts w:asciiTheme="minorHAnsi" w:hAnsiTheme="minorHAnsi" w:cstheme="minorHAnsi"/>
          <w:sz w:val="22"/>
          <w:szCs w:val="22"/>
        </w:rPr>
        <w:t xml:space="preserve"> </w:t>
      </w:r>
    </w:p>
    <w:p w14:paraId="7B9A6B3F" w14:textId="623F4EF5"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climate change represents one of the greatest challenges of our time, and resilience to its impact can be strengthened through the establishment of early-warning systems for emergency situations and national emergency telecommunication </w:t>
      </w:r>
      <w:proofErr w:type="gramStart"/>
      <w:r w:rsidRPr="00B670FD">
        <w:rPr>
          <w:rFonts w:asciiTheme="minorHAnsi" w:hAnsiTheme="minorHAnsi" w:cstheme="minorHAnsi"/>
          <w:sz w:val="22"/>
          <w:szCs w:val="22"/>
        </w:rPr>
        <w:t>plans;</w:t>
      </w:r>
      <w:proofErr w:type="gramEnd"/>
      <w:r w:rsidRPr="00B670FD">
        <w:rPr>
          <w:rFonts w:asciiTheme="minorHAnsi" w:hAnsiTheme="minorHAnsi" w:cstheme="minorHAnsi"/>
          <w:sz w:val="22"/>
          <w:szCs w:val="22"/>
        </w:rPr>
        <w:t xml:space="preserve"> </w:t>
      </w:r>
    </w:p>
    <w:p w14:paraId="6E1140BA" w14:textId="31C5003F"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building cyber resilience across society is essential to tackling the growing cyber </w:t>
      </w:r>
      <w:proofErr w:type="gramStart"/>
      <w:r w:rsidRPr="00B670FD">
        <w:rPr>
          <w:rFonts w:asciiTheme="minorHAnsi" w:hAnsiTheme="minorHAnsi" w:cstheme="minorHAnsi"/>
          <w:sz w:val="22"/>
          <w:szCs w:val="22"/>
        </w:rPr>
        <w:t>threat;</w:t>
      </w:r>
      <w:proofErr w:type="gramEnd"/>
      <w:r w:rsidRPr="00B670FD">
        <w:rPr>
          <w:rFonts w:asciiTheme="minorHAnsi" w:hAnsiTheme="minorHAnsi" w:cstheme="minorHAnsi"/>
          <w:sz w:val="22"/>
          <w:szCs w:val="22"/>
        </w:rPr>
        <w:t xml:space="preserve"> </w:t>
      </w:r>
    </w:p>
    <w:p w14:paraId="26ED0EB1" w14:textId="6DA7324C"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promoting innovation and the deployment of </w:t>
      </w:r>
      <w:proofErr w:type="gramStart"/>
      <w:r w:rsidRPr="00B670FD">
        <w:rPr>
          <w:rFonts w:asciiTheme="minorHAnsi" w:hAnsiTheme="minorHAnsi" w:cstheme="minorHAnsi"/>
          <w:sz w:val="22"/>
          <w:szCs w:val="22"/>
        </w:rPr>
        <w:t>new  technologies</w:t>
      </w:r>
      <w:proofErr w:type="gramEnd"/>
      <w:r w:rsidRPr="00B670FD">
        <w:rPr>
          <w:rFonts w:asciiTheme="minorHAnsi" w:hAnsiTheme="minorHAnsi" w:cstheme="minorHAnsi"/>
          <w:sz w:val="22"/>
          <w:szCs w:val="22"/>
        </w:rPr>
        <w:t xml:space="preserve"> is necessary to ensure that telecommunications/ICT economies remain competitive, secure, and </w:t>
      </w:r>
      <w:proofErr w:type="gramStart"/>
      <w:r w:rsidRPr="00B670FD">
        <w:rPr>
          <w:rFonts w:asciiTheme="minorHAnsi" w:hAnsiTheme="minorHAnsi" w:cstheme="minorHAnsi"/>
          <w:sz w:val="22"/>
          <w:szCs w:val="22"/>
        </w:rPr>
        <w:t>resilient;</w:t>
      </w:r>
      <w:proofErr w:type="gramEnd"/>
      <w:r w:rsidRPr="00B670FD">
        <w:rPr>
          <w:rFonts w:asciiTheme="minorHAnsi" w:hAnsiTheme="minorHAnsi" w:cstheme="minorHAnsi"/>
          <w:sz w:val="22"/>
          <w:szCs w:val="22"/>
        </w:rPr>
        <w:t xml:space="preserve"> </w:t>
      </w:r>
    </w:p>
    <w:p w14:paraId="6F595E29" w14:textId="03CEAB99"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energy resilience innovation and advancements such as smart grids, green energy or renewable energy support infrastructure resilience through the provision of alternatives to centralized energy grids and their susception to outages. The adoption of such innovative infrastructure ensures that telecommunications and ICT infrastructure can access alternative sources of power, thereby being both resilient to power outage and allowing for services to be extended to areas with no centralized grid coverage;]</w:t>
      </w:r>
    </w:p>
    <w:p w14:paraId="527E3E22" w14:textId="2A99B74B"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encourage ITU Member States and relevant stakeholders to adopt and implement policies inspired by the Abuja Declaration to enhance submarine cable </w:t>
      </w:r>
      <w:proofErr w:type="gramStart"/>
      <w:r w:rsidRPr="00B670FD">
        <w:rPr>
          <w:rFonts w:asciiTheme="minorHAnsi" w:hAnsiTheme="minorHAnsi" w:cstheme="minorHAnsi"/>
          <w:sz w:val="22"/>
          <w:szCs w:val="22"/>
        </w:rPr>
        <w:t>resilience;</w:t>
      </w:r>
      <w:proofErr w:type="gramEnd"/>
    </w:p>
    <w:p w14:paraId="50228647" w14:textId="28A291AA" w:rsidR="00623F14" w:rsidRPr="00B670FD" w:rsidRDefault="00623F14" w:rsidP="00FB126C">
      <w:pPr>
        <w:pStyle w:val="ListParagraph"/>
        <w:numPr>
          <w:ilvl w:val="1"/>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the ITU should continue to conduct training programmes, workshops, and capacity building to promote resilience,</w:t>
      </w:r>
    </w:p>
    <w:p w14:paraId="57862929" w14:textId="77777777" w:rsidR="00623F14" w:rsidRPr="00B670FD" w:rsidRDefault="00623F14" w:rsidP="000E31F4">
      <w:pPr>
        <w:tabs>
          <w:tab w:val="clear" w:pos="567"/>
          <w:tab w:val="clear" w:pos="1134"/>
          <w:tab w:val="clear" w:pos="1701"/>
          <w:tab w:val="clear" w:pos="2268"/>
          <w:tab w:val="clear" w:pos="2835"/>
        </w:tabs>
        <w:overflowPunct/>
        <w:autoSpaceDE/>
        <w:autoSpaceDN/>
        <w:adjustRightInd/>
        <w:spacing w:before="160"/>
        <w:ind w:firstLine="720"/>
        <w:jc w:val="both"/>
        <w:textAlignment w:val="auto"/>
        <w:rPr>
          <w:rFonts w:asciiTheme="minorHAnsi" w:hAnsiTheme="minorHAnsi" w:cstheme="minorHAnsi"/>
          <w:i/>
          <w:iCs/>
          <w:sz w:val="22"/>
          <w:szCs w:val="22"/>
        </w:rPr>
      </w:pPr>
      <w:r w:rsidRPr="00B670FD">
        <w:rPr>
          <w:rFonts w:asciiTheme="minorHAnsi" w:hAnsiTheme="minorHAnsi" w:cstheme="minorHAnsi"/>
          <w:i/>
          <w:iCs/>
          <w:sz w:val="22"/>
          <w:szCs w:val="22"/>
        </w:rPr>
        <w:t xml:space="preserve">invites Member States, Sector Members, and other stakeholders to work collaboratively </w:t>
      </w:r>
    </w:p>
    <w:p w14:paraId="50E5DBCA" w14:textId="0473E13A"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prioritize the sharing, development and implementation of policies that promote resilient, secure, and inclusive telecommunications/ICT infrastructures, ensuring alignment with international standards and best </w:t>
      </w:r>
      <w:proofErr w:type="gramStart"/>
      <w:r w:rsidRPr="00B670FD">
        <w:rPr>
          <w:rFonts w:asciiTheme="minorHAnsi" w:hAnsiTheme="minorHAnsi" w:cstheme="minorHAnsi"/>
          <w:sz w:val="22"/>
          <w:szCs w:val="22"/>
        </w:rPr>
        <w:t>practices;</w:t>
      </w:r>
      <w:proofErr w:type="gramEnd"/>
      <w:r w:rsidRPr="00B670FD">
        <w:rPr>
          <w:rFonts w:asciiTheme="minorHAnsi" w:hAnsiTheme="minorHAnsi" w:cstheme="minorHAnsi"/>
          <w:sz w:val="22"/>
          <w:szCs w:val="22"/>
        </w:rPr>
        <w:t xml:space="preserve"> </w:t>
      </w:r>
    </w:p>
    <w:p w14:paraId="1D2DC2AE" w14:textId="085C5A9B"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 to continue to facilitate and enhance efforts to strengthen telecommunications/ICT infrastructure resilience, ensuring that digital systems are secure, inclusive, and adaptable to future challenges and able to ensure continuity of service in times of </w:t>
      </w:r>
      <w:proofErr w:type="gramStart"/>
      <w:r w:rsidRPr="00B670FD">
        <w:rPr>
          <w:rFonts w:asciiTheme="minorHAnsi" w:hAnsiTheme="minorHAnsi" w:cstheme="minorHAnsi"/>
          <w:sz w:val="22"/>
          <w:szCs w:val="22"/>
        </w:rPr>
        <w:t>disruption;</w:t>
      </w:r>
      <w:proofErr w:type="gramEnd"/>
      <w:r w:rsidRPr="00B670FD">
        <w:rPr>
          <w:rFonts w:asciiTheme="minorHAnsi" w:hAnsiTheme="minorHAnsi" w:cstheme="minorHAnsi"/>
          <w:sz w:val="22"/>
          <w:szCs w:val="22"/>
        </w:rPr>
        <w:t xml:space="preserve"> </w:t>
      </w:r>
    </w:p>
    <w:p w14:paraId="7F924F12" w14:textId="56DAA834"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explore opportunities and address the challenges faced in building resilient telecommunications/ICT systems, including securing critical infrastructure, protecting data, and ensuring continuity of service in times of disruption, </w:t>
      </w:r>
    </w:p>
    <w:p w14:paraId="2AF058C8" w14:textId="1D73AE15"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work with the private sector, civil society, the technical community, and academia to promote resilient telecommunications/ICTs by providing programmes of technical support and advice to people, organisations, and </w:t>
      </w:r>
      <w:proofErr w:type="gramStart"/>
      <w:r w:rsidRPr="00B670FD">
        <w:rPr>
          <w:rFonts w:asciiTheme="minorHAnsi" w:hAnsiTheme="minorHAnsi" w:cstheme="minorHAnsi"/>
          <w:sz w:val="22"/>
          <w:szCs w:val="22"/>
        </w:rPr>
        <w:t>businesses;</w:t>
      </w:r>
      <w:proofErr w:type="gramEnd"/>
      <w:r w:rsidRPr="00B670FD">
        <w:rPr>
          <w:rFonts w:asciiTheme="minorHAnsi" w:hAnsiTheme="minorHAnsi" w:cstheme="minorHAnsi"/>
          <w:sz w:val="22"/>
          <w:szCs w:val="22"/>
        </w:rPr>
        <w:t xml:space="preserve"> </w:t>
      </w:r>
    </w:p>
    <w:p w14:paraId="618AB237" w14:textId="2BCCB372"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strengthen public-private partnerships </w:t>
      </w:r>
      <w:proofErr w:type="gramStart"/>
      <w:r w:rsidRPr="00B670FD">
        <w:rPr>
          <w:rFonts w:asciiTheme="minorHAnsi" w:hAnsiTheme="minorHAnsi" w:cstheme="minorHAnsi"/>
          <w:sz w:val="22"/>
          <w:szCs w:val="22"/>
        </w:rPr>
        <w:t>in order to</w:t>
      </w:r>
      <w:proofErr w:type="gramEnd"/>
      <w:r w:rsidRPr="00B670FD">
        <w:rPr>
          <w:rFonts w:asciiTheme="minorHAnsi" w:hAnsiTheme="minorHAnsi" w:cstheme="minorHAnsi"/>
          <w:sz w:val="22"/>
          <w:szCs w:val="22"/>
        </w:rPr>
        <w:t xml:space="preserve"> foster innovation, cybersecurity, and resilience in the telecommunications/ICT ecosystem and address related emerging challenges and opportunities therein</w:t>
      </w:r>
      <w:r w:rsidR="000E31F4" w:rsidRPr="00B670FD">
        <w:rPr>
          <w:rFonts w:asciiTheme="minorHAnsi" w:hAnsiTheme="minorHAnsi" w:cstheme="minorHAnsi"/>
          <w:sz w:val="22"/>
          <w:szCs w:val="22"/>
        </w:rPr>
        <w:t>;</w:t>
      </w:r>
      <w:r w:rsidRPr="00B670FD">
        <w:rPr>
          <w:rFonts w:asciiTheme="minorHAnsi" w:hAnsiTheme="minorHAnsi" w:cstheme="minorHAnsi"/>
          <w:sz w:val="22"/>
          <w:szCs w:val="22"/>
        </w:rPr>
        <w:t>]</w:t>
      </w:r>
    </w:p>
    <w:p w14:paraId="20E3E5B6" w14:textId="7504FD75"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mainstream a [gender perspective] into national strategies dealing with resilience and ensure that decision-making is </w:t>
      </w:r>
      <w:proofErr w:type="gramStart"/>
      <w:r w:rsidRPr="00B670FD">
        <w:rPr>
          <w:rFonts w:asciiTheme="minorHAnsi" w:hAnsiTheme="minorHAnsi" w:cstheme="minorHAnsi"/>
          <w:sz w:val="22"/>
          <w:szCs w:val="22"/>
        </w:rPr>
        <w:t>inclusive;</w:t>
      </w:r>
      <w:proofErr w:type="gramEnd"/>
    </w:p>
    <w:p w14:paraId="61F04903" w14:textId="5B7C6917"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continue to deploy all necessary efforts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w:t>
      </w:r>
      <w:proofErr w:type="gramStart"/>
      <w:r w:rsidRPr="00B670FD">
        <w:rPr>
          <w:rFonts w:asciiTheme="minorHAnsi" w:hAnsiTheme="minorHAnsi" w:cstheme="minorHAnsi"/>
          <w:sz w:val="22"/>
          <w:szCs w:val="22"/>
        </w:rPr>
        <w:t>phases;</w:t>
      </w:r>
      <w:proofErr w:type="gramEnd"/>
      <w:r w:rsidRPr="00B670FD">
        <w:rPr>
          <w:rFonts w:asciiTheme="minorHAnsi" w:hAnsiTheme="minorHAnsi" w:cstheme="minorHAnsi"/>
          <w:sz w:val="22"/>
          <w:szCs w:val="22"/>
        </w:rPr>
        <w:t xml:space="preserve"> </w:t>
      </w:r>
    </w:p>
    <w:p w14:paraId="5A2DE662" w14:textId="3C13E13C" w:rsidR="00623F1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adopt relevant ITU recommendations that could contribute to the building of resilience and effective response to </w:t>
      </w:r>
      <w:proofErr w:type="gramStart"/>
      <w:r w:rsidRPr="00B670FD">
        <w:rPr>
          <w:rFonts w:asciiTheme="minorHAnsi" w:hAnsiTheme="minorHAnsi" w:cstheme="minorHAnsi"/>
          <w:sz w:val="22"/>
          <w:szCs w:val="22"/>
        </w:rPr>
        <w:t>crises;</w:t>
      </w:r>
      <w:proofErr w:type="gramEnd"/>
      <w:r w:rsidRPr="00B670FD">
        <w:rPr>
          <w:rFonts w:asciiTheme="minorHAnsi" w:hAnsiTheme="minorHAnsi" w:cstheme="minorHAnsi"/>
          <w:sz w:val="22"/>
          <w:szCs w:val="22"/>
        </w:rPr>
        <w:t xml:space="preserve"> </w:t>
      </w:r>
    </w:p>
    <w:p w14:paraId="5871AA24"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actively participate in international forums on the resilience of telecommunications/ICTs, sharing knowledge and experiences </w:t>
      </w:r>
      <w:r w:rsidR="000E31F4" w:rsidRPr="00B670FD">
        <w:rPr>
          <w:rFonts w:asciiTheme="minorHAnsi" w:hAnsiTheme="minorHAnsi" w:cstheme="minorHAnsi"/>
          <w:sz w:val="22"/>
          <w:szCs w:val="22"/>
        </w:rPr>
        <w:t>‘</w:t>
      </w:r>
    </w:p>
    <w:p w14:paraId="21D944B9"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support international activities to promote capacity building for resilience, especially for Least Developed Countries, Landlocked Developing Countries, and Small Island Developing States, </w:t>
      </w:r>
    </w:p>
    <w:p w14:paraId="2BEA15DF"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encourage and enable investment in infrastructure by creating incentives or other measures that promote private sector investment in resilient telecommunication/ICT infrastructure, particularly in unserved, underserved, and geographically challenging </w:t>
      </w:r>
      <w:proofErr w:type="gramStart"/>
      <w:r w:rsidRPr="00B670FD">
        <w:rPr>
          <w:rFonts w:asciiTheme="minorHAnsi" w:hAnsiTheme="minorHAnsi" w:cstheme="minorHAnsi"/>
          <w:sz w:val="22"/>
          <w:szCs w:val="22"/>
        </w:rPr>
        <w:t>areas;</w:t>
      </w:r>
      <w:proofErr w:type="gramEnd"/>
    </w:p>
    <w:p w14:paraId="71CF8C17"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adopt resilience strategies, including disaster risk management and outage response plans, to maintain public trust and secure sensitive information during crises and </w:t>
      </w:r>
      <w:proofErr w:type="gramStart"/>
      <w:r w:rsidRPr="00B670FD">
        <w:rPr>
          <w:rFonts w:asciiTheme="minorHAnsi" w:hAnsiTheme="minorHAnsi" w:cstheme="minorHAnsi"/>
          <w:sz w:val="22"/>
          <w:szCs w:val="22"/>
        </w:rPr>
        <w:t>disruptions;</w:t>
      </w:r>
      <w:proofErr w:type="gramEnd"/>
    </w:p>
    <w:p w14:paraId="285E3A3D"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promote policies that strengthen the security and resilience of telecommunication/ICT supply chains, ensuring the availability of secure, and resilient equipment;]</w:t>
      </w:r>
    </w:p>
    <w:p w14:paraId="361CA530" w14:textId="77777777" w:rsidR="000E31F4" w:rsidRPr="00B670FD" w:rsidRDefault="00623F1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the role of emerging technologies, such as artificial intelligence and satellite networks, in enhancing early warning systems, threat detection, and adaptive response strategies for telecommunications/ICT resilience,</w:t>
      </w:r>
    </w:p>
    <w:p w14:paraId="359B2661" w14:textId="77777777" w:rsidR="000E31F4" w:rsidRPr="00B670FD" w:rsidRDefault="000E31F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
      </w:r>
      <w:r w:rsidR="00623F14" w:rsidRPr="00B670FD">
        <w:rPr>
          <w:rFonts w:asciiTheme="minorHAnsi" w:hAnsiTheme="minorHAnsi" w:cstheme="minorHAnsi"/>
          <w:sz w:val="22"/>
          <w:szCs w:val="22"/>
        </w:rPr>
        <w:t>to facilitate follow-up on the Abuja Declaration outcomes through ITU-T and ITU-D study groups and regional initiatives;]</w:t>
      </w:r>
    </w:p>
    <w:p w14:paraId="1E4233AD" w14:textId="6EFBF0A4" w:rsidR="00623F14" w:rsidRPr="00B670FD" w:rsidRDefault="000E31F4" w:rsidP="004B73DD">
      <w:pPr>
        <w:pStyle w:val="ListParagraph"/>
        <w:numPr>
          <w:ilvl w:val="0"/>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
      </w:r>
      <w:r w:rsidR="00623F14" w:rsidRPr="00B670FD">
        <w:rPr>
          <w:rFonts w:asciiTheme="minorHAnsi" w:hAnsiTheme="minorHAnsi" w:cstheme="minorHAnsi"/>
          <w:sz w:val="22"/>
          <w:szCs w:val="22"/>
        </w:rPr>
        <w:t>to ensure that the lessons and best practices from the Abuja Summit inform ITU capacity-building activities, technical standards, and policy guidance on critical ICT infrastructure resilience,]</w:t>
      </w:r>
    </w:p>
    <w:p w14:paraId="6CC53A21" w14:textId="77777777" w:rsidR="00623F14" w:rsidRPr="00B670FD" w:rsidRDefault="00623F14" w:rsidP="004B73DD">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invites the Secretary-General</w:t>
      </w:r>
    </w:p>
    <w:p w14:paraId="6553EC5D" w14:textId="326C05D0" w:rsidR="00623F14" w:rsidRPr="00B670FD" w:rsidRDefault="00623F14" w:rsidP="004B73DD">
      <w:pPr>
        <w:numPr>
          <w:ilvl w:val="0"/>
          <w:numId w:val="23"/>
        </w:numPr>
        <w:tabs>
          <w:tab w:val="clear" w:pos="1134"/>
          <w:tab w:val="clear" w:pos="1701"/>
          <w:tab w:val="clear" w:pos="2268"/>
          <w:tab w:val="clear" w:pos="2835"/>
        </w:tabs>
        <w:overflowPunct/>
        <w:autoSpaceDE/>
        <w:autoSpaceDN/>
        <w:adjustRightInd/>
        <w:ind w:left="0" w:firstLine="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continue to facilitate and enhance international efforts to strengthen and </w:t>
      </w:r>
      <w:r w:rsidR="000E31F4" w:rsidRPr="00B670FD">
        <w:rPr>
          <w:rFonts w:asciiTheme="minorHAnsi" w:hAnsiTheme="minorHAnsi" w:cstheme="minorHAnsi"/>
          <w:sz w:val="22"/>
          <w:szCs w:val="22"/>
        </w:rPr>
        <w:t>modernize frameworks and</w:t>
      </w:r>
      <w:r w:rsidRPr="00B670FD">
        <w:rPr>
          <w:rFonts w:asciiTheme="minorHAnsi" w:hAnsiTheme="minorHAnsi" w:cstheme="minorHAnsi"/>
          <w:sz w:val="22"/>
          <w:szCs w:val="22"/>
        </w:rPr>
        <w:t xml:space="preserve"> promote the resilience of telecommunications/ICT systems. </w:t>
      </w:r>
    </w:p>
    <w:p w14:paraId="5F9F86AC" w14:textId="77777777" w:rsidR="00623F14" w:rsidRPr="00623F14" w:rsidRDefault="00623F14" w:rsidP="004B73DD">
      <w:pPr>
        <w:numPr>
          <w:ilvl w:val="0"/>
          <w:numId w:val="23"/>
        </w:numPr>
        <w:tabs>
          <w:tab w:val="clear" w:pos="1134"/>
          <w:tab w:val="clear" w:pos="1701"/>
          <w:tab w:val="clear" w:pos="2268"/>
          <w:tab w:val="clear" w:pos="2835"/>
        </w:tabs>
        <w:overflowPunct/>
        <w:autoSpaceDE/>
        <w:autoSpaceDN/>
        <w:adjustRightInd/>
        <w:ind w:left="0" w:firstLine="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ensure that the ITU continues to support Member States in developing and strengthening policy and regulatory frameworks for ICT and telecommunications resilience.</w:t>
      </w:r>
    </w:p>
    <w:p w14:paraId="4071A6EF" w14:textId="43FF4632" w:rsidR="00AA1F3A" w:rsidRDefault="004B73DD" w:rsidP="00EB053E">
      <w:pPr>
        <w:tabs>
          <w:tab w:val="clear" w:pos="567"/>
          <w:tab w:val="clear" w:pos="1134"/>
          <w:tab w:val="clear" w:pos="1701"/>
          <w:tab w:val="clear" w:pos="2268"/>
          <w:tab w:val="clear" w:pos="2835"/>
        </w:tabs>
        <w:overflowPunct/>
        <w:autoSpaceDE/>
        <w:autoSpaceDN/>
        <w:adjustRightInd/>
        <w:spacing w:before="160"/>
        <w:jc w:val="center"/>
        <w:textAlignment w:val="auto"/>
      </w:pPr>
      <w:r>
        <w:br w:type="page"/>
      </w:r>
    </w:p>
    <w:p w14:paraId="2AC42172" w14:textId="4073C87C" w:rsidR="00DD3DEE" w:rsidRPr="009812C4" w:rsidRDefault="00DD3DEE" w:rsidP="004B73DD">
      <w:pPr>
        <w:pStyle w:val="Annextitle"/>
        <w:rPr>
          <w:rFonts w:eastAsia="Calibri"/>
        </w:rPr>
      </w:pPr>
      <w:r w:rsidRPr="009812C4">
        <w:rPr>
          <w:rFonts w:eastAsia="Calibri"/>
        </w:rPr>
        <w:t xml:space="preserve">DRAFT OPINION </w:t>
      </w:r>
      <w:r>
        <w:rPr>
          <w:rFonts w:eastAsia="Calibri"/>
        </w:rPr>
        <w:t>4</w:t>
      </w:r>
      <w:r w:rsidRPr="009812C4">
        <w:rPr>
          <w:rFonts w:eastAsia="Calibri"/>
        </w:rPr>
        <w:t xml:space="preserve">: </w:t>
      </w:r>
      <w:r>
        <w:rPr>
          <w:rFonts w:eastAsia="Calibri"/>
        </w:rPr>
        <w:t>S</w:t>
      </w:r>
      <w:r w:rsidRPr="00DD3DEE">
        <w:rPr>
          <w:rFonts w:eastAsia="Calibri"/>
        </w:rPr>
        <w:t>pace connectivity</w:t>
      </w:r>
    </w:p>
    <w:p w14:paraId="51BA401F" w14:textId="77777777" w:rsidR="00491985" w:rsidRPr="00B670FD" w:rsidRDefault="00491985" w:rsidP="004B73DD">
      <w:pPr>
        <w:pStyle w:val="Normalaftertitle"/>
        <w:rPr>
          <w:rFonts w:asciiTheme="minorHAnsi" w:eastAsia="Calibri" w:hAnsiTheme="minorHAnsi" w:cstheme="minorHAnsi"/>
          <w:sz w:val="22"/>
          <w:szCs w:val="22"/>
        </w:rPr>
      </w:pPr>
      <w:r w:rsidRPr="00B670FD">
        <w:rPr>
          <w:rFonts w:asciiTheme="minorHAnsi" w:eastAsia="Calibri" w:hAnsiTheme="minorHAnsi" w:cstheme="minorHAnsi"/>
          <w:sz w:val="22"/>
          <w:szCs w:val="22"/>
        </w:rPr>
        <w:t>The seventh World Telecommunication/ICT Policy Forum (Bahamas, 2026),</w:t>
      </w:r>
    </w:p>
    <w:p w14:paraId="713AD6ED" w14:textId="77777777" w:rsidR="00491985" w:rsidRPr="00B670FD" w:rsidRDefault="00491985"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recalling</w:t>
      </w:r>
    </w:p>
    <w:p w14:paraId="795430FD" w14:textId="6BCE5BAB"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Resolution 70/1 of the United Nations General Assembly (UNGA), on Transforming our world: the 2030 Agenda for Sustainable </w:t>
      </w:r>
      <w:proofErr w:type="gramStart"/>
      <w:r w:rsidRPr="00B670FD">
        <w:rPr>
          <w:rFonts w:asciiTheme="minorHAnsi" w:eastAsia="Calibri" w:hAnsiTheme="minorHAnsi" w:cstheme="minorHAnsi"/>
          <w:sz w:val="22"/>
          <w:szCs w:val="22"/>
          <w:lang w:eastAsia="zh-CN"/>
        </w:rPr>
        <w:t>Development;</w:t>
      </w:r>
      <w:proofErr w:type="gramEnd"/>
    </w:p>
    <w:p w14:paraId="2DE85385" w14:textId="76821853"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Resolution 76/3 of the United Nations General Assembly (UNGA) on the “Space2030” Agenda: space as a driver of sustainable </w:t>
      </w:r>
      <w:proofErr w:type="gramStart"/>
      <w:r w:rsidRPr="00B670FD">
        <w:rPr>
          <w:rFonts w:asciiTheme="minorHAnsi" w:eastAsia="Calibri" w:hAnsiTheme="minorHAnsi" w:cstheme="minorHAnsi"/>
          <w:sz w:val="22"/>
          <w:szCs w:val="22"/>
          <w:lang w:eastAsia="zh-CN"/>
        </w:rPr>
        <w:t>development;</w:t>
      </w:r>
      <w:proofErr w:type="gramEnd"/>
      <w:r w:rsidRPr="00B670FD">
        <w:rPr>
          <w:rFonts w:asciiTheme="minorHAnsi" w:eastAsia="Calibri" w:hAnsiTheme="minorHAnsi" w:cstheme="minorHAnsi"/>
          <w:sz w:val="22"/>
          <w:szCs w:val="22"/>
          <w:lang w:eastAsia="zh-CN"/>
        </w:rPr>
        <w:t xml:space="preserve"> </w:t>
      </w:r>
    </w:p>
    <w:p w14:paraId="44D8E7AA" w14:textId="3DA760A6"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Cs/>
          <w:sz w:val="22"/>
          <w:szCs w:val="22"/>
          <w:lang w:eastAsia="zh-CN"/>
        </w:rPr>
        <w:t xml:space="preserve">the relevant provision of Article 44 of the ITU </w:t>
      </w:r>
      <w:proofErr w:type="gramStart"/>
      <w:r w:rsidRPr="00B670FD">
        <w:rPr>
          <w:rFonts w:asciiTheme="minorHAnsi" w:eastAsia="Calibri" w:hAnsiTheme="minorHAnsi" w:cstheme="minorHAnsi"/>
          <w:iCs/>
          <w:sz w:val="22"/>
          <w:szCs w:val="22"/>
          <w:lang w:eastAsia="zh-CN"/>
        </w:rPr>
        <w:t>Constitution;</w:t>
      </w:r>
      <w:proofErr w:type="gramEnd"/>
    </w:p>
    <w:p w14:paraId="503C3023" w14:textId="1B5EB8E9"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iCs/>
          <w:sz w:val="22"/>
          <w:szCs w:val="22"/>
          <w:lang w:eastAsia="zh-CN"/>
        </w:rPr>
        <w:t>relevant resolutions of the Plenipotentiary Conference related to the topic of space connectivity, including, among others, Resolution 139 (Bucharest, 2022), Resolution 186 (Rev. Bucharest, 2022), Resolution 218 (Bucharest, 2022), and Resolution 219 (Bucharest, 2022</w:t>
      </w:r>
      <w:proofErr w:type="gramStart"/>
      <w:r w:rsidRPr="00B670FD">
        <w:rPr>
          <w:rFonts w:asciiTheme="minorHAnsi" w:eastAsia="Calibri" w:hAnsiTheme="minorHAnsi" w:cstheme="minorHAnsi"/>
          <w:iCs/>
          <w:sz w:val="22"/>
          <w:szCs w:val="22"/>
          <w:lang w:eastAsia="zh-CN"/>
        </w:rPr>
        <w:t>);</w:t>
      </w:r>
      <w:proofErr w:type="gramEnd"/>
      <w:r w:rsidRPr="00B670FD">
        <w:rPr>
          <w:rFonts w:asciiTheme="minorHAnsi" w:eastAsia="Calibri" w:hAnsiTheme="minorHAnsi" w:cstheme="minorHAnsi"/>
          <w:iCs/>
          <w:sz w:val="22"/>
          <w:szCs w:val="22"/>
          <w:lang w:eastAsia="zh-CN"/>
        </w:rPr>
        <w:t xml:space="preserve"> </w:t>
      </w:r>
    </w:p>
    <w:p w14:paraId="300F7E37" w14:textId="3809D41C"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roofErr w:type="gramStart"/>
      <w:r w:rsidRPr="00B670FD">
        <w:rPr>
          <w:rFonts w:asciiTheme="minorHAnsi" w:eastAsia="Calibri" w:hAnsiTheme="minorHAnsi" w:cstheme="minorHAnsi"/>
          <w:sz w:val="22"/>
          <w:szCs w:val="22"/>
          <w:lang w:eastAsia="zh-CN"/>
        </w:rPr>
        <w:t>);</w:t>
      </w:r>
      <w:proofErr w:type="gramEnd"/>
    </w:p>
    <w:p w14:paraId="5D69D31A" w14:textId="0767301E"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i/>
          <w:iCs/>
          <w:sz w:val="22"/>
          <w:szCs w:val="22"/>
          <w:lang w:eastAsia="zh-CN"/>
        </w:rPr>
      </w:pPr>
      <w:r w:rsidRPr="00B670FD">
        <w:rPr>
          <w:rFonts w:asciiTheme="minorHAnsi" w:eastAsia="Calibri" w:hAnsiTheme="minorHAnsi" w:cstheme="minorHAnsi"/>
          <w:iCs/>
          <w:sz w:val="22"/>
          <w:szCs w:val="22"/>
          <w:lang w:eastAsia="zh-CN"/>
        </w:rPr>
        <w:t>relevant provisions of Article 18</w:t>
      </w:r>
      <w:r w:rsidRPr="00B670FD">
        <w:rPr>
          <w:rFonts w:asciiTheme="minorHAnsi" w:eastAsia="Calibri" w:hAnsiTheme="minorHAnsi" w:cstheme="minorHAnsi"/>
          <w:iCs/>
          <w:sz w:val="22"/>
          <w:szCs w:val="22"/>
          <w:lang w:val="en-US" w:eastAsia="zh-CN"/>
        </w:rPr>
        <w:t xml:space="preserve"> of the</w:t>
      </w:r>
      <w:r w:rsidRPr="00B670FD">
        <w:rPr>
          <w:rFonts w:asciiTheme="minorHAnsi" w:eastAsia="Calibri" w:hAnsiTheme="minorHAnsi" w:cstheme="minorHAnsi"/>
          <w:iCs/>
          <w:sz w:val="22"/>
          <w:szCs w:val="22"/>
          <w:lang w:eastAsia="zh-CN"/>
        </w:rPr>
        <w:t xml:space="preserve"> Radio Regulation (Rev. Dubai, 2023</w:t>
      </w:r>
      <w:proofErr w:type="gramStart"/>
      <w:r w:rsidRPr="00B670FD">
        <w:rPr>
          <w:rFonts w:asciiTheme="minorHAnsi" w:eastAsia="Calibri" w:hAnsiTheme="minorHAnsi" w:cstheme="minorHAnsi"/>
          <w:iCs/>
          <w:sz w:val="22"/>
          <w:szCs w:val="22"/>
          <w:lang w:eastAsia="zh-CN"/>
        </w:rPr>
        <w:t>);</w:t>
      </w:r>
      <w:proofErr w:type="gramEnd"/>
    </w:p>
    <w:p w14:paraId="3FD48574" w14:textId="376A48C4"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sz w:val="22"/>
          <w:szCs w:val="22"/>
          <w:lang w:eastAsia="zh-CN"/>
        </w:rPr>
        <w:t xml:space="preserve">[GSR-24 Best Practice Guidelines </w:t>
      </w:r>
      <w:r w:rsidRPr="00B670FD">
        <w:rPr>
          <w:rFonts w:asciiTheme="minorHAnsi" w:eastAsia="Calibri" w:hAnsiTheme="minorHAnsi" w:cstheme="minorHAnsi"/>
          <w:i/>
          <w:sz w:val="22"/>
          <w:szCs w:val="22"/>
          <w:lang w:eastAsia="zh-CN"/>
        </w:rPr>
        <w:t>Helping to chart the course of transformative technologies for positive impact</w:t>
      </w:r>
      <w:r w:rsidRPr="00B670FD">
        <w:rPr>
          <w:rFonts w:asciiTheme="minorHAnsi" w:eastAsia="Calibri" w:hAnsiTheme="minorHAnsi" w:cstheme="minorHAnsi"/>
          <w:iCs/>
          <w:sz w:val="22"/>
          <w:szCs w:val="22"/>
          <w:lang w:eastAsia="zh-CN"/>
        </w:rPr>
        <w:t>;]</w:t>
      </w:r>
    </w:p>
    <w:p w14:paraId="32FFD3B5" w14:textId="50F0C67C" w:rsidR="00491985" w:rsidRPr="00B670FD" w:rsidRDefault="00491985" w:rsidP="004B73DD">
      <w:pPr>
        <w:pStyle w:val="ListParagraph"/>
        <w:numPr>
          <w:ilvl w:val="2"/>
          <w:numId w:val="25"/>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Cs/>
          <w:sz w:val="22"/>
          <w:szCs w:val="22"/>
          <w:lang w:eastAsia="zh-CN"/>
        </w:rPr>
        <w:t xml:space="preserve">[GSR-25 Best Practice Guidelines </w:t>
      </w:r>
      <w:r w:rsidRPr="00B670FD">
        <w:rPr>
          <w:rFonts w:asciiTheme="minorHAnsi" w:eastAsia="Calibri" w:hAnsiTheme="minorHAnsi" w:cstheme="minorHAnsi"/>
          <w:i/>
          <w:sz w:val="22"/>
          <w:szCs w:val="22"/>
          <w:lang w:eastAsia="zh-CN"/>
        </w:rPr>
        <w:t>Empowering regulators as digital ecosystem builders,</w:t>
      </w:r>
      <w:r w:rsidRPr="00B670FD">
        <w:rPr>
          <w:rFonts w:asciiTheme="minorHAnsi" w:eastAsia="Calibri" w:hAnsiTheme="minorHAnsi" w:cstheme="minorHAnsi"/>
          <w:iCs/>
          <w:sz w:val="22"/>
          <w:szCs w:val="22"/>
          <w:lang w:eastAsia="zh-CN"/>
        </w:rPr>
        <w:t>]</w:t>
      </w:r>
    </w:p>
    <w:p w14:paraId="1B699761" w14:textId="77777777" w:rsidR="00491985" w:rsidRPr="00B670FD" w:rsidRDefault="00491985" w:rsidP="004B73DD">
      <w:pPr>
        <w:pStyle w:val="Call"/>
        <w:rPr>
          <w:rFonts w:asciiTheme="minorHAnsi" w:eastAsia="Calibri" w:hAnsiTheme="minorHAnsi" w:cstheme="minorHAnsi"/>
          <w:sz w:val="22"/>
          <w:szCs w:val="22"/>
          <w:highlight w:val="yellow"/>
        </w:rPr>
      </w:pPr>
      <w:r w:rsidRPr="00B670FD">
        <w:rPr>
          <w:rFonts w:asciiTheme="minorHAnsi" w:eastAsia="Calibri" w:hAnsiTheme="minorHAnsi" w:cstheme="minorHAnsi"/>
          <w:sz w:val="22"/>
          <w:szCs w:val="22"/>
        </w:rPr>
        <w:t>considering</w:t>
      </w:r>
    </w:p>
    <w:p w14:paraId="3CE128CC" w14:textId="00113361" w:rsidR="00491985" w:rsidRPr="00B670FD" w:rsidRDefault="00491985" w:rsidP="004B73DD">
      <w:pPr>
        <w:pStyle w:val="ListParagraph"/>
        <w:keepNext/>
        <w:keepLines/>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identifying and advocating tools and measures to accelerate space connectivity can support global economic prosperity, improve digital inclusion, and address disparities in access to space-based </w:t>
      </w:r>
      <w:proofErr w:type="gramStart"/>
      <w:r w:rsidRPr="00B670FD">
        <w:rPr>
          <w:rFonts w:asciiTheme="minorHAnsi" w:eastAsia="Calibri" w:hAnsiTheme="minorHAnsi" w:cstheme="minorHAnsi"/>
          <w:sz w:val="22"/>
          <w:szCs w:val="22"/>
          <w:lang w:eastAsia="zh-CN"/>
        </w:rPr>
        <w:t>technologies;</w:t>
      </w:r>
      <w:proofErr w:type="gramEnd"/>
    </w:p>
    <w:p w14:paraId="24E6FBAB" w14:textId="6B4C3F3E" w:rsidR="00491985" w:rsidRPr="00B670FD" w:rsidRDefault="00491985" w:rsidP="004B73DD">
      <w:pPr>
        <w:pStyle w:val="ListParagraph"/>
        <w:keepNext/>
        <w:keepLines/>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strengthening tools and platforms for international cooperation and development of international Radio Regulations for space-based telecommunication/ICT activities is vital to space connectivity, and for addressing digital divide challenges;</w:t>
      </w:r>
      <w:r w:rsidRPr="00B670FD" w:rsidDel="003A3E5A">
        <w:rPr>
          <w:rFonts w:asciiTheme="minorHAnsi" w:eastAsia="Calibri" w:hAnsiTheme="minorHAnsi" w:cstheme="minorHAnsi"/>
          <w:sz w:val="22"/>
          <w:szCs w:val="22"/>
          <w:lang w:eastAsia="zh-CN"/>
        </w:rPr>
        <w:t>]</w:t>
      </w:r>
    </w:p>
    <w:p w14:paraId="4C5195A1" w14:textId="4C85B33F" w:rsidR="00491985" w:rsidRPr="00B670FD" w:rsidRDefault="00491985" w:rsidP="004B73DD">
      <w:pPr>
        <w:pStyle w:val="ListParagraph"/>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innovative approaches and technologies for actively removing telecommunication space debris from Earth's orbit can help to ensure the sustainability of space operations and protect space assets, thereby supporting uninterrupted and equitable access to space-based telecommunication/ICT services;]</w:t>
      </w:r>
    </w:p>
    <w:p w14:paraId="70E61867" w14:textId="5B962EB2" w:rsidR="00491985" w:rsidRPr="00B670FD" w:rsidRDefault="00491985" w:rsidP="004B73DD">
      <w:pPr>
        <w:pStyle w:val="ListParagraph"/>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governments face both opportunities and challenges in harnessing space-based telecommunication/ICTs [for sustainable development], and that their role is crucial in shaping policies that foster innovation [while ensuring responsible use of space connectivity </w:t>
      </w:r>
      <w:proofErr w:type="gramStart"/>
      <w:r w:rsidRPr="00B670FD">
        <w:rPr>
          <w:rFonts w:asciiTheme="minorHAnsi" w:eastAsia="Calibri" w:hAnsiTheme="minorHAnsi" w:cstheme="minorHAnsi"/>
          <w:sz w:val="22"/>
          <w:szCs w:val="22"/>
          <w:lang w:eastAsia="zh-CN"/>
        </w:rPr>
        <w:t>resources  alt</w:t>
      </w:r>
      <w:proofErr w:type="gramEnd"/>
      <w:r w:rsidRPr="00B670FD">
        <w:rPr>
          <w:rFonts w:asciiTheme="minorHAnsi" w:eastAsia="Calibri" w:hAnsiTheme="minorHAnsi" w:cstheme="minorHAnsi"/>
          <w:sz w:val="22"/>
          <w:szCs w:val="22"/>
          <w:lang w:eastAsia="zh-CN"/>
        </w:rPr>
        <w:t xml:space="preserve"> </w:t>
      </w:r>
      <w:proofErr w:type="gramStart"/>
      <w:r w:rsidRPr="00B670FD">
        <w:rPr>
          <w:rFonts w:asciiTheme="minorHAnsi" w:eastAsia="Calibri" w:hAnsiTheme="minorHAnsi" w:cstheme="minorHAnsi"/>
          <w:sz w:val="22"/>
          <w:szCs w:val="22"/>
          <w:lang w:eastAsia="zh-CN"/>
        </w:rPr>
        <w:t>2 :</w:t>
      </w:r>
      <w:proofErr w:type="gramEnd"/>
      <w:r w:rsidRPr="00B670FD">
        <w:rPr>
          <w:rFonts w:asciiTheme="minorHAnsi" w:eastAsia="Calibri" w:hAnsiTheme="minorHAnsi" w:cstheme="minorHAnsi"/>
          <w:sz w:val="22"/>
          <w:szCs w:val="22"/>
          <w:lang w:eastAsia="zh-CN"/>
        </w:rPr>
        <w:t xml:space="preserve"> e.g./i.e. Spectrum and orbits;] alt 2: while ensuring the responsible use of spectrum and related satellite orbits]</w:t>
      </w:r>
    </w:p>
    <w:p w14:paraId="46431C3B" w14:textId="66BFF476" w:rsidR="00491985" w:rsidRPr="00B670FD" w:rsidRDefault="00491985" w:rsidP="004B73DD">
      <w:pPr>
        <w:pStyle w:val="ListParagraph"/>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the ITU Constitution recognizes the sovereign right of each Member State to regulate its telecommunications,</w:t>
      </w:r>
    </w:p>
    <w:p w14:paraId="179EE42B" w14:textId="54904BE5" w:rsidR="00491985" w:rsidRPr="00B670FD" w:rsidRDefault="00491985" w:rsidP="004B73DD">
      <w:pPr>
        <w:pStyle w:val="ListParagraph"/>
        <w:numPr>
          <w:ilvl w:val="2"/>
          <w:numId w:val="27"/>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ITU initiatives such as the Space Sustainability Forum are designed as opportunities to present, discuss, and delve deeply into the policies, best practices, guidelines, and strategies necessary to ensure that space remains accessible and sustainable for both current and future space activities,</w:t>
      </w:r>
    </w:p>
    <w:p w14:paraId="45A40C34" w14:textId="77777777" w:rsidR="00491985" w:rsidRPr="00B670FD" w:rsidRDefault="00491985"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recognising</w:t>
      </w:r>
    </w:p>
    <w:p w14:paraId="417504C7" w14:textId="559989FB"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the private sector has </w:t>
      </w:r>
      <w:r w:rsidRPr="00B670FD">
        <w:rPr>
          <w:rFonts w:asciiTheme="minorHAnsi" w:eastAsia="Calibri" w:hAnsiTheme="minorHAnsi" w:cstheme="minorHAnsi"/>
          <w:sz w:val="22"/>
          <w:szCs w:val="22"/>
          <w:lang w:eastAsia="zh-CN"/>
        </w:rPr>
        <w:t>a leading</w:t>
      </w:r>
      <w:r w:rsidRPr="00B670FD">
        <w:rPr>
          <w:rFonts w:asciiTheme="minorHAnsi" w:eastAsiaTheme="minorEastAsia" w:hAnsiTheme="minorHAnsi" w:cstheme="minorHAnsi"/>
          <w:sz w:val="22"/>
          <w:szCs w:val="22"/>
          <w:lang w:eastAsia="zh-CN"/>
        </w:rPr>
        <w:t xml:space="preserve"> role in deploying space-based connectivity systems, and that it continues to develop technological innovations and creative business models alongside other stakeholders including </w:t>
      </w:r>
      <w:r w:rsidRPr="00B670FD">
        <w:rPr>
          <w:rFonts w:asciiTheme="minorHAnsi" w:eastAsia="Calibri" w:hAnsiTheme="minorHAnsi" w:cstheme="minorHAnsi"/>
          <w:sz w:val="22"/>
          <w:szCs w:val="22"/>
          <w:lang w:eastAsia="zh-CN"/>
        </w:rPr>
        <w:t>government</w:t>
      </w:r>
      <w:r w:rsidRPr="00B670FD">
        <w:rPr>
          <w:rFonts w:asciiTheme="minorHAnsi" w:eastAsiaTheme="minorEastAsia" w:hAnsiTheme="minorHAnsi" w:cstheme="minorHAnsi"/>
          <w:sz w:val="22"/>
          <w:szCs w:val="22"/>
          <w:lang w:eastAsia="zh-CN"/>
        </w:rPr>
        <w:t>, academia, and civil</w:t>
      </w:r>
      <w:r w:rsidRPr="00B670FD">
        <w:rPr>
          <w:rFonts w:asciiTheme="minorHAnsi" w:eastAsia="Calibri" w:hAnsiTheme="minorHAnsi" w:cstheme="minorHAnsi"/>
          <w:sz w:val="22"/>
          <w:szCs w:val="22"/>
          <w:lang w:eastAsia="zh-CN"/>
        </w:rPr>
        <w:t xml:space="preserve"> </w:t>
      </w:r>
      <w:proofErr w:type="gramStart"/>
      <w:r w:rsidRPr="00B670FD">
        <w:rPr>
          <w:rFonts w:asciiTheme="minorHAnsi" w:eastAsiaTheme="minorEastAsia" w:hAnsiTheme="minorHAnsi" w:cstheme="minorHAnsi"/>
          <w:sz w:val="22"/>
          <w:szCs w:val="22"/>
          <w:lang w:eastAsia="zh-CN"/>
        </w:rPr>
        <w:t>society;</w:t>
      </w:r>
      <w:proofErr w:type="gramEnd"/>
    </w:p>
    <w:p w14:paraId="4145109F" w14:textId="1CD25FBB"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a digital divide remains between certain segments of populations who can access, afford and adopt broadband connectivity and those who cannot, and that obstacles to access are particularly prevalent in rural and remote </w:t>
      </w:r>
      <w:r w:rsidRPr="00B670FD">
        <w:rPr>
          <w:rFonts w:asciiTheme="minorHAnsi" w:eastAsia="Calibri" w:hAnsiTheme="minorHAnsi" w:cstheme="minorHAnsi"/>
          <w:sz w:val="22"/>
          <w:szCs w:val="22"/>
          <w:lang w:eastAsia="zh-CN"/>
        </w:rPr>
        <w:t>communities</w:t>
      </w:r>
      <w:r w:rsidRPr="00B670FD">
        <w:rPr>
          <w:rFonts w:asciiTheme="minorHAnsi" w:eastAsiaTheme="minorEastAsia" w:hAnsiTheme="minorHAnsi" w:cstheme="minorHAnsi"/>
          <w:sz w:val="22"/>
          <w:szCs w:val="22"/>
          <w:lang w:eastAsia="zh-CN"/>
        </w:rPr>
        <w:t xml:space="preserve"> in the least developed countries (LDCs), landlocked developing countries (LLDCs), and small island developing States (SIDS</w:t>
      </w:r>
      <w:proofErr w:type="gramStart"/>
      <w:r w:rsidRPr="00B670FD">
        <w:rPr>
          <w:rFonts w:asciiTheme="minorHAnsi" w:eastAsiaTheme="minorEastAsia" w:hAnsiTheme="minorHAnsi" w:cstheme="minorHAnsi"/>
          <w:sz w:val="22"/>
          <w:szCs w:val="22"/>
          <w:lang w:eastAsia="zh-CN"/>
        </w:rPr>
        <w:t>);</w:t>
      </w:r>
      <w:proofErr w:type="gramEnd"/>
    </w:p>
    <w:p w14:paraId="119B84CC" w14:textId="53752F17"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SimSun" w:hAnsiTheme="minorHAnsi" w:cstheme="minorHAnsi"/>
          <w:sz w:val="22"/>
          <w:szCs w:val="22"/>
          <w:lang w:val="en-US" w:eastAsia="zh-CN"/>
        </w:rPr>
      </w:pPr>
      <w:r w:rsidRPr="00B670FD">
        <w:rPr>
          <w:rFonts w:asciiTheme="minorHAnsi" w:eastAsia="SimSun" w:hAnsiTheme="minorHAnsi" w:cstheme="minorHAnsi"/>
          <w:sz w:val="22"/>
          <w:szCs w:val="22"/>
          <w:lang w:val="en-US" w:eastAsia="zh-CN"/>
        </w:rPr>
        <w:t>that s</w:t>
      </w:r>
      <w:r w:rsidRPr="00B670FD">
        <w:rPr>
          <w:rFonts w:asciiTheme="minorHAnsi" w:eastAsiaTheme="minorEastAsia" w:hAnsiTheme="minorHAnsi" w:cstheme="minorHAnsi"/>
          <w:sz w:val="22"/>
          <w:szCs w:val="22"/>
          <w:lang w:eastAsia="zh-CN"/>
        </w:rPr>
        <w:t xml:space="preserve">pace telecommunication systems have an ability to provide connectivity in wide geographical areas with potential deployment cost-savings due to a reduced need for ground infrastructure, providing a resilient solution for connectivity to people in low population density areas including under-served regions in </w:t>
      </w:r>
      <w:proofErr w:type="gramStart"/>
      <w:r w:rsidRPr="00B670FD">
        <w:rPr>
          <w:rFonts w:asciiTheme="minorHAnsi" w:eastAsiaTheme="minorEastAsia" w:hAnsiTheme="minorHAnsi" w:cstheme="minorHAnsi"/>
          <w:sz w:val="22"/>
          <w:szCs w:val="22"/>
          <w:lang w:eastAsia="zh-CN"/>
        </w:rPr>
        <w:t>LDCs</w:t>
      </w:r>
      <w:r w:rsidRPr="00B670FD">
        <w:rPr>
          <w:rFonts w:asciiTheme="minorHAnsi" w:eastAsia="SimSun" w:hAnsiTheme="minorHAnsi" w:cstheme="minorHAnsi"/>
          <w:sz w:val="22"/>
          <w:szCs w:val="22"/>
          <w:lang w:val="en-US" w:eastAsia="zh-CN"/>
        </w:rPr>
        <w:t>;</w:t>
      </w:r>
      <w:proofErr w:type="gramEnd"/>
    </w:p>
    <w:p w14:paraId="16424234" w14:textId="6A5C372B"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val="en-US" w:eastAsia="zh-CN"/>
        </w:rPr>
        <w:t xml:space="preserve">that </w:t>
      </w:r>
      <w:r w:rsidRPr="00B670FD">
        <w:rPr>
          <w:rFonts w:asciiTheme="minorHAnsi" w:eastAsiaTheme="minorEastAsia" w:hAnsiTheme="minorHAnsi" w:cstheme="minorHAnsi"/>
          <w:sz w:val="22"/>
          <w:szCs w:val="22"/>
          <w:lang w:eastAsia="zh-CN"/>
        </w:rPr>
        <w:t xml:space="preserve">satellites in geostationary orbit (GSO) and non-geostationary orbit (non-GSO) </w:t>
      </w:r>
      <w:r w:rsidRPr="00B670FD">
        <w:rPr>
          <w:rFonts w:asciiTheme="minorHAnsi" w:eastAsiaTheme="minorEastAsia" w:hAnsiTheme="minorHAnsi" w:cstheme="minorHAnsi"/>
          <w:sz w:val="22"/>
          <w:szCs w:val="22"/>
          <w:lang w:val="en-US" w:eastAsia="zh-CN"/>
        </w:rPr>
        <w:t>have</w:t>
      </w:r>
      <w:r w:rsidRPr="00B670FD">
        <w:rPr>
          <w:rFonts w:asciiTheme="minorHAnsi" w:eastAsiaTheme="minorEastAsia" w:hAnsiTheme="minorHAnsi" w:cstheme="minorHAnsi"/>
          <w:sz w:val="22"/>
          <w:szCs w:val="22"/>
          <w:lang w:eastAsia="zh-CN"/>
        </w:rPr>
        <w:t xml:space="preserve"> been contributing to bridge the digital divide worldwide and can keep contributing to this </w:t>
      </w:r>
      <w:proofErr w:type="gramStart"/>
      <w:r w:rsidRPr="00B670FD">
        <w:rPr>
          <w:rFonts w:asciiTheme="minorHAnsi" w:eastAsiaTheme="minorEastAsia" w:hAnsiTheme="minorHAnsi" w:cstheme="minorHAnsi"/>
          <w:sz w:val="22"/>
          <w:szCs w:val="22"/>
          <w:lang w:eastAsia="zh-CN"/>
        </w:rPr>
        <w:t>goal;</w:t>
      </w:r>
      <w:proofErr w:type="gramEnd"/>
      <w:r w:rsidRPr="00B670FD">
        <w:rPr>
          <w:rFonts w:asciiTheme="minorHAnsi" w:eastAsiaTheme="minorEastAsia" w:hAnsiTheme="minorHAnsi" w:cstheme="minorHAnsi"/>
          <w:sz w:val="22"/>
          <w:szCs w:val="22"/>
          <w:lang w:eastAsia="zh-CN"/>
        </w:rPr>
        <w:t xml:space="preserve"> </w:t>
      </w:r>
    </w:p>
    <w:p w14:paraId="06F2924C" w14:textId="3A3035B7"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the expanding space connectivity infrastructure and services and the technological developments in space-based connectivity systems including, but not limited to, </w:t>
      </w:r>
      <w:r w:rsidRPr="00B670FD">
        <w:rPr>
          <w:rFonts w:asciiTheme="minorHAnsi" w:eastAsia="Calibri" w:hAnsiTheme="minorHAnsi" w:cstheme="minorHAnsi"/>
          <w:sz w:val="22"/>
          <w:szCs w:val="22"/>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w:t>
      </w:r>
      <w:proofErr w:type="gramStart"/>
      <w:r w:rsidRPr="00B670FD">
        <w:rPr>
          <w:rFonts w:asciiTheme="minorHAnsi" w:eastAsia="Calibri" w:hAnsiTheme="minorHAnsi" w:cstheme="minorHAnsi"/>
          <w:sz w:val="22"/>
          <w:szCs w:val="22"/>
          <w:lang w:eastAsia="zh-CN"/>
        </w:rPr>
        <w:t>opportunities;</w:t>
      </w:r>
      <w:proofErr w:type="gramEnd"/>
      <w:r w:rsidRPr="00B670FD">
        <w:rPr>
          <w:rFonts w:asciiTheme="minorHAnsi" w:eastAsia="Calibri" w:hAnsiTheme="minorHAnsi" w:cstheme="minorHAnsi"/>
          <w:sz w:val="22"/>
          <w:szCs w:val="22"/>
          <w:lang w:eastAsia="zh-CN"/>
        </w:rPr>
        <w:t xml:space="preserve"> </w:t>
      </w:r>
    </w:p>
    <w:p w14:paraId="22E31313" w14:textId="3A5E47FF"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SimSun"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w:t>
      </w:r>
      <w:r w:rsidRPr="00B670FD">
        <w:rPr>
          <w:rFonts w:asciiTheme="minorHAnsi" w:eastAsia="SimSun" w:hAnsiTheme="minorHAnsi" w:cstheme="minorHAnsi"/>
          <w:sz w:val="22"/>
          <w:szCs w:val="22"/>
          <w:lang w:val="en-US" w:eastAsia="zh-CN"/>
        </w:rPr>
        <w:t xml:space="preserve">space-based telecommunication technologies </w:t>
      </w:r>
      <w:r w:rsidRPr="00B670FD">
        <w:rPr>
          <w:rFonts w:asciiTheme="minorHAnsi" w:eastAsiaTheme="minorEastAsia" w:hAnsiTheme="minorHAnsi" w:cstheme="minorHAnsi"/>
          <w:sz w:val="22"/>
          <w:szCs w:val="22"/>
          <w:lang w:eastAsia="zh-CN"/>
        </w:rPr>
        <w:t xml:space="preserve">used by both non-GSO and GSO systems are rapidly evolving, and that the complementarity [and the compatibility] of the two systems is one of the key opportunities for expanding </w:t>
      </w:r>
      <w:proofErr w:type="gramStart"/>
      <w:r w:rsidRPr="00B670FD">
        <w:rPr>
          <w:rFonts w:asciiTheme="minorHAnsi" w:eastAsiaTheme="minorEastAsia" w:hAnsiTheme="minorHAnsi" w:cstheme="minorHAnsi"/>
          <w:sz w:val="22"/>
          <w:szCs w:val="22"/>
          <w:lang w:eastAsia="zh-CN"/>
        </w:rPr>
        <w:t>connectivity</w:t>
      </w:r>
      <w:r w:rsidRPr="00B670FD">
        <w:rPr>
          <w:rFonts w:asciiTheme="minorHAnsi" w:eastAsia="SimSun" w:hAnsiTheme="minorHAnsi" w:cstheme="minorHAnsi"/>
          <w:sz w:val="22"/>
          <w:szCs w:val="22"/>
          <w:lang w:val="en-US" w:eastAsia="zh-CN"/>
        </w:rPr>
        <w:t>;</w:t>
      </w:r>
      <w:proofErr w:type="gramEnd"/>
    </w:p>
    <w:p w14:paraId="7C5F92D8" w14:textId="3C2137EB"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bookmarkStart w:id="3" w:name="_Hlk175572783"/>
      <w:r w:rsidRPr="00B670FD">
        <w:rPr>
          <w:rFonts w:asciiTheme="minorHAnsi" w:eastAsia="Calibri" w:hAnsiTheme="minorHAnsi" w:cstheme="minorHAnsi"/>
          <w:sz w:val="22"/>
          <w:szCs w:val="22"/>
          <w:lang w:eastAsia="zh-CN"/>
        </w:rPr>
        <w:t xml:space="preserve">that industry best practices, combined with enabling policy and regulatory frameworks, contribute to maximizing the potential of space-based connectivity </w:t>
      </w:r>
      <w:proofErr w:type="gramStart"/>
      <w:r w:rsidRPr="00B670FD">
        <w:rPr>
          <w:rFonts w:asciiTheme="minorHAnsi" w:eastAsia="Calibri" w:hAnsiTheme="minorHAnsi" w:cstheme="minorHAnsi"/>
          <w:sz w:val="22"/>
          <w:szCs w:val="22"/>
          <w:lang w:eastAsia="zh-CN"/>
        </w:rPr>
        <w:t>technologies</w:t>
      </w:r>
      <w:bookmarkEnd w:id="3"/>
      <w:r w:rsidRPr="00B670FD">
        <w:rPr>
          <w:rFonts w:asciiTheme="minorHAnsi" w:eastAsia="Calibri" w:hAnsiTheme="minorHAnsi" w:cstheme="minorHAnsi"/>
          <w:sz w:val="22"/>
          <w:szCs w:val="22"/>
          <w:lang w:eastAsia="zh-CN"/>
        </w:rPr>
        <w:t>;</w:t>
      </w:r>
      <w:proofErr w:type="gramEnd"/>
    </w:p>
    <w:p w14:paraId="79916B97" w14:textId="0C3D0587"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space-based telecommunications/ICTs can positively contribute to </w:t>
      </w:r>
      <w:proofErr w:type="gramStart"/>
      <w:r w:rsidRPr="00B670FD">
        <w:rPr>
          <w:rFonts w:asciiTheme="minorHAnsi" w:eastAsia="Calibri" w:hAnsiTheme="minorHAnsi" w:cstheme="minorHAnsi"/>
          <w:sz w:val="22"/>
          <w:szCs w:val="22"/>
          <w:lang w:eastAsia="zh-CN"/>
        </w:rPr>
        <w:t>the a</w:t>
      </w:r>
      <w:proofErr w:type="gramEnd"/>
      <w:r w:rsidRPr="00B670FD">
        <w:rPr>
          <w:rFonts w:asciiTheme="minorHAnsi" w:eastAsia="Calibri" w:hAnsiTheme="minorHAnsi" w:cstheme="minorHAnsi"/>
          <w:sz w:val="22"/>
          <w:szCs w:val="22"/>
          <w:lang w:eastAsia="zh-CN"/>
        </w:rPr>
        <w:t xml:space="preserve"> common goal of both public and private space activities towards safe space operations and the long-term sustainability of outer space </w:t>
      </w:r>
      <w:proofErr w:type="gramStart"/>
      <w:r w:rsidRPr="00B670FD">
        <w:rPr>
          <w:rFonts w:asciiTheme="minorHAnsi" w:eastAsia="Calibri" w:hAnsiTheme="minorHAnsi" w:cstheme="minorHAnsi"/>
          <w:sz w:val="22"/>
          <w:szCs w:val="22"/>
          <w:lang w:eastAsia="zh-CN"/>
        </w:rPr>
        <w:t>activities;</w:t>
      </w:r>
      <w:proofErr w:type="gramEnd"/>
    </w:p>
    <w:p w14:paraId="5AD97B43" w14:textId="13332365"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val="en-US" w:eastAsia="zh-CN"/>
        </w:rPr>
      </w:pPr>
      <w:r w:rsidRPr="00B670FD">
        <w:rPr>
          <w:rFonts w:asciiTheme="minorHAnsi" w:eastAsiaTheme="minorEastAsia" w:hAnsiTheme="minorHAnsi" w:cstheme="minorHAnsi"/>
          <w:sz w:val="22"/>
          <w:szCs w:val="22"/>
          <w:lang w:eastAsia="zh-CN"/>
        </w:rPr>
        <w:t xml:space="preserve">[that along with the </w:t>
      </w:r>
      <w:r w:rsidRPr="00B670FD">
        <w:rPr>
          <w:rFonts w:asciiTheme="minorHAnsi" w:eastAsiaTheme="minorEastAsia" w:hAnsiTheme="minorHAnsi" w:cstheme="minorHAnsi"/>
          <w:sz w:val="22"/>
          <w:szCs w:val="22"/>
          <w:lang w:val="en-US" w:eastAsia="zh-CN"/>
        </w:rPr>
        <w:t>rapid</w:t>
      </w:r>
      <w:r w:rsidRPr="00B670FD">
        <w:rPr>
          <w:rFonts w:asciiTheme="minorHAnsi" w:eastAsiaTheme="minorEastAsia" w:hAnsiTheme="minorHAnsi" w:cstheme="minorHAnsi"/>
          <w:sz w:val="22"/>
          <w:szCs w:val="22"/>
          <w:lang w:eastAsia="zh-CN"/>
        </w:rPr>
        <w:t xml:space="preserve"> deployment of LEO satellites, especially the ones with inter-satellite links (ISL), evolving </w:t>
      </w:r>
      <w:r w:rsidRPr="00B670FD">
        <w:rPr>
          <w:rFonts w:asciiTheme="minorHAnsi" w:eastAsia="SimSun" w:hAnsiTheme="minorHAnsi" w:cstheme="minorHAnsi"/>
          <w:sz w:val="22"/>
          <w:szCs w:val="22"/>
          <w:lang w:eastAsia="zh-CN"/>
        </w:rPr>
        <w:t>regulatory</w:t>
      </w:r>
      <w:r w:rsidRPr="00B670FD">
        <w:rPr>
          <w:rFonts w:asciiTheme="minorHAnsi" w:eastAsiaTheme="minorEastAsia" w:hAnsiTheme="minorHAnsi" w:cstheme="minorHAnsi"/>
          <w:sz w:val="22"/>
          <w:szCs w:val="22"/>
          <w:lang w:eastAsia="zh-CN"/>
        </w:rPr>
        <w:t xml:space="preserve"> approaches including licencing may address issues regarding security risks and data sovereignty</w:t>
      </w:r>
      <w:r w:rsidRPr="00B670FD">
        <w:rPr>
          <w:rFonts w:asciiTheme="minorHAnsi" w:eastAsiaTheme="minorEastAsia" w:hAnsiTheme="minorHAnsi" w:cstheme="minorHAnsi"/>
          <w:sz w:val="22"/>
          <w:szCs w:val="22"/>
          <w:lang w:val="en-US" w:eastAsia="zh-CN"/>
        </w:rPr>
        <w:t>;]</w:t>
      </w:r>
    </w:p>
    <w:p w14:paraId="645A9979" w14:textId="741914BD"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val="en-US" w:eastAsia="zh-CN"/>
        </w:rPr>
      </w:pPr>
      <w:r w:rsidRPr="00B670FD">
        <w:rPr>
          <w:rFonts w:asciiTheme="minorHAnsi" w:eastAsia="Calibri" w:hAnsiTheme="minorHAnsi" w:cstheme="minorHAnsi"/>
          <w:sz w:val="22"/>
          <w:szCs w:val="22"/>
          <w:lang w:eastAsia="zh-CN"/>
        </w:rPr>
        <w:t xml:space="preserve">that equitable access to space connectivity calls for reflection on challenges still to be addressed, such as [space debris proliferation, space traffic coordination improvement] and space connectivity resources </w:t>
      </w:r>
      <w:proofErr w:type="gramStart"/>
      <w:r w:rsidRPr="00B670FD">
        <w:rPr>
          <w:rFonts w:asciiTheme="minorHAnsi" w:eastAsia="Calibri" w:hAnsiTheme="minorHAnsi" w:cstheme="minorHAnsi"/>
          <w:sz w:val="22"/>
          <w:szCs w:val="22"/>
          <w:lang w:eastAsia="zh-CN"/>
        </w:rPr>
        <w:t>utilization</w:t>
      </w:r>
      <w:r w:rsidR="00C91E8D" w:rsidRPr="00B670FD">
        <w:rPr>
          <w:rFonts w:asciiTheme="minorHAnsi" w:eastAsia="Calibri" w:hAnsiTheme="minorHAnsi" w:cstheme="minorHAnsi"/>
          <w:sz w:val="22"/>
          <w:szCs w:val="22"/>
          <w:lang w:eastAsia="zh-CN"/>
        </w:rPr>
        <w:t>;</w:t>
      </w:r>
      <w:proofErr w:type="gramEnd"/>
      <w:r w:rsidR="00C91E8D" w:rsidRPr="00B670FD">
        <w:rPr>
          <w:rFonts w:asciiTheme="minorHAnsi" w:eastAsia="Calibri" w:hAnsiTheme="minorHAnsi" w:cstheme="minorHAnsi"/>
          <w:sz w:val="22"/>
          <w:szCs w:val="22"/>
          <w:lang w:eastAsia="zh-CN"/>
        </w:rPr>
        <w:t xml:space="preserve"> </w:t>
      </w:r>
    </w:p>
    <w:p w14:paraId="02BE9286" w14:textId="68FF12C8" w:rsidR="00491985" w:rsidRPr="00B670FD" w:rsidRDefault="00491985" w:rsidP="004B73DD">
      <w:pPr>
        <w:pStyle w:val="ListParagraph"/>
        <w:numPr>
          <w:ilvl w:val="2"/>
          <w:numId w:val="29"/>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val="en-US" w:eastAsia="zh-CN"/>
        </w:rPr>
      </w:pPr>
      <w:r w:rsidRPr="00B670FD">
        <w:rPr>
          <w:rFonts w:asciiTheme="minorHAnsi" w:eastAsia="Calibri" w:hAnsiTheme="minorHAnsi" w:cstheme="minorHAnsi"/>
          <w:sz w:val="22"/>
          <w:szCs w:val="22"/>
          <w:lang w:eastAsia="zh-CN"/>
        </w:rPr>
        <w:t>that the ITU has a specific mandate over telecommunications/ICTs, including space-based telecommunications/ICTs, that complements competencies within the wider United Nations system and that efforts need to be coordinated to avoid duplication of efforts across agencies,</w:t>
      </w:r>
    </w:p>
    <w:p w14:paraId="6407D0CE" w14:textId="77777777" w:rsidR="00491985" w:rsidRPr="00B670FD" w:rsidRDefault="00491985" w:rsidP="004B73DD">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is of the view</w:t>
      </w:r>
    </w:p>
    <w:p w14:paraId="1AE25C89" w14:textId="417F12E7"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w:t>
      </w:r>
      <w:r w:rsidRPr="00B670FD">
        <w:rPr>
          <w:rFonts w:asciiTheme="minorHAnsi" w:eastAsia="Calibri" w:hAnsiTheme="minorHAnsi" w:cstheme="minorHAnsi"/>
          <w:sz w:val="22"/>
          <w:szCs w:val="22"/>
          <w:lang w:eastAsia="zh-CN"/>
        </w:rPr>
        <w:t>the</w:t>
      </w:r>
      <w:r w:rsidRPr="00B670FD">
        <w:rPr>
          <w:rFonts w:asciiTheme="minorHAnsi" w:eastAsiaTheme="minorEastAsia" w:hAnsiTheme="minorHAnsi" w:cstheme="minorHAnsi"/>
          <w:sz w:val="22"/>
          <w:szCs w:val="22"/>
          <w:lang w:eastAsia="zh-CN"/>
        </w:rPr>
        <w:t xml:space="preserve"> use of space-based telecommunication/ICT networks, independently or </w:t>
      </w:r>
      <w:r w:rsidRPr="00B670FD">
        <w:rPr>
          <w:rFonts w:asciiTheme="minorHAnsi" w:eastAsia="Calibri" w:hAnsiTheme="minorHAnsi" w:cstheme="minorHAnsi"/>
          <w:sz w:val="22"/>
          <w:szCs w:val="22"/>
          <w:lang w:eastAsia="zh-CN"/>
        </w:rPr>
        <w:t xml:space="preserve">together with terrestrial networks, can support [sustainable], social and economic development and particularly for under-connected areas, including in LDCs, LLDCs, and </w:t>
      </w:r>
      <w:proofErr w:type="gramStart"/>
      <w:r w:rsidRPr="00B670FD">
        <w:rPr>
          <w:rFonts w:asciiTheme="minorHAnsi" w:eastAsia="Calibri" w:hAnsiTheme="minorHAnsi" w:cstheme="minorHAnsi"/>
          <w:sz w:val="22"/>
          <w:szCs w:val="22"/>
          <w:lang w:eastAsia="zh-CN"/>
        </w:rPr>
        <w:t>SIDS;</w:t>
      </w:r>
      <w:proofErr w:type="gramEnd"/>
    </w:p>
    <w:p w14:paraId="7904BB3F" w14:textId="78D6480E"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promoting a sustainable ecosystem aimed at the development and deployment of space-based telecommunication/ICT networks is essential for ensuring long-term benefits and addressing emerging </w:t>
      </w:r>
      <w:proofErr w:type="gramStart"/>
      <w:r w:rsidRPr="00B670FD">
        <w:rPr>
          <w:rFonts w:asciiTheme="minorHAnsi" w:eastAsia="Calibri" w:hAnsiTheme="minorHAnsi" w:cstheme="minorHAnsi"/>
          <w:sz w:val="22"/>
          <w:szCs w:val="22"/>
          <w:lang w:eastAsia="zh-CN"/>
        </w:rPr>
        <w:t>challenges;</w:t>
      </w:r>
      <w:proofErr w:type="gramEnd"/>
    </w:p>
    <w:p w14:paraId="45906B07" w14:textId="4BEC8611"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the establishment of an enabling environment based on transparent, stable, predictable, updated, flexible, and non-discriminatory policies and regulatory frameworks support investment in, and access to, space </w:t>
      </w:r>
      <w:proofErr w:type="gramStart"/>
      <w:r w:rsidRPr="00B670FD">
        <w:rPr>
          <w:rFonts w:asciiTheme="minorHAnsi" w:eastAsia="Calibri" w:hAnsiTheme="minorHAnsi" w:cstheme="minorHAnsi"/>
          <w:sz w:val="22"/>
          <w:szCs w:val="22"/>
          <w:lang w:eastAsia="zh-CN"/>
        </w:rPr>
        <w:t>connectivity;</w:t>
      </w:r>
      <w:proofErr w:type="gramEnd"/>
    </w:p>
    <w:p w14:paraId="5066D138" w14:textId="608CBD42"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modernizing satellite regulatory frameworks that maximize spectral efficiency that account for technological developments and modern spectrum management techniques can help reduce the digital divide by expanding access to affordable, high-speed </w:t>
      </w:r>
      <w:proofErr w:type="gramStart"/>
      <w:r w:rsidRPr="00B670FD">
        <w:rPr>
          <w:rFonts w:asciiTheme="minorHAnsi" w:eastAsia="Calibri" w:hAnsiTheme="minorHAnsi" w:cstheme="minorHAnsi"/>
          <w:sz w:val="22"/>
          <w:szCs w:val="22"/>
          <w:lang w:eastAsia="zh-CN"/>
        </w:rPr>
        <w:t>connectivity;</w:t>
      </w:r>
      <w:proofErr w:type="gramEnd"/>
    </w:p>
    <w:p w14:paraId="13753DD8" w14:textId="462D8DA9"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building a balanced and applicable regulatory enabling environment benefit from applying the principle of technology neutrality, acknowledging that different technologies may require differing approaches</w:t>
      </w:r>
      <w:r w:rsidR="004B40F9"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 xml:space="preserve">] </w:t>
      </w:r>
    </w:p>
    <w:p w14:paraId="13D23B8C" w14:textId="4AFD1F63"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the deployment of non GSO constellations indicates that it is beneficial to update regulatory policies and measures, [including licensing], in a timely manner, seeking to adapt to technology advancement, deployment and development, [and to address security risks;]</w:t>
      </w:r>
    </w:p>
    <w:p w14:paraId="0343268E" w14:textId="62FE38E1"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governments need to seize the opportunities and address challenges of space connectivity, ensuring that policies and regulations support innovation, optimization, promote digital inclusion, work to the benefit of consumers</w:t>
      </w:r>
      <w:r w:rsidRPr="00B670FD" w:rsidDel="002072AA">
        <w:rPr>
          <w:rFonts w:asciiTheme="minorHAnsi" w:eastAsia="Calibri" w:hAnsiTheme="minorHAnsi" w:cstheme="minorHAnsi"/>
          <w:sz w:val="22"/>
          <w:szCs w:val="22"/>
          <w:lang w:eastAsia="zh-CN"/>
        </w:rPr>
        <w:t xml:space="preserve"> </w:t>
      </w:r>
      <w:r w:rsidRPr="00B670FD">
        <w:rPr>
          <w:rFonts w:asciiTheme="minorHAnsi" w:eastAsia="Calibri" w:hAnsiTheme="minorHAnsi" w:cstheme="minorHAnsi"/>
          <w:sz w:val="22"/>
          <w:szCs w:val="22"/>
          <w:lang w:eastAsia="zh-CN"/>
        </w:rPr>
        <w:t>in their access to space telecommunication/ICT services [and enables viable business models and prevents market distortions;]</w:t>
      </w:r>
    </w:p>
    <w:p w14:paraId="422ACE02" w14:textId="10DAE4CC"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bookmarkStart w:id="4" w:name="_Hlk175572839"/>
      <w:r w:rsidRPr="00B670FD">
        <w:rPr>
          <w:rFonts w:asciiTheme="minorHAnsi" w:eastAsia="Calibri" w:hAnsiTheme="minorHAnsi" w:cstheme="minorHAnsi"/>
          <w:sz w:val="22"/>
          <w:szCs w:val="22"/>
          <w:lang w:eastAsia="zh-CN"/>
        </w:rPr>
        <w:t>[that while promoting reliable and secure global communications, Member States should ensure that the provision of satellite services and the operation of earth stations are conducted under appropriate national authorization and oversight, while preventing unauthorized use within their territories and safeguarding the confidentiality and integrity of telecommunications in line with the ITU Constitution and Convention</w:t>
      </w:r>
      <w:r w:rsidR="004B40F9"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w:t>
      </w:r>
    </w:p>
    <w:p w14:paraId="7F2DF3F3" w14:textId="76B0F3CF"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strengthening global partnerships and international cooperation, especially for promoting involvement of all countries in activities pertaining to space communication and </w:t>
      </w:r>
      <w:proofErr w:type="gramStart"/>
      <w:r w:rsidRPr="00B670FD">
        <w:rPr>
          <w:rFonts w:asciiTheme="minorHAnsi" w:eastAsia="Calibri" w:hAnsiTheme="minorHAnsi" w:cstheme="minorHAnsi"/>
          <w:sz w:val="22"/>
          <w:szCs w:val="22"/>
          <w:lang w:eastAsia="zh-CN"/>
        </w:rPr>
        <w:t>taking into account</w:t>
      </w:r>
      <w:proofErr w:type="gramEnd"/>
      <w:r w:rsidRPr="00B670FD">
        <w:rPr>
          <w:rFonts w:asciiTheme="minorHAnsi" w:eastAsia="Calibri" w:hAnsiTheme="minorHAnsi" w:cstheme="minorHAnsi"/>
          <w:sz w:val="22"/>
          <w:szCs w:val="22"/>
          <w:lang w:eastAsia="zh-CN"/>
        </w:rPr>
        <w:t xml:space="preserve"> the </w:t>
      </w:r>
      <w:proofErr w:type="gramStart"/>
      <w:r w:rsidRPr="00B670FD">
        <w:rPr>
          <w:rFonts w:asciiTheme="minorHAnsi" w:eastAsia="Calibri" w:hAnsiTheme="minorHAnsi" w:cstheme="minorHAnsi"/>
          <w:sz w:val="22"/>
          <w:szCs w:val="22"/>
          <w:lang w:eastAsia="zh-CN"/>
        </w:rPr>
        <w:t>particular needs</w:t>
      </w:r>
      <w:proofErr w:type="gramEnd"/>
      <w:r w:rsidRPr="00B670FD">
        <w:rPr>
          <w:rFonts w:asciiTheme="minorHAnsi" w:eastAsia="Calibri" w:hAnsiTheme="minorHAnsi" w:cstheme="minorHAnsi"/>
          <w:sz w:val="22"/>
          <w:szCs w:val="22"/>
          <w:lang w:eastAsia="zh-CN"/>
        </w:rPr>
        <w:t xml:space="preserve"> of developing countries, is essential to provide communication, applications, and space services, supporting the advancement of the Sustainable Development Goals (SDGs) and WSIS outcomes through enhanced space </w:t>
      </w:r>
      <w:proofErr w:type="gramStart"/>
      <w:r w:rsidRPr="00B670FD">
        <w:rPr>
          <w:rFonts w:asciiTheme="minorHAnsi" w:eastAsia="Calibri" w:hAnsiTheme="minorHAnsi" w:cstheme="minorHAnsi"/>
          <w:sz w:val="22"/>
          <w:szCs w:val="22"/>
          <w:lang w:eastAsia="zh-CN"/>
        </w:rPr>
        <w:t>connectivity;</w:t>
      </w:r>
      <w:proofErr w:type="gramEnd"/>
    </w:p>
    <w:p w14:paraId="20F49E3A" w14:textId="582D6637"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within its mandate, the ITU should continue to collaborate closely with other UN agencies, international organizations, and stakeholders in areas concerning space </w:t>
      </w:r>
      <w:proofErr w:type="gramStart"/>
      <w:r w:rsidRPr="00B670FD">
        <w:rPr>
          <w:rFonts w:asciiTheme="minorHAnsi" w:eastAsia="Calibri" w:hAnsiTheme="minorHAnsi" w:cstheme="minorHAnsi"/>
          <w:sz w:val="22"/>
          <w:szCs w:val="22"/>
          <w:lang w:eastAsia="zh-CN"/>
        </w:rPr>
        <w:t>connectivity;</w:t>
      </w:r>
      <w:proofErr w:type="gramEnd"/>
    </w:p>
    <w:p w14:paraId="6366CEBD" w14:textId="6999C650"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exploring avenues for technology and knowledge transfer, on a voluntary basis, along with international cooperation, can ensure equitable access to opportunities presented by space connectivity;]</w:t>
      </w:r>
    </w:p>
    <w:p w14:paraId="7A162749" w14:textId="531D1F3C"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enhancing research and innovation to address the challenges of space debris proliferation, can contribute to the long-term sustainability of space telecommunication/ICT activities</w:t>
      </w:r>
      <w:proofErr w:type="gramStart"/>
      <w:r w:rsidRPr="00B670FD">
        <w:rPr>
          <w:rFonts w:asciiTheme="minorHAnsi" w:eastAsia="Calibri" w:hAnsiTheme="minorHAnsi" w:cstheme="minorHAnsi"/>
          <w:sz w:val="22"/>
          <w:szCs w:val="22"/>
          <w:lang w:eastAsia="zh-CN"/>
        </w:rPr>
        <w:t>; ]</w:t>
      </w:r>
      <w:proofErr w:type="gramEnd"/>
    </w:p>
    <w:p w14:paraId="3EEE1AAC" w14:textId="388826B3"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private sector investment in space-based connectivity plays a pivotal role in expanding access to connectivity, and that the removal of barriers to investment, the update of regulations and innovation can accelerate that </w:t>
      </w:r>
      <w:proofErr w:type="gramStart"/>
      <w:r w:rsidRPr="00B670FD">
        <w:rPr>
          <w:rFonts w:asciiTheme="minorHAnsi" w:eastAsia="Calibri" w:hAnsiTheme="minorHAnsi" w:cstheme="minorHAnsi"/>
          <w:sz w:val="22"/>
          <w:szCs w:val="22"/>
          <w:lang w:eastAsia="zh-CN"/>
        </w:rPr>
        <w:t>access;</w:t>
      </w:r>
      <w:proofErr w:type="gramEnd"/>
      <w:r w:rsidRPr="00B670FD">
        <w:rPr>
          <w:rFonts w:asciiTheme="minorHAnsi" w:eastAsia="Calibri" w:hAnsiTheme="minorHAnsi" w:cstheme="minorHAnsi"/>
          <w:sz w:val="22"/>
          <w:szCs w:val="22"/>
          <w:lang w:eastAsia="zh-CN"/>
        </w:rPr>
        <w:t xml:space="preserve"> </w:t>
      </w:r>
    </w:p>
    <w:bookmarkEnd w:id="4"/>
    <w:p w14:paraId="4F821BC4" w14:textId="7EC7AE77" w:rsidR="00491985" w:rsidRPr="00B670FD" w:rsidRDefault="00491985" w:rsidP="003B241F">
      <w:pPr>
        <w:pStyle w:val="ListParagraph"/>
        <w:numPr>
          <w:ilvl w:val="0"/>
          <w:numId w:val="33"/>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the following policies and regulations, inter alia, can be used to further enable space connectivity:</w:t>
      </w:r>
    </w:p>
    <w:p w14:paraId="4D6FFB87" w14:textId="739DDE5D" w:rsidR="00491985" w:rsidRPr="00B670FD" w:rsidRDefault="00491985" w:rsidP="00ED792A">
      <w:pPr>
        <w:pStyle w:val="enumlev2"/>
        <w:rPr>
          <w:rFonts w:asciiTheme="minorHAnsi" w:eastAsia="Calibri" w:hAnsiTheme="minorHAnsi" w:cstheme="minorHAnsi"/>
          <w:strike/>
          <w:sz w:val="22"/>
          <w:szCs w:val="22"/>
          <w:lang w:eastAsia="zh-CN"/>
        </w:rPr>
      </w:pPr>
      <w:r w:rsidRPr="00B670FD">
        <w:rPr>
          <w:rFonts w:asciiTheme="minorHAnsi" w:eastAsia="Calibri" w:hAnsiTheme="minorHAnsi" w:cstheme="minorHAnsi"/>
          <w:strike/>
          <w:sz w:val="22"/>
          <w:szCs w:val="22"/>
          <w:lang w:eastAsia="zh-CN"/>
        </w:rPr>
        <w:t>–</w:t>
      </w:r>
      <w:r w:rsidRPr="00B670FD">
        <w:rPr>
          <w:rFonts w:asciiTheme="minorHAnsi" w:eastAsia="Calibri" w:hAnsiTheme="minorHAnsi" w:cstheme="minorHAnsi"/>
          <w:strike/>
          <w:sz w:val="22"/>
          <w:szCs w:val="22"/>
          <w:lang w:eastAsia="zh-CN"/>
        </w:rPr>
        <w:tab/>
        <w:t xml:space="preserve">[promoting </w:t>
      </w:r>
      <w:proofErr w:type="gramStart"/>
      <w:r w:rsidRPr="00B670FD">
        <w:rPr>
          <w:rFonts w:asciiTheme="minorHAnsi" w:eastAsia="Calibri" w:hAnsiTheme="minorHAnsi" w:cstheme="minorHAnsi"/>
          <w:strike/>
          <w:sz w:val="22"/>
          <w:szCs w:val="22"/>
          <w:lang w:eastAsia="zh-CN"/>
        </w:rPr>
        <w:t>an</w:t>
      </w:r>
      <w:proofErr w:type="gramEnd"/>
      <w:r w:rsidRPr="00B670FD">
        <w:rPr>
          <w:rFonts w:asciiTheme="minorHAnsi" w:eastAsia="Calibri" w:hAnsiTheme="minorHAnsi" w:cstheme="minorHAnsi"/>
          <w:strike/>
          <w:sz w:val="22"/>
          <w:szCs w:val="22"/>
          <w:lang w:eastAsia="zh-CN"/>
        </w:rPr>
        <w:t xml:space="preserve"> harmonized framework oriented to the interoperability and compatibility between GSO and non-GSO systems, </w:t>
      </w:r>
      <w:proofErr w:type="gramStart"/>
      <w:r w:rsidRPr="00B670FD">
        <w:rPr>
          <w:rFonts w:asciiTheme="minorHAnsi" w:eastAsia="Calibri" w:hAnsiTheme="minorHAnsi" w:cstheme="minorHAnsi"/>
          <w:strike/>
          <w:sz w:val="22"/>
          <w:szCs w:val="22"/>
          <w:lang w:eastAsia="zh-CN"/>
        </w:rPr>
        <w:t>so as to</w:t>
      </w:r>
      <w:proofErr w:type="gramEnd"/>
      <w:r w:rsidRPr="00B670FD">
        <w:rPr>
          <w:rFonts w:asciiTheme="minorHAnsi" w:eastAsia="Calibri" w:hAnsiTheme="minorHAnsi" w:cstheme="minorHAnsi"/>
          <w:strike/>
          <w:sz w:val="22"/>
          <w:szCs w:val="22"/>
          <w:lang w:eastAsia="zh-CN"/>
        </w:rPr>
        <w:t xml:space="preserve"> fulfil the SDGs with ubiquitous and affordable connectivity;]</w:t>
      </w:r>
    </w:p>
    <w:p w14:paraId="5C115544" w14:textId="77777777" w:rsidR="00491985" w:rsidRPr="00B670FD" w:rsidRDefault="00491985" w:rsidP="00ED792A">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t>[considering approaches such as those described in relevant ITU publications, including ITU-D Study Group 1 Output Reports on Study Questions 1/1 and 5/1, Study Group 2 Output Report on Questions 5/2 and Interim Deliverable 2024 “Transformative Connectivity: Trends in satellite innovation”</w:t>
      </w:r>
      <w:proofErr w:type="gramStart"/>
      <w:r w:rsidRPr="00B670FD">
        <w:rPr>
          <w:rFonts w:asciiTheme="minorHAnsi" w:eastAsia="Calibri" w:hAnsiTheme="minorHAnsi" w:cstheme="minorHAnsi"/>
          <w:sz w:val="22"/>
          <w:szCs w:val="22"/>
          <w:lang w:eastAsia="zh-CN"/>
        </w:rPr>
        <w:t>];</w:t>
      </w:r>
      <w:proofErr w:type="gramEnd"/>
      <w:r w:rsidRPr="00B670FD">
        <w:rPr>
          <w:rFonts w:asciiTheme="minorHAnsi" w:eastAsia="Calibri" w:hAnsiTheme="minorHAnsi" w:cstheme="minorHAnsi"/>
          <w:sz w:val="22"/>
          <w:szCs w:val="22"/>
          <w:lang w:eastAsia="zh-CN"/>
        </w:rPr>
        <w:t xml:space="preserve"> </w:t>
      </w:r>
    </w:p>
    <w:p w14:paraId="2000E8C6" w14:textId="77777777" w:rsidR="00491985" w:rsidRPr="00B670FD" w:rsidRDefault="00491985" w:rsidP="00ED792A">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t>[allocating relevant frequencies for use by satellite systems on a domestic basis consistent with ITU Radio Regulations, and with optimal spectrum fees;]</w:t>
      </w:r>
    </w:p>
    <w:p w14:paraId="5DEEA9F4" w14:textId="0A688445" w:rsidR="00491985" w:rsidRPr="00B670FD" w:rsidRDefault="00491985" w:rsidP="00ED792A">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t xml:space="preserve">promoting affordability for satellite user terminals [including by enabling maximum </w:t>
      </w:r>
      <w:proofErr w:type="gramStart"/>
      <w:r w:rsidRPr="00B670FD">
        <w:rPr>
          <w:rFonts w:asciiTheme="minorHAnsi" w:eastAsia="Calibri" w:hAnsiTheme="minorHAnsi" w:cstheme="minorHAnsi"/>
          <w:sz w:val="22"/>
          <w:szCs w:val="22"/>
          <w:lang w:eastAsia="zh-CN"/>
        </w:rPr>
        <w:t>throughput][</w:t>
      </w:r>
      <w:proofErr w:type="gramEnd"/>
      <w:r w:rsidRPr="00B670FD">
        <w:rPr>
          <w:rFonts w:asciiTheme="minorHAnsi" w:eastAsia="Calibri" w:hAnsiTheme="minorHAnsi" w:cstheme="minorHAnsi"/>
          <w:sz w:val="22"/>
          <w:szCs w:val="22"/>
          <w:lang w:eastAsia="zh-CN"/>
        </w:rPr>
        <w:t xml:space="preserve"> and services;]</w:t>
      </w:r>
    </w:p>
    <w:p w14:paraId="27FACE0F" w14:textId="77777777" w:rsidR="00491985" w:rsidRPr="00B670FD" w:rsidRDefault="00491985" w:rsidP="00ED792A">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r>
      <w:r w:rsidRPr="00B670FD">
        <w:rPr>
          <w:rFonts w:asciiTheme="minorHAnsi" w:eastAsia="Calibri" w:hAnsiTheme="minorHAnsi" w:cstheme="minorHAnsi"/>
          <w:i/>
          <w:sz w:val="22"/>
          <w:szCs w:val="22"/>
          <w:lang w:eastAsia="zh-CN"/>
        </w:rPr>
        <w:t>[promoting safe space operations for the long-term sustainability of space-based telecommunication/ICT activities, built upon multistakeholder cooperation and industry best practices;]</w:t>
      </w:r>
    </w:p>
    <w:p w14:paraId="5BBFD5D0" w14:textId="66A70B47" w:rsidR="00491985" w:rsidRPr="00B670FD" w:rsidRDefault="00491985" w:rsidP="005D10DA">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invites Member States</w:t>
      </w:r>
    </w:p>
    <w:p w14:paraId="697A6786" w14:textId="404D4A74" w:rsidR="00491985" w:rsidRPr="00B670FD" w:rsidRDefault="00491985" w:rsidP="005D10DA">
      <w:pPr>
        <w:pStyle w:val="ListParagraph"/>
        <w:numPr>
          <w:ilvl w:val="1"/>
          <w:numId w:val="35"/>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consider adopting policy and regulatory measures that facilitate access to space-based broadband connectivity as detailed in </w:t>
      </w:r>
      <w:r w:rsidRPr="00B670FD">
        <w:rPr>
          <w:rFonts w:asciiTheme="minorHAnsi" w:eastAsia="Calibri" w:hAnsiTheme="minorHAnsi" w:cstheme="minorHAnsi"/>
          <w:i/>
          <w:sz w:val="22"/>
          <w:szCs w:val="22"/>
          <w:lang w:eastAsia="zh-CN"/>
        </w:rPr>
        <w:t>is of the view</w:t>
      </w:r>
      <w:r w:rsidRPr="00B670FD">
        <w:rPr>
          <w:rFonts w:asciiTheme="minorHAnsi" w:eastAsia="Calibri" w:hAnsiTheme="minorHAnsi" w:cstheme="minorHAnsi"/>
          <w:iCs/>
          <w:sz w:val="22"/>
          <w:szCs w:val="22"/>
          <w:lang w:eastAsia="zh-CN"/>
        </w:rPr>
        <w:t xml:space="preserve">, </w:t>
      </w:r>
    </w:p>
    <w:p w14:paraId="17E26D27" w14:textId="65CEF866" w:rsidR="00491985" w:rsidRPr="00B670FD" w:rsidRDefault="00491985" w:rsidP="005D10DA">
      <w:pPr>
        <w:pStyle w:val="ListParagraph"/>
        <w:numPr>
          <w:ilvl w:val="1"/>
          <w:numId w:val="35"/>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adopt technologically inclusive approaches to connectivity targets that provide consumers and providers flexibility to choose the technology that best fits local needs, [and]</w:t>
      </w:r>
    </w:p>
    <w:p w14:paraId="6482331A" w14:textId="2C85585C" w:rsidR="00491985" w:rsidRPr="00B670FD" w:rsidRDefault="00491985" w:rsidP="005D10DA">
      <w:pPr>
        <w:pStyle w:val="ListParagraph"/>
        <w:numPr>
          <w:ilvl w:val="1"/>
          <w:numId w:val="35"/>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implement balanced regulatory frameworks that apply consistent measures to telecommunications services, irrespective of whether such services are provided via terrestrial or space-based means;]</w:t>
      </w:r>
    </w:p>
    <w:p w14:paraId="71EF66A7" w14:textId="77777777" w:rsidR="00491985" w:rsidRPr="00B670FD" w:rsidRDefault="00491985" w:rsidP="005D10DA">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invites Member States, Sector Members and other stakeholders to work collaboratively</w:t>
      </w:r>
    </w:p>
    <w:p w14:paraId="0841F854" w14:textId="482D6DCA"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actively participate in relevant international fora and working groups focused on space connectivity, sharing experiences and best practices to collectively advance space connectivity development and bridge the digital </w:t>
      </w:r>
      <w:proofErr w:type="gramStart"/>
      <w:r w:rsidRPr="00B670FD">
        <w:rPr>
          <w:rFonts w:asciiTheme="minorHAnsi" w:eastAsia="Calibri" w:hAnsiTheme="minorHAnsi" w:cstheme="minorHAnsi"/>
          <w:sz w:val="22"/>
          <w:szCs w:val="22"/>
          <w:lang w:eastAsia="zh-CN"/>
        </w:rPr>
        <w:t>gap;</w:t>
      </w:r>
      <w:proofErr w:type="gramEnd"/>
    </w:p>
    <w:p w14:paraId="65E0521B" w14:textId="65FF1116"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enhance global partnerships and strengthened cooperation through joint efforts and by taking advantage of the practical experiences, promoting and harnessing space connectivity for sustainable development, developing frameworks and working towards common goals and mutual </w:t>
      </w:r>
      <w:proofErr w:type="gramStart"/>
      <w:r w:rsidRPr="00B670FD">
        <w:rPr>
          <w:rFonts w:asciiTheme="minorHAnsi" w:eastAsia="Calibri" w:hAnsiTheme="minorHAnsi" w:cstheme="minorHAnsi"/>
          <w:sz w:val="22"/>
          <w:szCs w:val="22"/>
          <w:lang w:eastAsia="zh-CN"/>
        </w:rPr>
        <w:t>interests;</w:t>
      </w:r>
      <w:proofErr w:type="gramEnd"/>
    </w:p>
    <w:p w14:paraId="69BABA5C" w14:textId="6230A86B"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promote sharing of best practices on balanced frameworks considering space connectivity in a holistic and coordinated manner, addressing challenges such as security, </w:t>
      </w:r>
      <w:r w:rsidR="00BC3E40" w:rsidRPr="00B670FD">
        <w:rPr>
          <w:rFonts w:asciiTheme="minorHAnsi" w:eastAsia="Calibri" w:hAnsiTheme="minorHAnsi" w:cstheme="minorHAnsi"/>
          <w:sz w:val="22"/>
          <w:szCs w:val="22"/>
          <w:lang w:eastAsia="zh-CN"/>
        </w:rPr>
        <w:t>EPDF</w:t>
      </w:r>
      <w:r w:rsidRPr="00B670FD">
        <w:rPr>
          <w:rFonts w:asciiTheme="minorHAnsi" w:eastAsia="Calibri" w:hAnsiTheme="minorHAnsi" w:cstheme="minorHAnsi"/>
          <w:sz w:val="22"/>
          <w:szCs w:val="22"/>
          <w:lang w:eastAsia="zh-CN"/>
        </w:rPr>
        <w:t xml:space="preserve"> modernization, affordability and adaptability to developments in emerging space-based telecommunications/ICTs;]</w:t>
      </w:r>
    </w:p>
    <w:p w14:paraId="3B8C527C" w14:textId="4279307F"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promote public policies and strategies such as those in is of the view at the national, regional, and international levels to take advantage of opportunities and overcome challenges in the optimization and use of space-based telecommunication/</w:t>
      </w:r>
      <w:proofErr w:type="gramStart"/>
      <w:r w:rsidRPr="00B670FD">
        <w:rPr>
          <w:rFonts w:asciiTheme="minorHAnsi" w:eastAsia="Calibri" w:hAnsiTheme="minorHAnsi" w:cstheme="minorHAnsi"/>
          <w:sz w:val="22"/>
          <w:szCs w:val="22"/>
          <w:lang w:eastAsia="zh-CN"/>
        </w:rPr>
        <w:t>ICT;</w:t>
      </w:r>
      <w:proofErr w:type="gramEnd"/>
      <w:r w:rsidRPr="00B670FD">
        <w:rPr>
          <w:rFonts w:asciiTheme="minorHAnsi" w:eastAsia="Calibri" w:hAnsiTheme="minorHAnsi" w:cstheme="minorHAnsi"/>
          <w:sz w:val="22"/>
          <w:szCs w:val="22"/>
          <w:lang w:eastAsia="zh-CN"/>
        </w:rPr>
        <w:t xml:space="preserve"> </w:t>
      </w:r>
    </w:p>
    <w:p w14:paraId="4F736AB3" w14:textId="3DBEE99F" w:rsidR="004B40F9"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facilitate the collaboration between space and terrestrial network operators to take advantage of emerging telecommunications/ICT technologies [to support the achievement of the SDGs and the implementation of the WSIS outcomes</w:t>
      </w:r>
      <w:r w:rsidR="00BC3E40" w:rsidRPr="00B670FD">
        <w:rPr>
          <w:rFonts w:asciiTheme="minorHAnsi" w:eastAsia="Calibri" w:hAnsiTheme="minorHAnsi" w:cstheme="minorHAnsi"/>
          <w:sz w:val="22"/>
          <w:szCs w:val="22"/>
          <w:lang w:eastAsia="zh-CN"/>
        </w:rPr>
        <w:t>;]</w:t>
      </w:r>
    </w:p>
    <w:p w14:paraId="257F26D7" w14:textId="06C1ECB5" w:rsidR="00491985" w:rsidRPr="00B670FD" w:rsidRDefault="00491985"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00BC3E40" w:rsidRPr="00B670FD">
        <w:rPr>
          <w:rFonts w:asciiTheme="minorHAnsi" w:eastAsia="Calibri" w:hAnsiTheme="minorHAnsi" w:cstheme="minorHAnsi"/>
          <w:sz w:val="22"/>
          <w:szCs w:val="22"/>
          <w:lang w:eastAsia="zh-CN"/>
        </w:rPr>
        <w:t>to strengthen</w:t>
      </w:r>
      <w:r w:rsidRPr="00B670FD">
        <w:rPr>
          <w:rFonts w:asciiTheme="minorHAnsi" w:eastAsia="Calibri" w:hAnsiTheme="minorHAnsi" w:cstheme="minorHAnsi"/>
          <w:sz w:val="22"/>
          <w:szCs w:val="22"/>
          <w:lang w:eastAsia="zh-CN"/>
        </w:rPr>
        <w:t xml:space="preserve"> policy and regulatory framework for proliferation of space-based broadband in a non-discriminatory manner;]</w:t>
      </w:r>
    </w:p>
    <w:p w14:paraId="1A01CCFE" w14:textId="6D45501A" w:rsidR="00491985" w:rsidRPr="00B670FD" w:rsidRDefault="00BC3E40" w:rsidP="00846277">
      <w:pPr>
        <w:pStyle w:val="ListParagraph"/>
        <w:numPr>
          <w:ilvl w:val="0"/>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introduce </w:t>
      </w:r>
      <w:r w:rsidR="00491985" w:rsidRPr="00B670FD">
        <w:rPr>
          <w:rFonts w:asciiTheme="minorHAnsi" w:eastAsia="Calibri" w:hAnsiTheme="minorHAnsi" w:cstheme="minorHAnsi"/>
          <w:sz w:val="22"/>
          <w:szCs w:val="22"/>
          <w:lang w:eastAsia="zh-CN"/>
        </w:rPr>
        <w:t>interventions in the policy and regulations of space-based broadband to address the security concerns of the administration,]</w:t>
      </w:r>
    </w:p>
    <w:p w14:paraId="5221D94E" w14:textId="77777777" w:rsidR="00491985" w:rsidRPr="00B670FD" w:rsidRDefault="00491985" w:rsidP="00950B87">
      <w:pPr>
        <w:pStyle w:val="Call"/>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rPr>
        <w:t xml:space="preserve">invites the Secretary-General </w:t>
      </w:r>
      <w:r w:rsidRPr="00B670FD">
        <w:rPr>
          <w:rFonts w:asciiTheme="minorHAnsi" w:eastAsia="SimSun" w:hAnsiTheme="minorHAnsi" w:cstheme="minorHAnsi"/>
          <w:sz w:val="22"/>
          <w:szCs w:val="22"/>
        </w:rPr>
        <w:t>in close collaboration with the Directors of the</w:t>
      </w:r>
      <w:r w:rsidRPr="00B670FD">
        <w:rPr>
          <w:rFonts w:asciiTheme="minorHAnsi" w:eastAsia="SimSun" w:hAnsiTheme="minorHAnsi" w:cstheme="minorHAnsi"/>
          <w:sz w:val="22"/>
          <w:szCs w:val="22"/>
          <w:lang w:eastAsia="zh-CN"/>
        </w:rPr>
        <w:t xml:space="preserve"> Radiocommunication and Development Bureaux</w:t>
      </w:r>
    </w:p>
    <w:p w14:paraId="779A658A" w14:textId="62B1B855" w:rsidR="00491985" w:rsidRPr="00B670FD" w:rsidRDefault="00491985" w:rsidP="006B003B">
      <w:pPr>
        <w:pStyle w:val="ListParagraph"/>
        <w:numPr>
          <w:ilvl w:val="1"/>
          <w:numId w:val="38"/>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continue to take all necessary measures and to </w:t>
      </w:r>
      <w:r w:rsidRPr="00B670FD">
        <w:rPr>
          <w:rFonts w:asciiTheme="minorHAnsi" w:eastAsiaTheme="minorEastAsia" w:hAnsiTheme="minorHAnsi" w:cstheme="minorHAnsi"/>
          <w:sz w:val="22"/>
          <w:szCs w:val="22"/>
          <w:lang w:eastAsia="zh-CN"/>
        </w:rPr>
        <w:t xml:space="preserve">facilitate and strengthen ITU efforts to promote access to space-based connectivity systems as part of broader ITU efforts to achieve [optimized] universal [and meaningful] connectivity [and the sustainable use of outer space connectivity resources such as spectrum and orbital] by the telecommunication/ICT </w:t>
      </w:r>
      <w:proofErr w:type="gramStart"/>
      <w:r w:rsidRPr="00B670FD">
        <w:rPr>
          <w:rFonts w:asciiTheme="minorHAnsi" w:eastAsiaTheme="minorEastAsia" w:hAnsiTheme="minorHAnsi" w:cstheme="minorHAnsi"/>
          <w:sz w:val="22"/>
          <w:szCs w:val="22"/>
          <w:lang w:eastAsia="zh-CN"/>
        </w:rPr>
        <w:t>sector;</w:t>
      </w:r>
      <w:proofErr w:type="gramEnd"/>
    </w:p>
    <w:p w14:paraId="79366806" w14:textId="3687A8D2" w:rsidR="00491985" w:rsidRPr="0051502A" w:rsidRDefault="00491985" w:rsidP="006B003B">
      <w:pPr>
        <w:pStyle w:val="ListParagraph"/>
        <w:numPr>
          <w:ilvl w:val="1"/>
          <w:numId w:val="38"/>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continue to support regulators and policy makers by [considering strengthening human resource development in capacity building programs, and by] developing tools and resources, including case studies of modern space-based telecommunication/ICT policy and regulatory approaches and best practices.</w:t>
      </w:r>
    </w:p>
    <w:p w14:paraId="0D08EEF7" w14:textId="56CE5294" w:rsidR="00DD3DEE" w:rsidRDefault="006B003B">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 w:val="22"/>
          <w:szCs w:val="22"/>
        </w:rPr>
      </w:pPr>
      <w:r>
        <w:rPr>
          <w:rFonts w:asciiTheme="minorHAnsi" w:hAnsiTheme="minorHAnsi" w:cstheme="minorHAnsi"/>
          <w:sz w:val="22"/>
          <w:szCs w:val="22"/>
        </w:rPr>
        <w:br w:type="page"/>
      </w:r>
    </w:p>
    <w:p w14:paraId="6CB46D1E" w14:textId="5B6BBE38" w:rsidR="002B2410" w:rsidRPr="009812C4" w:rsidRDefault="002B2410" w:rsidP="006B003B">
      <w:pPr>
        <w:pStyle w:val="Annextitle"/>
        <w:rPr>
          <w:rFonts w:eastAsia="Calibri"/>
        </w:rPr>
      </w:pPr>
      <w:r w:rsidRPr="009812C4">
        <w:rPr>
          <w:rFonts w:eastAsia="Calibri"/>
        </w:rPr>
        <w:t xml:space="preserve">DRAFT OPINION </w:t>
      </w:r>
      <w:r>
        <w:rPr>
          <w:rFonts w:eastAsia="Calibri"/>
        </w:rPr>
        <w:t>5: S</w:t>
      </w:r>
      <w:r w:rsidRPr="002B2410">
        <w:rPr>
          <w:rFonts w:eastAsia="Calibri"/>
        </w:rPr>
        <w:t>trengthening ICT-centric innovation ecosystems and entrepreneurship</w:t>
      </w:r>
    </w:p>
    <w:p w14:paraId="3E275B25" w14:textId="77777777" w:rsidR="00181B12" w:rsidRPr="00B670FD" w:rsidRDefault="00181B12" w:rsidP="006B003B">
      <w:pPr>
        <w:pStyle w:val="Normalaftertitle"/>
        <w:rPr>
          <w:rFonts w:asciiTheme="minorHAnsi" w:hAnsiTheme="minorHAnsi" w:cstheme="minorHAnsi"/>
          <w:sz w:val="22"/>
          <w:szCs w:val="22"/>
        </w:rPr>
      </w:pPr>
      <w:r w:rsidRPr="00B670FD">
        <w:rPr>
          <w:rFonts w:asciiTheme="minorHAnsi" w:hAnsiTheme="minorHAnsi" w:cstheme="minorHAnsi"/>
          <w:sz w:val="22"/>
          <w:szCs w:val="22"/>
        </w:rPr>
        <w:t>The seventh World Telecommunication/ICT Policy Forum (Geneva, 2026),</w:t>
      </w:r>
    </w:p>
    <w:p w14:paraId="06E067D9" w14:textId="77777777" w:rsidR="00181B12" w:rsidRPr="00B670FD" w:rsidRDefault="00181B12" w:rsidP="006B003B">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recalling</w:t>
      </w:r>
    </w:p>
    <w:p w14:paraId="69FC954B" w14:textId="6717BF16"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Resolution 70/125 on the outcome document of the high-level meeting of the General Assembly on the overall review of the implementation of the outcomes of the World Summit on the Information </w:t>
      </w:r>
      <w:proofErr w:type="gramStart"/>
      <w:r w:rsidRPr="00B670FD">
        <w:rPr>
          <w:rFonts w:asciiTheme="minorHAnsi" w:hAnsiTheme="minorHAnsi" w:cstheme="minorHAnsi"/>
          <w:sz w:val="22"/>
          <w:szCs w:val="22"/>
        </w:rPr>
        <w:t>Society;</w:t>
      </w:r>
      <w:proofErr w:type="gramEnd"/>
    </w:p>
    <w:p w14:paraId="19F8578F" w14:textId="1A0F5461"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w:t>
      </w:r>
      <w:r w:rsidRPr="00B670FD">
        <w:rPr>
          <w:rFonts w:asciiTheme="minorHAnsi" w:hAnsiTheme="minorHAnsi" w:cstheme="minorHAnsi"/>
          <w:sz w:val="22"/>
          <w:szCs w:val="22"/>
          <w:lang w:val="en-US"/>
        </w:rPr>
        <w:t xml:space="preserve">Resolution 79/1 on the Pact for the </w:t>
      </w:r>
      <w:proofErr w:type="gramStart"/>
      <w:r w:rsidRPr="00B670FD">
        <w:rPr>
          <w:rFonts w:asciiTheme="minorHAnsi" w:hAnsiTheme="minorHAnsi" w:cstheme="minorHAnsi"/>
          <w:sz w:val="22"/>
          <w:szCs w:val="22"/>
          <w:lang w:val="en-US"/>
        </w:rPr>
        <w:t>Future</w:t>
      </w:r>
      <w:r w:rsidRPr="00B670FD">
        <w:rPr>
          <w:rFonts w:asciiTheme="minorHAnsi" w:hAnsiTheme="minorHAnsi" w:cstheme="minorHAnsi"/>
          <w:sz w:val="22"/>
          <w:szCs w:val="22"/>
        </w:rPr>
        <w:t>;</w:t>
      </w:r>
      <w:proofErr w:type="gramEnd"/>
    </w:p>
    <w:p w14:paraId="6743BF58" w14:textId="36A19F4C"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Resolution 70/1 on transforming our world: the 2030 Agenda for Sustainable Development, in particular, Sustainable Development Goals 8, on Decent Work and Economic Growth, and 9, on Industry, Innovation, and </w:t>
      </w:r>
      <w:proofErr w:type="gramStart"/>
      <w:r w:rsidRPr="00B670FD">
        <w:rPr>
          <w:rFonts w:asciiTheme="minorHAnsi" w:hAnsiTheme="minorHAnsi" w:cstheme="minorHAnsi"/>
          <w:sz w:val="22"/>
          <w:szCs w:val="22"/>
        </w:rPr>
        <w:t>Infrastructure;</w:t>
      </w:r>
      <w:proofErr w:type="gramEnd"/>
      <w:r w:rsidRPr="00B670FD">
        <w:rPr>
          <w:rFonts w:asciiTheme="minorHAnsi" w:hAnsiTheme="minorHAnsi" w:cstheme="minorHAnsi"/>
          <w:sz w:val="22"/>
          <w:szCs w:val="22"/>
        </w:rPr>
        <w:t xml:space="preserve"> </w:t>
      </w:r>
    </w:p>
    <w:p w14:paraId="2D108E3A" w14:textId="19BEF971"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w:t>
      </w:r>
      <w:r w:rsidRPr="00B670FD">
        <w:rPr>
          <w:rFonts w:asciiTheme="minorHAnsi" w:hAnsiTheme="minorHAnsi" w:cstheme="minorHAnsi"/>
          <w:sz w:val="22"/>
          <w:szCs w:val="22"/>
          <w:lang w:val="en-US"/>
        </w:rPr>
        <w:t xml:space="preserve">Resolution 79/254 on Report of the Secretary-General Entrepreneurship for sustainable </w:t>
      </w:r>
      <w:proofErr w:type="gramStart"/>
      <w:r w:rsidRPr="00B670FD">
        <w:rPr>
          <w:rFonts w:asciiTheme="minorHAnsi" w:hAnsiTheme="minorHAnsi" w:cstheme="minorHAnsi"/>
          <w:sz w:val="22"/>
          <w:szCs w:val="22"/>
          <w:lang w:val="en-US"/>
        </w:rPr>
        <w:t>development</w:t>
      </w:r>
      <w:r w:rsidRPr="00B670FD">
        <w:rPr>
          <w:rFonts w:asciiTheme="minorHAnsi" w:hAnsiTheme="minorHAnsi" w:cstheme="minorHAnsi"/>
          <w:sz w:val="22"/>
          <w:szCs w:val="22"/>
        </w:rPr>
        <w:t>;</w:t>
      </w:r>
      <w:proofErr w:type="gramEnd"/>
    </w:p>
    <w:p w14:paraId="6F2D1930" w14:textId="60D33F1D"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198 (Rev. Bucharest, 2022) of the Plenipotentiary Conference, on empowerment of youth through telecommunication/information and communication technology (ICT</w:t>
      </w:r>
      <w:proofErr w:type="gramStart"/>
      <w:r w:rsidRPr="00B670FD">
        <w:rPr>
          <w:rFonts w:asciiTheme="minorHAnsi" w:hAnsiTheme="minorHAnsi" w:cstheme="minorHAnsi"/>
          <w:sz w:val="22"/>
          <w:szCs w:val="22"/>
        </w:rPr>
        <w:t>);</w:t>
      </w:r>
      <w:proofErr w:type="gramEnd"/>
    </w:p>
    <w:p w14:paraId="302C49A3" w14:textId="524BE03C"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205 (Rev. Bucharest, 2022) of the Plenipotentiary Conference, on the ITU's role in fostering telecommunication/information and communication technology- centric innovation to support the digital economy and </w:t>
      </w:r>
      <w:proofErr w:type="gramStart"/>
      <w:r w:rsidRPr="00B670FD">
        <w:rPr>
          <w:rFonts w:asciiTheme="minorHAnsi" w:hAnsiTheme="minorHAnsi" w:cstheme="minorHAnsi"/>
          <w:sz w:val="22"/>
          <w:szCs w:val="22"/>
        </w:rPr>
        <w:t>society;</w:t>
      </w:r>
      <w:proofErr w:type="gramEnd"/>
    </w:p>
    <w:p w14:paraId="2E11CE27" w14:textId="50A03D3B"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209 (Rev. Bucharest, 2022) of the Plenipotentiary Conference on “Encouraging the participation of small and medium enterprises in the work of the Union</w:t>
      </w:r>
      <w:proofErr w:type="gramStart"/>
      <w:r w:rsidRPr="00B670FD">
        <w:rPr>
          <w:rFonts w:asciiTheme="minorHAnsi" w:hAnsiTheme="minorHAnsi" w:cstheme="minorHAnsi"/>
          <w:sz w:val="22"/>
          <w:szCs w:val="22"/>
        </w:rPr>
        <w:t>”;</w:t>
      </w:r>
      <w:proofErr w:type="gramEnd"/>
    </w:p>
    <w:p w14:paraId="7C1E8322" w14:textId="2C3DE36E"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90 (Kigali, 2022) of the World Telecommunication Development Conference, on “Fostering telecommunication/ICT-centric entrepreneurship and digital innovation ecosystems for sustainable digital development</w:t>
      </w:r>
      <w:r w:rsidR="00D82B1D" w:rsidRPr="00B670FD">
        <w:rPr>
          <w:rFonts w:asciiTheme="minorHAnsi" w:hAnsiTheme="minorHAnsi" w:cstheme="minorHAnsi"/>
          <w:sz w:val="22"/>
          <w:szCs w:val="22"/>
        </w:rPr>
        <w:t>;</w:t>
      </w:r>
      <w:r w:rsidRPr="00B670FD">
        <w:rPr>
          <w:rFonts w:asciiTheme="minorHAnsi" w:hAnsiTheme="minorHAnsi" w:cstheme="minorHAnsi"/>
          <w:sz w:val="22"/>
          <w:szCs w:val="22"/>
        </w:rPr>
        <w:t>”</w:t>
      </w:r>
    </w:p>
    <w:p w14:paraId="3999AECE" w14:textId="466F5A65" w:rsidR="00181B12" w:rsidRPr="00B670FD" w:rsidRDefault="00181B12" w:rsidP="006B003B">
      <w:pPr>
        <w:pStyle w:val="ListParagraph"/>
        <w:numPr>
          <w:ilvl w:val="2"/>
          <w:numId w:val="4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Opinion 1 of the sixth World Telecommunication/ICT Policy Forum (Geneva, 2021) on enabling environment for the development and deployment of new and emerging telecommunication/ICT services and technologies to advance sustainable development,</w:t>
      </w:r>
    </w:p>
    <w:p w14:paraId="57D3EDA0" w14:textId="77777777" w:rsidR="00181B12" w:rsidRPr="00B670FD" w:rsidRDefault="00181B12"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recognising</w:t>
      </w:r>
    </w:p>
    <w:p w14:paraId="784FF654" w14:textId="55F84A9C" w:rsidR="00181B12"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lang w:val="en-US"/>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w:t>
      </w:r>
      <w:proofErr w:type="gramStart"/>
      <w:r w:rsidRPr="00B670FD">
        <w:rPr>
          <w:rFonts w:asciiTheme="minorHAnsi" w:hAnsiTheme="minorHAnsi" w:cstheme="minorHAnsi"/>
          <w:sz w:val="22"/>
          <w:szCs w:val="22"/>
          <w:lang w:val="en-US"/>
        </w:rPr>
        <w:t>divide;</w:t>
      </w:r>
      <w:proofErr w:type="gramEnd"/>
      <w:r w:rsidRPr="00B670FD">
        <w:rPr>
          <w:rFonts w:asciiTheme="minorHAnsi" w:hAnsiTheme="minorHAnsi" w:cstheme="minorHAnsi"/>
          <w:sz w:val="22"/>
          <w:szCs w:val="22"/>
          <w:lang w:val="en-US"/>
        </w:rPr>
        <w:t xml:space="preserve"> </w:t>
      </w:r>
    </w:p>
    <w:p w14:paraId="40DFB921" w14:textId="77777777" w:rsidR="00D82B1D"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as digital natives, young people have important roles to play in ICT-centric innovation ecosystems and </w:t>
      </w:r>
      <w:proofErr w:type="gramStart"/>
      <w:r w:rsidRPr="00B670FD">
        <w:rPr>
          <w:rFonts w:asciiTheme="minorHAnsi" w:hAnsiTheme="minorHAnsi" w:cstheme="minorHAnsi"/>
          <w:sz w:val="22"/>
          <w:szCs w:val="22"/>
        </w:rPr>
        <w:t>entrepreneurship</w:t>
      </w:r>
      <w:r w:rsidR="00D82B1D" w:rsidRPr="00B670FD">
        <w:rPr>
          <w:rFonts w:asciiTheme="minorHAnsi" w:hAnsiTheme="minorHAnsi" w:cstheme="minorHAnsi"/>
          <w:sz w:val="22"/>
          <w:szCs w:val="22"/>
        </w:rPr>
        <w:t>;</w:t>
      </w:r>
      <w:proofErr w:type="gramEnd"/>
    </w:p>
    <w:p w14:paraId="4632AA37" w14:textId="7CE03860" w:rsidR="00181B12"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supporting ICT-centric innovation and entrepreneurship, including through promoting an enabling environment, is key to digital transformation and advancing digital </w:t>
      </w:r>
      <w:proofErr w:type="gramStart"/>
      <w:r w:rsidRPr="00B670FD">
        <w:rPr>
          <w:rFonts w:asciiTheme="minorHAnsi" w:hAnsiTheme="minorHAnsi" w:cstheme="minorHAnsi"/>
          <w:sz w:val="22"/>
          <w:szCs w:val="22"/>
        </w:rPr>
        <w:t>inclusion;</w:t>
      </w:r>
      <w:proofErr w:type="gramEnd"/>
    </w:p>
    <w:p w14:paraId="20B8DDA5" w14:textId="73F931CA" w:rsidR="00181B12"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 xml:space="preserve">that start-up entrepreneurs and MSMEs, especially those from developing countries </w:t>
      </w:r>
      <w:r w:rsidRPr="00B670FD">
        <w:rPr>
          <w:rFonts w:asciiTheme="minorHAnsi" w:hAnsiTheme="minorHAnsi" w:cstheme="minorHAnsi"/>
          <w:i/>
          <w:iCs/>
          <w:sz w:val="22"/>
          <w:szCs w:val="22"/>
          <w:lang w:val="en-US"/>
        </w:rPr>
        <w:t>unserved</w:t>
      </w:r>
      <w:r w:rsidRPr="00B670FD">
        <w:rPr>
          <w:rFonts w:asciiTheme="minorHAnsi" w:hAnsiTheme="minorHAnsi" w:cstheme="minorHAnsi"/>
          <w:sz w:val="22"/>
          <w:szCs w:val="22"/>
          <w:lang w:val="en-US"/>
        </w:rPr>
        <w:t xml:space="preserve"> and under-served areas, face prominent challenges regarding ICT-centric innovation and application and these challenges should be addressed </w:t>
      </w:r>
      <w:proofErr w:type="gramStart"/>
      <w:r w:rsidRPr="00B670FD">
        <w:rPr>
          <w:rFonts w:asciiTheme="minorHAnsi" w:hAnsiTheme="minorHAnsi" w:cstheme="minorHAnsi"/>
          <w:sz w:val="22"/>
          <w:szCs w:val="22"/>
          <w:lang w:val="en-US"/>
        </w:rPr>
        <w:t>holistically</w:t>
      </w:r>
      <w:r w:rsidR="00D82B1D" w:rsidRPr="00B670FD">
        <w:rPr>
          <w:rFonts w:asciiTheme="minorHAnsi" w:hAnsiTheme="minorHAnsi" w:cstheme="minorHAnsi"/>
          <w:sz w:val="22"/>
          <w:szCs w:val="22"/>
          <w:lang w:val="en-US"/>
        </w:rPr>
        <w:t>;</w:t>
      </w:r>
      <w:proofErr w:type="gramEnd"/>
    </w:p>
    <w:p w14:paraId="6F1BB85D" w14:textId="4BB5BF62" w:rsidR="00181B12" w:rsidRPr="00B670FD" w:rsidRDefault="00181B12" w:rsidP="00CB2708">
      <w:pPr>
        <w:pStyle w:val="ListParagraph"/>
        <w:numPr>
          <w:ilvl w:val="2"/>
          <w:numId w:val="3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that ITU has been contributing to the sustainable development of the global digital economy through promoting the access to and development of telecommunications/ICT, advancing standardization of telecommunications/ICT, and fostering partnerships,</w:t>
      </w:r>
    </w:p>
    <w:p w14:paraId="157CB52F" w14:textId="77777777" w:rsidR="00181B12" w:rsidRPr="00B670FD" w:rsidRDefault="00181B12"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considering</w:t>
      </w:r>
    </w:p>
    <w:p w14:paraId="6C3F870A" w14:textId="3715F56C" w:rsidR="00181B12" w:rsidRPr="00B670FD" w:rsidRDefault="00181B12" w:rsidP="00CB2708">
      <w:pPr>
        <w:pStyle w:val="ListParagraph"/>
        <w:numPr>
          <w:ilvl w:val="2"/>
          <w:numId w:val="1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ongoing digital transformation of the economy and society enables innovation and promotes sustainable and inclusive economic </w:t>
      </w:r>
      <w:proofErr w:type="gramStart"/>
      <w:r w:rsidRPr="00B670FD">
        <w:rPr>
          <w:rFonts w:asciiTheme="minorHAnsi" w:hAnsiTheme="minorHAnsi" w:cstheme="minorHAnsi"/>
          <w:sz w:val="22"/>
          <w:szCs w:val="22"/>
        </w:rPr>
        <w:t>development;</w:t>
      </w:r>
      <w:proofErr w:type="gramEnd"/>
      <w:r w:rsidRPr="00B670FD">
        <w:rPr>
          <w:rFonts w:asciiTheme="minorHAnsi" w:hAnsiTheme="minorHAnsi" w:cstheme="minorHAnsi"/>
          <w:sz w:val="22"/>
          <w:szCs w:val="22"/>
        </w:rPr>
        <w:t xml:space="preserve"> </w:t>
      </w:r>
    </w:p>
    <w:p w14:paraId="5C2C88F6" w14:textId="595F0598" w:rsidR="00181B12" w:rsidRPr="00B670FD" w:rsidRDefault="00181B12" w:rsidP="00CB2708">
      <w:pPr>
        <w:pStyle w:val="ListParagraph"/>
        <w:numPr>
          <w:ilvl w:val="2"/>
          <w:numId w:val="1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stakeholders in the private sector, civil society, the technical community and academia have important roles to play in the creation and maintenance of an ecosystem which encourages and supports ICT-centric innovation and entrepreneurship,</w:t>
      </w:r>
    </w:p>
    <w:p w14:paraId="338F28CC" w14:textId="77777777" w:rsidR="00181B12" w:rsidRPr="00B670FD" w:rsidRDefault="00181B12"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noting</w:t>
      </w:r>
    </w:p>
    <w:p w14:paraId="161CF560" w14:textId="77777777" w:rsidR="00181B12" w:rsidRPr="00B670FD" w:rsidRDefault="00181B12" w:rsidP="00CB2708">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rPr>
        <w:t>that existing ITU partnerships advance programmes and initiatives that aim to improve ICT education and equip people, especially youth, with digital skills and improve digital literacy, and the work of the Broadband Commission Working Group on Connectivity for MSMEs, which recognizes the critical value of digital transformation for MSMEs in promoting sustainable and inclusive global development,</w:t>
      </w:r>
    </w:p>
    <w:p w14:paraId="6FFE207D" w14:textId="77777777" w:rsidR="00181B12" w:rsidRPr="00B670FD" w:rsidRDefault="00181B12" w:rsidP="00CB2708">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is of the view</w:t>
      </w:r>
    </w:p>
    <w:p w14:paraId="03315998" w14:textId="0D175083"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telecommunications/ICTs are key enablers of entrepreneurship across societies, with green and sustainable telecommunications/ICTs offering significant opportunities for growth, innovation, and sustainable </w:t>
      </w:r>
      <w:proofErr w:type="gramStart"/>
      <w:r w:rsidRPr="00B670FD">
        <w:rPr>
          <w:rFonts w:asciiTheme="minorHAnsi" w:hAnsiTheme="minorHAnsi" w:cstheme="minorHAnsi"/>
          <w:sz w:val="22"/>
          <w:szCs w:val="22"/>
        </w:rPr>
        <w:t>development;</w:t>
      </w:r>
      <w:proofErr w:type="gramEnd"/>
    </w:p>
    <w:p w14:paraId="1746CB34" w14:textId="245B7341"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strengthening ICT-centric innovation ecosystems and entrepreneurship requires activating key factors such as capital, telecommunication/ICT and different skills, fostering public-private partnerships, including for financing; and ensuring open and competitive markets that enable new players to enter, innovate, and grow; and streamlining regulatory </w:t>
      </w:r>
      <w:proofErr w:type="gramStart"/>
      <w:r w:rsidRPr="00B670FD">
        <w:rPr>
          <w:rFonts w:asciiTheme="minorHAnsi" w:hAnsiTheme="minorHAnsi" w:cstheme="minorHAnsi"/>
          <w:sz w:val="22"/>
          <w:szCs w:val="22"/>
        </w:rPr>
        <w:t>framework</w:t>
      </w:r>
      <w:r w:rsidR="00D82B1D" w:rsidRPr="00B670FD">
        <w:rPr>
          <w:rFonts w:asciiTheme="minorHAnsi" w:hAnsiTheme="minorHAnsi" w:cstheme="minorHAnsi"/>
          <w:sz w:val="22"/>
          <w:szCs w:val="22"/>
        </w:rPr>
        <w:t>;</w:t>
      </w:r>
      <w:proofErr w:type="gramEnd"/>
    </w:p>
    <w:p w14:paraId="11EE391A" w14:textId="182A8D0C"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evidence-based policymaking and transparent, proportionate, interoperable and predictable regulatory frameworks that consider best practices for updating are essential for fostering ICT-centric innovation and 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chains;</w:t>
      </w:r>
    </w:p>
    <w:p w14:paraId="7B114F31" w14:textId="7CE37FD8"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sustained efforts are essential to improve the inclusiveness of the digital economy and build a sustainable, enabling, inclusive, open and fair, telecommunications/ICT ecosystem, while governments must collaborate with other stakeholders to create a robust and flexible policy environment that keeps pace with innovation in the ICT </w:t>
      </w:r>
      <w:proofErr w:type="gramStart"/>
      <w:r w:rsidRPr="00B670FD">
        <w:rPr>
          <w:rFonts w:asciiTheme="minorHAnsi" w:hAnsiTheme="minorHAnsi" w:cstheme="minorHAnsi"/>
          <w:sz w:val="22"/>
          <w:szCs w:val="22"/>
        </w:rPr>
        <w:t>sector;</w:t>
      </w:r>
      <w:proofErr w:type="gramEnd"/>
    </w:p>
    <w:p w14:paraId="62180635" w14:textId="67C1E2E1"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availability and quality of digital skilling opportunities, including through school curricula and lifelong learning, play a critical role in shaping a society's potential for innovation and </w:t>
      </w:r>
      <w:proofErr w:type="gramStart"/>
      <w:r w:rsidRPr="00B670FD">
        <w:rPr>
          <w:rFonts w:asciiTheme="minorHAnsi" w:hAnsiTheme="minorHAnsi" w:cstheme="minorHAnsi"/>
          <w:sz w:val="22"/>
          <w:szCs w:val="22"/>
        </w:rPr>
        <w:t>entrepreneurship;</w:t>
      </w:r>
      <w:proofErr w:type="gramEnd"/>
    </w:p>
    <w:p w14:paraId="4EB2FF63" w14:textId="5AC7DCB2"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it is crucial to empower historically unserved and underserved communities as entrepreneurs by ensuring their access to key enablers of innovation, such as financing, thereby fostering inclusivity and equal opportunities within ICT-centric innovation </w:t>
      </w:r>
      <w:proofErr w:type="gramStart"/>
      <w:r w:rsidRPr="00B670FD">
        <w:rPr>
          <w:rFonts w:asciiTheme="minorHAnsi" w:hAnsiTheme="minorHAnsi" w:cstheme="minorHAnsi"/>
          <w:sz w:val="22"/>
          <w:szCs w:val="22"/>
        </w:rPr>
        <w:t>ecosystems;</w:t>
      </w:r>
      <w:proofErr w:type="gramEnd"/>
    </w:p>
    <w:p w14:paraId="43FC5487" w14:textId="1B2ECCF8" w:rsidR="00181B12" w:rsidRPr="00B670FD" w:rsidRDefault="00181B12" w:rsidP="004E6E92">
      <w:pPr>
        <w:pStyle w:val="ListParagraph"/>
        <w:numPr>
          <w:ilvl w:val="3"/>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ITU can further enhance its role in promoting inclusive and innovative development of the global digital economy by leveraging its mandate and resources to support ICT-centric innovation ecosystems, foster entrepreneurship, and advance sustainable development,</w:t>
      </w:r>
    </w:p>
    <w:p w14:paraId="42439789" w14:textId="77777777" w:rsidR="00181B12" w:rsidRPr="00B670FD" w:rsidRDefault="00181B12" w:rsidP="004E6E92">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Member States</w:t>
      </w:r>
    </w:p>
    <w:p w14:paraId="36192A1A" w14:textId="71F117F6"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foster an enabling environment for ICT-centric innovation by strengthening evidence-based policymaking alongside transparent, proportionate, and predictable regulatory frameworks that consider best practices for updating to enhance the ease of doing business and accelerate innovation commercialization, and to integrate the principle of ICT-centric innovation ecosystems into appropriate policies and strategies that promote inclusivity and fairness while empowering MSMEs to actively participate in the digital economy and enhance competition;</w:t>
      </w:r>
    </w:p>
    <w:p w14:paraId="7E70FE49" w14:textId="106BECF3"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invest in research and development for green and sustainable telecommunications/ICTs, encourage both foreign and domestic investments by removing barriers in digital ecosystems, and create favourable conditions for private sector investment and innovation for example, through demand-driven innovation </w:t>
      </w:r>
      <w:proofErr w:type="gramStart"/>
      <w:r w:rsidRPr="00B670FD">
        <w:rPr>
          <w:rFonts w:asciiTheme="minorHAnsi" w:hAnsiTheme="minorHAnsi" w:cstheme="minorHAnsi"/>
          <w:sz w:val="22"/>
          <w:szCs w:val="22"/>
        </w:rPr>
        <w:t>policies  such</w:t>
      </w:r>
      <w:proofErr w:type="gramEnd"/>
      <w:r w:rsidRPr="00B670FD">
        <w:rPr>
          <w:rFonts w:asciiTheme="minorHAnsi" w:hAnsiTheme="minorHAnsi" w:cstheme="minorHAnsi"/>
          <w:sz w:val="22"/>
          <w:szCs w:val="22"/>
        </w:rPr>
        <w:t xml:space="preserve"> as targeted incentives and streamlined procurement to stimulate private-sector demand and speed up </w:t>
      </w:r>
      <w:proofErr w:type="gramStart"/>
      <w:r w:rsidRPr="00B670FD">
        <w:rPr>
          <w:rFonts w:asciiTheme="minorHAnsi" w:hAnsiTheme="minorHAnsi" w:cstheme="minorHAnsi"/>
          <w:sz w:val="22"/>
          <w:szCs w:val="22"/>
        </w:rPr>
        <w:t>commercialization;</w:t>
      </w:r>
      <w:proofErr w:type="gramEnd"/>
    </w:p>
    <w:p w14:paraId="4FD8245D" w14:textId="1AD44BEF"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promote sustainability and awareness of environmental challenges within initiatives aimed at strengthening ICT-centric innovation ecosystems and </w:t>
      </w:r>
      <w:proofErr w:type="gramStart"/>
      <w:r w:rsidRPr="00B670FD">
        <w:rPr>
          <w:rFonts w:asciiTheme="minorHAnsi" w:hAnsiTheme="minorHAnsi" w:cstheme="minorHAnsi"/>
          <w:sz w:val="22"/>
          <w:szCs w:val="22"/>
        </w:rPr>
        <w:t>entrepreneurship;</w:t>
      </w:r>
      <w:proofErr w:type="gramEnd"/>
    </w:p>
    <w:p w14:paraId="31F7E8B7" w14:textId="0D61E6A3"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promote widespread, affordable access to telecommunication/ICT services by fostering ICT-centric innovation ecosystems through competition, innovation, regulatory frameworks that consider best practices for updating, that enhance the affordability and availability of telecommunication/ICT equipment to support innovation and </w:t>
      </w:r>
      <w:proofErr w:type="gramStart"/>
      <w:r w:rsidRPr="00B670FD">
        <w:rPr>
          <w:rFonts w:asciiTheme="minorHAnsi" w:hAnsiTheme="minorHAnsi" w:cstheme="minorHAnsi"/>
          <w:sz w:val="22"/>
          <w:szCs w:val="22"/>
        </w:rPr>
        <w:t>entrepreneurship;</w:t>
      </w:r>
      <w:proofErr w:type="gramEnd"/>
    </w:p>
    <w:p w14:paraId="0EA781A9" w14:textId="77F2235A"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improve the public service for digital transformation, and help start-up entrepreneurs and enterprises better apply telecommunications/</w:t>
      </w:r>
      <w:proofErr w:type="gramStart"/>
      <w:r w:rsidRPr="00B670FD">
        <w:rPr>
          <w:rFonts w:asciiTheme="minorHAnsi" w:hAnsiTheme="minorHAnsi" w:cstheme="minorHAnsi"/>
          <w:sz w:val="22"/>
          <w:szCs w:val="22"/>
        </w:rPr>
        <w:t>ICTs;</w:t>
      </w:r>
      <w:proofErr w:type="gramEnd"/>
    </w:p>
    <w:p w14:paraId="4B25E751" w14:textId="4ECD2391"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w:t>
      </w:r>
      <w:proofErr w:type="gramStart"/>
      <w:r w:rsidRPr="00B670FD">
        <w:rPr>
          <w:rFonts w:asciiTheme="minorHAnsi" w:hAnsiTheme="minorHAnsi" w:cstheme="minorHAnsi"/>
          <w:sz w:val="22"/>
          <w:szCs w:val="22"/>
        </w:rPr>
        <w:t>entrepreneurship</w:t>
      </w:r>
      <w:r w:rsidR="00D82B1D" w:rsidRPr="00B670FD">
        <w:rPr>
          <w:rFonts w:asciiTheme="minorHAnsi" w:hAnsiTheme="minorHAnsi" w:cstheme="minorHAnsi"/>
          <w:sz w:val="22"/>
          <w:szCs w:val="22"/>
        </w:rPr>
        <w:t>;</w:t>
      </w:r>
      <w:proofErr w:type="gramEnd"/>
    </w:p>
    <w:p w14:paraId="0827EDBD" w14:textId="5DAAD580"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support efforts to create an enabling environment for digital </w:t>
      </w:r>
      <w:proofErr w:type="gramStart"/>
      <w:r w:rsidRPr="00B670FD">
        <w:rPr>
          <w:rFonts w:asciiTheme="minorHAnsi" w:hAnsiTheme="minorHAnsi" w:cstheme="minorHAnsi"/>
          <w:sz w:val="22"/>
          <w:szCs w:val="22"/>
        </w:rPr>
        <w:t>transformation</w:t>
      </w:r>
      <w:r w:rsidR="00D82B1D" w:rsidRPr="00B670FD">
        <w:rPr>
          <w:rFonts w:asciiTheme="minorHAnsi" w:hAnsiTheme="minorHAnsi" w:cstheme="minorHAnsi"/>
          <w:sz w:val="22"/>
          <w:szCs w:val="22"/>
        </w:rPr>
        <w:t>;</w:t>
      </w:r>
      <w:proofErr w:type="gramEnd"/>
    </w:p>
    <w:p w14:paraId="7ED820EE" w14:textId="71050ED6"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w:t>
      </w:r>
      <w:proofErr w:type="gramStart"/>
      <w:r w:rsidRPr="00B670FD">
        <w:rPr>
          <w:rFonts w:asciiTheme="minorHAnsi" w:hAnsiTheme="minorHAnsi" w:cstheme="minorHAnsi"/>
          <w:sz w:val="22"/>
          <w:szCs w:val="22"/>
        </w:rPr>
        <w:t>innovation</w:t>
      </w:r>
      <w:r w:rsidR="00D82B1D" w:rsidRPr="00B670FD">
        <w:rPr>
          <w:rFonts w:asciiTheme="minorHAnsi" w:hAnsiTheme="minorHAnsi" w:cstheme="minorHAnsi"/>
          <w:sz w:val="22"/>
          <w:szCs w:val="22"/>
        </w:rPr>
        <w:t>;</w:t>
      </w:r>
      <w:proofErr w:type="gramEnd"/>
    </w:p>
    <w:p w14:paraId="65049623" w14:textId="77777777"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take steps to address the gender digital divide </w:t>
      </w:r>
      <w:proofErr w:type="gramStart"/>
      <w:r w:rsidRPr="00B670FD">
        <w:rPr>
          <w:rFonts w:asciiTheme="minorHAnsi" w:hAnsiTheme="minorHAnsi" w:cstheme="minorHAnsi"/>
          <w:sz w:val="22"/>
          <w:szCs w:val="22"/>
        </w:rPr>
        <w:t>in order to</w:t>
      </w:r>
      <w:proofErr w:type="gramEnd"/>
      <w:r w:rsidRPr="00B670FD">
        <w:rPr>
          <w:rFonts w:asciiTheme="minorHAnsi" w:hAnsiTheme="minorHAnsi" w:cstheme="minorHAnsi"/>
          <w:sz w:val="22"/>
          <w:szCs w:val="22"/>
        </w:rPr>
        <w:t xml:space="preserve"> support innovation and entrepreneurship by women and girls in the telecommunications/ICT </w:t>
      </w:r>
      <w:proofErr w:type="gramStart"/>
      <w:r w:rsidRPr="00B670FD">
        <w:rPr>
          <w:rFonts w:asciiTheme="minorHAnsi" w:hAnsiTheme="minorHAnsi" w:cstheme="minorHAnsi"/>
          <w:sz w:val="22"/>
          <w:szCs w:val="22"/>
        </w:rPr>
        <w:t>sector</w:t>
      </w:r>
      <w:r w:rsidR="00D82B1D" w:rsidRPr="00B670FD">
        <w:rPr>
          <w:rFonts w:asciiTheme="minorHAnsi" w:hAnsiTheme="minorHAnsi" w:cstheme="minorHAnsi"/>
          <w:sz w:val="22"/>
          <w:szCs w:val="22"/>
        </w:rPr>
        <w:t>;</w:t>
      </w:r>
      <w:proofErr w:type="gramEnd"/>
    </w:p>
    <w:p w14:paraId="3D38C3E1" w14:textId="795C3183" w:rsidR="00181B12" w:rsidRPr="00B670FD" w:rsidRDefault="00181B12" w:rsidP="00BC60D9">
      <w:pPr>
        <w:pStyle w:val="ListParagraph"/>
        <w:numPr>
          <w:ilvl w:val="0"/>
          <w:numId w:val="4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strengthen the role of ICT-centric innovation as a driver of the global services sector and the digital economy, supported by appropriate frameworks for digital entrepreneurship</w:t>
      </w:r>
      <w:r w:rsidR="00BC60D9" w:rsidRPr="00B670FD">
        <w:rPr>
          <w:rFonts w:asciiTheme="minorHAnsi" w:hAnsiTheme="minorHAnsi" w:cstheme="minorHAnsi"/>
          <w:sz w:val="22"/>
          <w:szCs w:val="22"/>
        </w:rPr>
        <w:t>,</w:t>
      </w:r>
    </w:p>
    <w:p w14:paraId="45BF73E4" w14:textId="77777777" w:rsidR="00181B12" w:rsidRPr="00B670FD" w:rsidRDefault="00181B12" w:rsidP="000E3C13">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Member States and Sector Members</w:t>
      </w:r>
      <w:r w:rsidRPr="00B670FD">
        <w:rPr>
          <w:rFonts w:asciiTheme="minorHAnsi" w:hAnsiTheme="minorHAnsi" w:cstheme="minorHAnsi"/>
          <w:sz w:val="22"/>
          <w:szCs w:val="22"/>
        </w:rPr>
        <w:t xml:space="preserve"> and other stakeholders</w:t>
      </w:r>
    </w:p>
    <w:p w14:paraId="5CCDD3E8" w14:textId="43475651"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continue to strive fostering a policy environment based on transparency, stability, predictability and competitiveness, </w:t>
      </w:r>
      <w:proofErr w:type="gramStart"/>
      <w:r w:rsidRPr="00B670FD">
        <w:rPr>
          <w:rFonts w:asciiTheme="minorHAnsi" w:hAnsiTheme="minorHAnsi" w:cstheme="minorHAnsi"/>
          <w:sz w:val="22"/>
          <w:szCs w:val="22"/>
        </w:rPr>
        <w:t>in order to</w:t>
      </w:r>
      <w:proofErr w:type="gramEnd"/>
      <w:r w:rsidRPr="00B670FD">
        <w:rPr>
          <w:rFonts w:asciiTheme="minorHAnsi" w:hAnsiTheme="minorHAnsi" w:cstheme="minorHAnsi"/>
          <w:sz w:val="22"/>
          <w:szCs w:val="22"/>
        </w:rPr>
        <w:t xml:space="preserve"> provide support for promoting an innovation ecosystem centred on </w:t>
      </w:r>
      <w:proofErr w:type="gramStart"/>
      <w:r w:rsidRPr="00B670FD">
        <w:rPr>
          <w:rFonts w:asciiTheme="minorHAnsi" w:hAnsiTheme="minorHAnsi" w:cstheme="minorHAnsi"/>
          <w:sz w:val="22"/>
          <w:szCs w:val="22"/>
        </w:rPr>
        <w:t>ICT;</w:t>
      </w:r>
      <w:proofErr w:type="gramEnd"/>
    </w:p>
    <w:p w14:paraId="5F476291" w14:textId="19F7FB5B"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w:t>
      </w:r>
      <w:proofErr w:type="gramStart"/>
      <w:r w:rsidRPr="00B670FD">
        <w:rPr>
          <w:rFonts w:asciiTheme="minorHAnsi" w:hAnsiTheme="minorHAnsi" w:cstheme="minorHAnsi"/>
          <w:sz w:val="22"/>
          <w:szCs w:val="22"/>
        </w:rPr>
        <w:t>entrepreneurship;</w:t>
      </w:r>
      <w:proofErr w:type="gramEnd"/>
      <w:r w:rsidRPr="00B670FD">
        <w:rPr>
          <w:rFonts w:asciiTheme="minorHAnsi" w:hAnsiTheme="minorHAnsi" w:cstheme="minorHAnsi"/>
          <w:sz w:val="22"/>
          <w:szCs w:val="22"/>
        </w:rPr>
        <w:t xml:space="preserve"> </w:t>
      </w:r>
    </w:p>
    <w:p w14:paraId="509D351C" w14:textId="41104727"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develop public-private-partnerships telecommunications/ICT infrastructure, incubation, and early-stage funding for ICT </w:t>
      </w:r>
      <w:proofErr w:type="gramStart"/>
      <w:r w:rsidRPr="00B670FD">
        <w:rPr>
          <w:rFonts w:asciiTheme="minorHAnsi" w:hAnsiTheme="minorHAnsi" w:cstheme="minorHAnsi"/>
          <w:sz w:val="22"/>
          <w:szCs w:val="22"/>
        </w:rPr>
        <w:t>start-ups;</w:t>
      </w:r>
      <w:proofErr w:type="gramEnd"/>
    </w:p>
    <w:p w14:paraId="3A0B443F" w14:textId="7E7989C8"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facilitate the integration and collaborative development of enterprises of all sizes—large, medium, and small—while promoting the digital transformation of the entire value chain, and to proactively share best practices that support MSMEs in their digital transformation </w:t>
      </w:r>
      <w:proofErr w:type="gramStart"/>
      <w:r w:rsidRPr="00B670FD">
        <w:rPr>
          <w:rFonts w:asciiTheme="minorHAnsi" w:hAnsiTheme="minorHAnsi" w:cstheme="minorHAnsi"/>
          <w:sz w:val="22"/>
          <w:szCs w:val="22"/>
        </w:rPr>
        <w:t>efforts;</w:t>
      </w:r>
      <w:proofErr w:type="gramEnd"/>
    </w:p>
    <w:p w14:paraId="5D45ECE4" w14:textId="3F9BEEE3"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support and establish initiatives that promote entrepreneurship among young people, while enhancing digital talent supply and financial support through targeted digital skills training and innovative financial measures for MSMEs to foster sustainable growth and innovation, and by partnering with industry and academia to expand digital-literacy programmes and close existing skills </w:t>
      </w:r>
      <w:proofErr w:type="gramStart"/>
      <w:r w:rsidRPr="00B670FD">
        <w:rPr>
          <w:rFonts w:asciiTheme="minorHAnsi" w:hAnsiTheme="minorHAnsi" w:cstheme="minorHAnsi"/>
          <w:sz w:val="22"/>
          <w:szCs w:val="22"/>
        </w:rPr>
        <w:t>gaps;</w:t>
      </w:r>
      <w:proofErr w:type="gramEnd"/>
    </w:p>
    <w:p w14:paraId="5E9DD605" w14:textId="2E4863AA"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create an enabling environment for innovation and economic growth by facilitating innovative access to finance through public-private partnership models, while promoting competition, regulatory frameworks that consider best practices for updating, and private sector investment to drive the adoption of new and emerging telecommunication/ICT services and technologies at national, regional, and global </w:t>
      </w:r>
      <w:proofErr w:type="gramStart"/>
      <w:r w:rsidRPr="00B670FD">
        <w:rPr>
          <w:rFonts w:asciiTheme="minorHAnsi" w:hAnsiTheme="minorHAnsi" w:cstheme="minorHAnsi"/>
          <w:sz w:val="22"/>
          <w:szCs w:val="22"/>
        </w:rPr>
        <w:t>levels;</w:t>
      </w:r>
      <w:proofErr w:type="gramEnd"/>
    </w:p>
    <w:p w14:paraId="68286CEF" w14:textId="6AB7BEB5"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needs and by fostering an enabling environment that strengthens MSMEs and ICT </w:t>
      </w:r>
      <w:proofErr w:type="gramStart"/>
      <w:r w:rsidRPr="00B670FD">
        <w:rPr>
          <w:rFonts w:asciiTheme="minorHAnsi" w:hAnsiTheme="minorHAnsi" w:cstheme="minorHAnsi"/>
          <w:sz w:val="22"/>
          <w:szCs w:val="22"/>
        </w:rPr>
        <w:t>entrepreneurship;</w:t>
      </w:r>
      <w:proofErr w:type="gramEnd"/>
    </w:p>
    <w:p w14:paraId="71E7F4F9" w14:textId="603123EE" w:rsidR="00181B12" w:rsidRPr="00B670FD" w:rsidRDefault="00181B12" w:rsidP="002A53B7">
      <w:pPr>
        <w:pStyle w:val="ListParagraph"/>
        <w:numPr>
          <w:ilvl w:val="0"/>
          <w:numId w:val="4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deepen international cooperation, while building a broad network for knowledge sharing, capability development, equitable access to </w:t>
      </w:r>
      <w:r w:rsidRPr="00B670FD">
        <w:rPr>
          <w:rFonts w:asciiTheme="minorHAnsi" w:hAnsiTheme="minorHAnsi" w:cstheme="minorHAnsi"/>
          <w:iCs/>
          <w:sz w:val="22"/>
          <w:szCs w:val="22"/>
        </w:rPr>
        <w:t>and sharing of the benefits of telecommunications/ICTs</w:t>
      </w:r>
      <w:r w:rsidRPr="00B670FD">
        <w:rPr>
          <w:rFonts w:asciiTheme="minorHAnsi" w:hAnsiTheme="minorHAnsi" w:cstheme="minorHAnsi"/>
          <w:sz w:val="22"/>
          <w:szCs w:val="22"/>
        </w:rPr>
        <w:t xml:space="preserve"> and bridging the digital divide</w:t>
      </w:r>
      <w:r w:rsidR="00D82B1D" w:rsidRPr="00B670FD">
        <w:rPr>
          <w:rFonts w:asciiTheme="minorHAnsi" w:hAnsiTheme="minorHAnsi" w:cstheme="minorHAnsi"/>
          <w:sz w:val="22"/>
          <w:szCs w:val="22"/>
        </w:rPr>
        <w:t>,</w:t>
      </w:r>
    </w:p>
    <w:p w14:paraId="6AADE0BA" w14:textId="77777777" w:rsidR="00181B12" w:rsidRPr="00B670FD" w:rsidRDefault="00181B12" w:rsidP="002A53B7">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the Secretary-General</w:t>
      </w:r>
    </w:p>
    <w:p w14:paraId="2B932B8B" w14:textId="77777777" w:rsidR="00181B12" w:rsidRPr="00181B12" w:rsidRDefault="00181B12" w:rsidP="002A53B7">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to strengthen the ITU as a platform for collaboration, capacity building, exchanging best practices including on updating regulatory frameworks, collective learning and dialogue among key stakeholders, including Member States, the private sector, civil society, the technical community and academia on ICT-centric innovation ecosystems and entrepreneurship.</w:t>
      </w:r>
    </w:p>
    <w:p w14:paraId="0A86B402" w14:textId="7719465F" w:rsidR="002B2410" w:rsidRPr="00950B87" w:rsidRDefault="002A53B7" w:rsidP="002A53B7">
      <w:pPr>
        <w:tabs>
          <w:tab w:val="clear" w:pos="567"/>
          <w:tab w:val="clear" w:pos="1134"/>
          <w:tab w:val="clear" w:pos="1701"/>
          <w:tab w:val="clear" w:pos="2268"/>
          <w:tab w:val="clear" w:pos="2835"/>
        </w:tabs>
        <w:overflowPunct/>
        <w:autoSpaceDE/>
        <w:autoSpaceDN/>
        <w:adjustRightInd/>
        <w:spacing w:before="720"/>
        <w:jc w:val="center"/>
        <w:textAlignment w:val="auto"/>
        <w:rPr>
          <w:rFonts w:asciiTheme="minorHAnsi" w:hAnsiTheme="minorHAnsi" w:cstheme="minorHAnsi"/>
          <w:sz w:val="22"/>
          <w:szCs w:val="22"/>
        </w:rPr>
      </w:pPr>
      <w:r>
        <w:rPr>
          <w:rFonts w:asciiTheme="minorHAnsi" w:hAnsiTheme="minorHAnsi" w:cstheme="minorHAnsi"/>
          <w:sz w:val="22"/>
          <w:szCs w:val="22"/>
        </w:rPr>
        <w:t>______________________</w:t>
      </w:r>
    </w:p>
    <w:sectPr w:rsidR="002B2410" w:rsidRPr="00950B87" w:rsidSect="00EB053E">
      <w:headerReference w:type="default" r:id="rId31"/>
      <w:footerReference w:type="default" r:id="rId32"/>
      <w:footerReference w:type="first" r:id="rId33"/>
      <w:pgSz w:w="11907" w:h="16834" w:code="9"/>
      <w:pgMar w:top="1418" w:right="1418" w:bottom="1021" w:left="1418" w:header="720" w:footer="62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CCC3" w14:textId="77777777" w:rsidR="00D70F2E" w:rsidRDefault="00D70F2E">
      <w:r>
        <w:separator/>
      </w:r>
    </w:p>
  </w:endnote>
  <w:endnote w:type="continuationSeparator" w:id="0">
    <w:p w14:paraId="2022B6F1" w14:textId="77777777" w:rsidR="00D70F2E" w:rsidRDefault="00D7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F647"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1AAB"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8224" w14:textId="77777777" w:rsidR="00D70F2E" w:rsidRDefault="00D70F2E">
      <w:r>
        <w:t>____________________</w:t>
      </w:r>
    </w:p>
  </w:footnote>
  <w:footnote w:type="continuationSeparator" w:id="0">
    <w:p w14:paraId="32A861C3" w14:textId="77777777" w:rsidR="00D70F2E" w:rsidRDefault="00D7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410F" w14:textId="7964E9B1" w:rsidR="00756188" w:rsidRDefault="00A00277" w:rsidP="00756188">
    <w:pPr>
      <w:pStyle w:val="Header"/>
    </w:pPr>
    <w:r w:rsidRPr="00A00277">
      <w:rPr>
        <w:bCs/>
      </w:rPr>
      <w:fldChar w:fldCharType="begin"/>
    </w:r>
    <w:r w:rsidRPr="00A00277">
      <w:rPr>
        <w:bCs/>
      </w:rPr>
      <w:instrText xml:space="preserve"> PAGE   \* MERGEFORMAT </w:instrText>
    </w:r>
    <w:r w:rsidRPr="00A00277">
      <w:rPr>
        <w:bCs/>
      </w:rPr>
      <w:fldChar w:fldCharType="separate"/>
    </w:r>
    <w:r w:rsidRPr="00A00277">
      <w:rPr>
        <w:bCs/>
      </w:rPr>
      <w:t>- 2 -</w:t>
    </w:r>
    <w:r w:rsidRPr="00A00277">
      <w:rPr>
        <w:bCs/>
      </w:rPr>
      <w:fldChar w:fldCharType="end"/>
    </w:r>
    <w:r>
      <w:rPr>
        <w:bCs/>
      </w:rPr>
      <w:br/>
    </w:r>
    <w:r w:rsidR="00012CED">
      <w:rPr>
        <w:bCs/>
      </w:rPr>
      <w:t>Fourth</w:t>
    </w:r>
    <w:r w:rsidR="00756188" w:rsidRPr="00756188">
      <w:rPr>
        <w:bCs/>
      </w:rPr>
      <w:t xml:space="preserve"> draft Report— </w:t>
    </w:r>
    <w:r w:rsidR="000D4E15">
      <w:rPr>
        <w:bCs/>
      </w:rPr>
      <w:t>3</w:t>
    </w:r>
    <w:r w:rsidR="00756188" w:rsidRPr="00756188">
      <w:rPr>
        <w:bCs/>
      </w:rPr>
      <w:t xml:space="preserve"> </w:t>
    </w:r>
    <w:r w:rsidR="000D4E15">
      <w:rPr>
        <w:bCs/>
      </w:rPr>
      <w:t>November</w:t>
    </w:r>
    <w:r w:rsidR="00756188" w:rsidRPr="00756188">
      <w:rPr>
        <w:bC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8AB"/>
    <w:multiLevelType w:val="hybridMultilevel"/>
    <w:tmpl w:val="DEE829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99C21872">
      <w:start w:val="1"/>
      <w:numFmt w:val="lowerLetter"/>
      <w:lvlText w:val="%3)"/>
      <w:lvlJc w:val="left"/>
      <w:pPr>
        <w:ind w:left="720" w:hanging="360"/>
      </w:pPr>
      <w:rPr>
        <w:rFonts w:hint="default"/>
        <w:b w:val="0"/>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825EA"/>
    <w:multiLevelType w:val="hybridMultilevel"/>
    <w:tmpl w:val="78B88DDE"/>
    <w:lvl w:ilvl="0" w:tplc="7AA0F03E">
      <w:start w:val="1"/>
      <w:numFmt w:val="decimal"/>
      <w:lvlText w:val="%1"/>
      <w:lvlJc w:val="left"/>
      <w:pPr>
        <w:ind w:left="924" w:hanging="564"/>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DA1B32"/>
    <w:multiLevelType w:val="hybridMultilevel"/>
    <w:tmpl w:val="BCDE3A0A"/>
    <w:lvl w:ilvl="0" w:tplc="1D8CC5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5035E"/>
    <w:multiLevelType w:val="hybridMultilevel"/>
    <w:tmpl w:val="C97AF468"/>
    <w:lvl w:ilvl="0" w:tplc="FFFFFFFF">
      <w:start w:val="1"/>
      <w:numFmt w:val="lowerLetter"/>
      <w:lvlText w:val="%1)"/>
      <w:lvlJc w:val="left"/>
      <w:pPr>
        <w:ind w:left="27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2012B"/>
    <w:multiLevelType w:val="hybridMultilevel"/>
    <w:tmpl w:val="F0E8AA4A"/>
    <w:lvl w:ilvl="0" w:tplc="6568D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00606"/>
    <w:multiLevelType w:val="hybridMultilevel"/>
    <w:tmpl w:val="2102CEFA"/>
    <w:lvl w:ilvl="0" w:tplc="FFFFFFFF">
      <w:start w:val="1"/>
      <w:numFmt w:val="decimal"/>
      <w:lvlText w:val="%1."/>
      <w:lvlJc w:val="left"/>
      <w:pPr>
        <w:ind w:left="720" w:hanging="360"/>
      </w:pPr>
      <w:rPr>
        <w:rFonts w:hint="default"/>
      </w:rPr>
    </w:lvl>
    <w:lvl w:ilvl="1" w:tplc="2EAE100C">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71353"/>
    <w:multiLevelType w:val="hybridMultilevel"/>
    <w:tmpl w:val="F7F2A6AC"/>
    <w:lvl w:ilvl="0" w:tplc="6568DFD0">
      <w:start w:val="1"/>
      <w:numFmt w:val="lowerLetter"/>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27C03"/>
    <w:multiLevelType w:val="hybridMultilevel"/>
    <w:tmpl w:val="23D85780"/>
    <w:lvl w:ilvl="0" w:tplc="5ECAE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7791B"/>
    <w:multiLevelType w:val="hybridMultilevel"/>
    <w:tmpl w:val="5896F124"/>
    <w:lvl w:ilvl="0" w:tplc="81203518">
      <w:start w:val="1"/>
      <w:numFmt w:val="lowerLetter"/>
      <w:lvlText w:val="%1)"/>
      <w:lvlJc w:val="left"/>
      <w:pPr>
        <w:ind w:left="1134" w:hanging="1134"/>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5338C"/>
    <w:multiLevelType w:val="hybridMultilevel"/>
    <w:tmpl w:val="578AB2FE"/>
    <w:lvl w:ilvl="0" w:tplc="99C21872">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C7B66"/>
    <w:multiLevelType w:val="hybridMultilevel"/>
    <w:tmpl w:val="BB4490C8"/>
    <w:lvl w:ilvl="0" w:tplc="CEFAD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34607C"/>
    <w:multiLevelType w:val="hybridMultilevel"/>
    <w:tmpl w:val="B83A10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7F9041F4">
      <w:start w:val="1"/>
      <w:numFmt w:val="lowerLetter"/>
      <w:lvlText w:val="%3)"/>
      <w:lvlJc w:val="left"/>
      <w:pPr>
        <w:ind w:left="720" w:hanging="360"/>
      </w:pPr>
      <w:rPr>
        <w:rFonts w:hint="default"/>
        <w:i/>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3854"/>
    <w:multiLevelType w:val="hybridMultilevel"/>
    <w:tmpl w:val="E67E0FD0"/>
    <w:lvl w:ilvl="0" w:tplc="99C21872">
      <w:start w:val="1"/>
      <w:numFmt w:val="lowerLetter"/>
      <w:lvlText w:val="%1)"/>
      <w:lvlJc w:val="left"/>
      <w:pPr>
        <w:ind w:left="1134" w:hanging="1134"/>
      </w:pPr>
      <w:rPr>
        <w:rFonts w:hint="default"/>
        <w:b w:val="0"/>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686EED"/>
    <w:multiLevelType w:val="hybridMultilevel"/>
    <w:tmpl w:val="71C4C4CE"/>
    <w:lvl w:ilvl="0" w:tplc="6568D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02122"/>
    <w:multiLevelType w:val="hybridMultilevel"/>
    <w:tmpl w:val="FB4AD5FA"/>
    <w:lvl w:ilvl="0" w:tplc="ECF86540">
      <w:start w:val="1"/>
      <w:numFmt w:val="decimal"/>
      <w:lvlText w:val="%1"/>
      <w:lvlJc w:val="left"/>
      <w:pPr>
        <w:ind w:left="3290" w:hanging="7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CB6EC9"/>
    <w:multiLevelType w:val="multilevel"/>
    <w:tmpl w:val="7C2AC548"/>
    <w:lvl w:ilvl="0">
      <w:start w:val="1"/>
      <w:numFmt w:val="decimal"/>
      <w:lvlText w:val="%1."/>
      <w:lvlJc w:val="left"/>
      <w:pPr>
        <w:ind w:left="360" w:hanging="360"/>
      </w:pPr>
    </w:lvl>
    <w:lvl w:ilvl="1">
      <w:start w:val="1"/>
      <w:numFmt w:val="decimal"/>
      <w:lvlText w:val="%1.%2."/>
      <w:lvlJc w:val="left"/>
      <w:pPr>
        <w:ind w:left="792" w:hanging="432"/>
      </w:pPr>
      <w:rPr>
        <w:spacing w:val="-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2A3A05"/>
    <w:multiLevelType w:val="hybridMultilevel"/>
    <w:tmpl w:val="2CEA6E5A"/>
    <w:lvl w:ilvl="0" w:tplc="CEFAD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4292F"/>
    <w:multiLevelType w:val="hybridMultilevel"/>
    <w:tmpl w:val="3FE6E898"/>
    <w:lvl w:ilvl="0" w:tplc="FFFFFFFF">
      <w:start w:val="1"/>
      <w:numFmt w:val="lowerLetter"/>
      <w:lvlText w:val="%1)"/>
      <w:lvlJc w:val="left"/>
      <w:pPr>
        <w:ind w:left="27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D12CE"/>
    <w:multiLevelType w:val="hybridMultilevel"/>
    <w:tmpl w:val="29C49434"/>
    <w:lvl w:ilvl="0" w:tplc="99C21872">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81C9A"/>
    <w:multiLevelType w:val="hybridMultilevel"/>
    <w:tmpl w:val="5B182294"/>
    <w:lvl w:ilvl="0" w:tplc="34F4EA40">
      <w:start w:val="1"/>
      <w:numFmt w:val="decimal"/>
      <w:lvlText w:val="%1"/>
      <w:lvlJc w:val="left"/>
      <w:pPr>
        <w:ind w:left="1134" w:hanging="113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1605BD"/>
    <w:multiLevelType w:val="hybridMultilevel"/>
    <w:tmpl w:val="29C49434"/>
    <w:lvl w:ilvl="0" w:tplc="FFFFFFFF">
      <w:start w:val="1"/>
      <w:numFmt w:val="lowerLetter"/>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D621BC"/>
    <w:multiLevelType w:val="hybridMultilevel"/>
    <w:tmpl w:val="CC768160"/>
    <w:lvl w:ilvl="0" w:tplc="3402A9B4">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60C37"/>
    <w:multiLevelType w:val="hybridMultilevel"/>
    <w:tmpl w:val="CBA06A1E"/>
    <w:lvl w:ilvl="0" w:tplc="46F0BB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75445E"/>
    <w:multiLevelType w:val="hybridMultilevel"/>
    <w:tmpl w:val="DE7A744E"/>
    <w:lvl w:ilvl="0" w:tplc="FFFFFFFF">
      <w:start w:val="1"/>
      <w:numFmt w:val="decimal"/>
      <w:lvlText w:val="%1."/>
      <w:lvlJc w:val="left"/>
      <w:pPr>
        <w:ind w:left="720" w:hanging="360"/>
      </w:pPr>
      <w:rPr>
        <w:rFonts w:hint="default"/>
      </w:rPr>
    </w:lvl>
    <w:lvl w:ilvl="1" w:tplc="7B6EB492">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4852E5"/>
    <w:multiLevelType w:val="hybridMultilevel"/>
    <w:tmpl w:val="B43CD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C3DDB"/>
    <w:multiLevelType w:val="hybridMultilevel"/>
    <w:tmpl w:val="C3E4BE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99C21872">
      <w:start w:val="1"/>
      <w:numFmt w:val="lowerLetter"/>
      <w:lvlText w:val="%3)"/>
      <w:lvlJc w:val="left"/>
      <w:pPr>
        <w:ind w:left="720" w:hanging="360"/>
      </w:pPr>
      <w:rPr>
        <w:rFonts w:hint="default"/>
        <w:b w:val="0"/>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57590F"/>
    <w:multiLevelType w:val="hybridMultilevel"/>
    <w:tmpl w:val="2926F412"/>
    <w:lvl w:ilvl="0" w:tplc="66F410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84B8B"/>
    <w:multiLevelType w:val="hybridMultilevel"/>
    <w:tmpl w:val="97505DA6"/>
    <w:lvl w:ilvl="0" w:tplc="6568D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9B0269"/>
    <w:multiLevelType w:val="hybridMultilevel"/>
    <w:tmpl w:val="06D6C0DE"/>
    <w:lvl w:ilvl="0" w:tplc="72D27D88">
      <w:start w:val="1"/>
      <w:numFmt w:val="decimal"/>
      <w:lvlText w:val="%1"/>
      <w:lvlJc w:val="left"/>
      <w:pPr>
        <w:ind w:left="360" w:hanging="360"/>
      </w:pPr>
      <w:rPr>
        <w:rFonts w:hint="default"/>
      </w:rPr>
    </w:lvl>
    <w:lvl w:ilvl="1" w:tplc="98D25246">
      <w:start w:val="1"/>
      <w:numFmt w:val="decimal"/>
      <w:lvlText w:val="%2"/>
      <w:lvlJc w:val="left"/>
      <w:pPr>
        <w:ind w:left="1290" w:hanging="570"/>
      </w:pPr>
      <w:rPr>
        <w:rFonts w:hint="default"/>
      </w:rPr>
    </w:lvl>
    <w:lvl w:ilvl="2" w:tplc="8E9C6F62">
      <w:start w:val="1"/>
      <w:numFmt w:val="lowerLetter"/>
      <w:lvlText w:val="%3)"/>
      <w:lvlJc w:val="left"/>
      <w:pPr>
        <w:ind w:left="2340" w:hanging="720"/>
      </w:pPr>
      <w:rPr>
        <w:rFonts w:hint="default"/>
        <w:i/>
        <w:iCs/>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F15D2D"/>
    <w:multiLevelType w:val="hybridMultilevel"/>
    <w:tmpl w:val="83468E3A"/>
    <w:lvl w:ilvl="0" w:tplc="99C21872">
      <w:start w:val="1"/>
      <w:numFmt w:val="lowerLetter"/>
      <w:lvlText w:val="%1)"/>
      <w:lvlJc w:val="left"/>
      <w:pPr>
        <w:ind w:left="36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7D05BC"/>
    <w:multiLevelType w:val="hybridMultilevel"/>
    <w:tmpl w:val="269EDF96"/>
    <w:lvl w:ilvl="0" w:tplc="D1A68B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584B47"/>
    <w:multiLevelType w:val="hybridMultilevel"/>
    <w:tmpl w:val="2B2A634E"/>
    <w:lvl w:ilvl="0" w:tplc="CEFAD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FE2120"/>
    <w:multiLevelType w:val="hybridMultilevel"/>
    <w:tmpl w:val="059A5FE0"/>
    <w:lvl w:ilvl="0" w:tplc="CEFAD5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E92B5B"/>
    <w:multiLevelType w:val="hybridMultilevel"/>
    <w:tmpl w:val="021E9482"/>
    <w:lvl w:ilvl="0" w:tplc="99C21872">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941B71"/>
    <w:multiLevelType w:val="hybridMultilevel"/>
    <w:tmpl w:val="CDB8B86E"/>
    <w:lvl w:ilvl="0" w:tplc="BD4A37C2">
      <w:start w:val="1"/>
      <w:numFmt w:val="decimal"/>
      <w:lvlText w:val="%1"/>
      <w:lvlJc w:val="left"/>
      <w:pPr>
        <w:ind w:left="1080" w:hanging="360"/>
      </w:pPr>
      <w:rPr>
        <w:rFonts w:hint="default"/>
      </w:rPr>
    </w:lvl>
    <w:lvl w:ilvl="1" w:tplc="2E84FFF6">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35337DD"/>
    <w:multiLevelType w:val="hybridMultilevel"/>
    <w:tmpl w:val="311C6EF4"/>
    <w:lvl w:ilvl="0" w:tplc="FFFFFFFF">
      <w:start w:val="1"/>
      <w:numFmt w:val="lowerLetter"/>
      <w:lvlText w:val="%1)"/>
      <w:lvlJc w:val="left"/>
      <w:pPr>
        <w:ind w:left="720" w:hanging="360"/>
      </w:pPr>
      <w:rPr>
        <w:rFonts w:hint="default"/>
        <w:b w:val="0"/>
        <w:i/>
      </w:rPr>
    </w:lvl>
    <w:lvl w:ilvl="1" w:tplc="FFFFFFFF" w:tentative="1">
      <w:start w:val="1"/>
      <w:numFmt w:val="lowerLetter"/>
      <w:lvlText w:val="%2."/>
      <w:lvlJc w:val="left"/>
      <w:pPr>
        <w:ind w:left="1440" w:hanging="360"/>
      </w:pPr>
    </w:lvl>
    <w:lvl w:ilvl="2" w:tplc="99C21872">
      <w:start w:val="1"/>
      <w:numFmt w:val="lowerLetter"/>
      <w:lvlText w:val="%3)"/>
      <w:lvlJc w:val="left"/>
      <w:pPr>
        <w:ind w:left="360" w:hanging="360"/>
      </w:pPr>
      <w:rPr>
        <w:rFonts w:hint="default"/>
        <w:b w:val="0"/>
        <w: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FF7EE1"/>
    <w:multiLevelType w:val="hybridMultilevel"/>
    <w:tmpl w:val="A328AD9E"/>
    <w:lvl w:ilvl="0" w:tplc="34365C28">
      <w:start w:val="1"/>
      <w:numFmt w:val="decimal"/>
      <w:lvlText w:val="%1"/>
      <w:lvlJc w:val="left"/>
      <w:pPr>
        <w:ind w:left="3290" w:hanging="7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C732F6"/>
    <w:multiLevelType w:val="hybridMultilevel"/>
    <w:tmpl w:val="6BC291BE"/>
    <w:lvl w:ilvl="0" w:tplc="CEFAD5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17A5C"/>
    <w:multiLevelType w:val="hybridMultilevel"/>
    <w:tmpl w:val="203050E4"/>
    <w:lvl w:ilvl="0" w:tplc="D1C4E02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CF74E4"/>
    <w:multiLevelType w:val="hybridMultilevel"/>
    <w:tmpl w:val="A4B8D5A8"/>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6F084DDF"/>
    <w:multiLevelType w:val="hybridMultilevel"/>
    <w:tmpl w:val="6554BAC8"/>
    <w:lvl w:ilvl="0" w:tplc="6568D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EE0C62"/>
    <w:multiLevelType w:val="hybridMultilevel"/>
    <w:tmpl w:val="D4E8603E"/>
    <w:lvl w:ilvl="0" w:tplc="FFFFFFFF">
      <w:start w:val="1"/>
      <w:numFmt w:val="decimal"/>
      <w:lvlText w:val="%1."/>
      <w:lvlJc w:val="left"/>
      <w:pPr>
        <w:ind w:left="720" w:hanging="360"/>
      </w:pPr>
      <w:rPr>
        <w:rFonts w:hint="default"/>
      </w:rPr>
    </w:lvl>
    <w:lvl w:ilvl="1" w:tplc="C6E83B92">
      <w:start w:val="1"/>
      <w:numFmt w:val="decimal"/>
      <w:lvlText w:val="%2"/>
      <w:lvlJc w:val="left"/>
      <w:pPr>
        <w:ind w:left="720" w:hanging="360"/>
      </w:pPr>
      <w:rPr>
        <w:rFonts w:hint="default"/>
      </w:rPr>
    </w:lvl>
    <w:lvl w:ilvl="2" w:tplc="B1B4C706">
      <w:start w:val="1"/>
      <w:numFmt w:val="lowerLetter"/>
      <w:lvlText w:val="%3)"/>
      <w:lvlJc w:val="left"/>
      <w:pPr>
        <w:ind w:left="2700" w:hanging="720"/>
      </w:pPr>
      <w:rPr>
        <w:rFonts w:hint="default"/>
        <w:i/>
        <w:iCs/>
      </w:rPr>
    </w:lvl>
    <w:lvl w:ilvl="3" w:tplc="34365C28">
      <w:start w:val="1"/>
      <w:numFmt w:val="decimal"/>
      <w:lvlText w:val="%4"/>
      <w:lvlJc w:val="left"/>
      <w:pPr>
        <w:ind w:left="3290" w:hanging="77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2930CF"/>
    <w:multiLevelType w:val="hybridMultilevel"/>
    <w:tmpl w:val="7DD499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20B40E52">
      <w:start w:val="1"/>
      <w:numFmt w:val="lowerLetter"/>
      <w:lvlText w:val="%3)"/>
      <w:lvlJc w:val="left"/>
      <w:pPr>
        <w:ind w:left="720" w:hanging="360"/>
      </w:pPr>
      <w:rPr>
        <w:rFonts w:hint="default"/>
        <w:i/>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F47B16"/>
    <w:multiLevelType w:val="hybridMultilevel"/>
    <w:tmpl w:val="8CBED676"/>
    <w:lvl w:ilvl="0" w:tplc="5BCC3696">
      <w:start w:val="1"/>
      <w:numFmt w:val="lowerLetter"/>
      <w:lvlText w:val="%1)"/>
      <w:lvlJc w:val="left"/>
      <w:pPr>
        <w:ind w:left="1134" w:hanging="1134"/>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271B00"/>
    <w:multiLevelType w:val="hybridMultilevel"/>
    <w:tmpl w:val="2124BF10"/>
    <w:lvl w:ilvl="0" w:tplc="ADFEA000">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6B7FB1"/>
    <w:multiLevelType w:val="hybridMultilevel"/>
    <w:tmpl w:val="F2BCA7D6"/>
    <w:lvl w:ilvl="0" w:tplc="198682A6">
      <w:start w:val="1"/>
      <w:numFmt w:val="decimal"/>
      <w:lvlText w:val="%1"/>
      <w:lvlJc w:val="left"/>
      <w:pPr>
        <w:ind w:left="1134" w:hanging="1134"/>
      </w:pPr>
      <w:rPr>
        <w:rFonts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EB10A0"/>
    <w:multiLevelType w:val="hybridMultilevel"/>
    <w:tmpl w:val="BF9AF936"/>
    <w:lvl w:ilvl="0" w:tplc="F136449A">
      <w:start w:val="1"/>
      <w:numFmt w:val="decimal"/>
      <w:lvlText w:val="%1"/>
      <w:lvlJc w:val="left"/>
      <w:pPr>
        <w:ind w:left="1134" w:hanging="11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B25970"/>
    <w:multiLevelType w:val="hybridMultilevel"/>
    <w:tmpl w:val="66B826EE"/>
    <w:lvl w:ilvl="0" w:tplc="B3040FA4">
      <w:start w:val="1"/>
      <w:numFmt w:val="lowerLetter"/>
      <w:lvlText w:val="%1)"/>
      <w:lvlJc w:val="left"/>
      <w:pPr>
        <w:ind w:left="1134" w:hanging="1134"/>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035339">
    <w:abstractNumId w:val="13"/>
  </w:num>
  <w:num w:numId="2" w16cid:durableId="1722047778">
    <w:abstractNumId w:val="16"/>
  </w:num>
  <w:num w:numId="3" w16cid:durableId="218787071">
    <w:abstractNumId w:val="40"/>
  </w:num>
  <w:num w:numId="4" w16cid:durableId="1628778185">
    <w:abstractNumId w:val="12"/>
  </w:num>
  <w:num w:numId="5" w16cid:durableId="508914628">
    <w:abstractNumId w:val="48"/>
  </w:num>
  <w:num w:numId="6" w16cid:durableId="256910912">
    <w:abstractNumId w:val="8"/>
  </w:num>
  <w:num w:numId="7" w16cid:durableId="2017145534">
    <w:abstractNumId w:val="20"/>
  </w:num>
  <w:num w:numId="8" w16cid:durableId="1672828663">
    <w:abstractNumId w:val="47"/>
  </w:num>
  <w:num w:numId="9" w16cid:durableId="1141583447">
    <w:abstractNumId w:val="44"/>
  </w:num>
  <w:num w:numId="10" w16cid:durableId="384181487">
    <w:abstractNumId w:val="9"/>
  </w:num>
  <w:num w:numId="11" w16cid:durableId="426341840">
    <w:abstractNumId w:val="6"/>
  </w:num>
  <w:num w:numId="12" w16cid:durableId="1994747655">
    <w:abstractNumId w:val="22"/>
  </w:num>
  <w:num w:numId="13" w16cid:durableId="1568570064">
    <w:abstractNumId w:val="34"/>
  </w:num>
  <w:num w:numId="14" w16cid:durableId="946424464">
    <w:abstractNumId w:val="27"/>
  </w:num>
  <w:num w:numId="15" w16cid:durableId="1719090028">
    <w:abstractNumId w:val="35"/>
  </w:num>
  <w:num w:numId="16" w16cid:durableId="586774080">
    <w:abstractNumId w:val="29"/>
  </w:num>
  <w:num w:numId="17" w16cid:durableId="765268214">
    <w:abstractNumId w:val="31"/>
  </w:num>
  <w:num w:numId="18" w16cid:durableId="1492988007">
    <w:abstractNumId w:val="36"/>
  </w:num>
  <w:num w:numId="19" w16cid:durableId="629626199">
    <w:abstractNumId w:val="19"/>
  </w:num>
  <w:num w:numId="20" w16cid:durableId="1328635785">
    <w:abstractNumId w:val="21"/>
  </w:num>
  <w:num w:numId="21" w16cid:durableId="592419">
    <w:abstractNumId w:val="24"/>
  </w:num>
  <w:num w:numId="22" w16cid:durableId="363485848">
    <w:abstractNumId w:val="23"/>
  </w:num>
  <w:num w:numId="23" w16cid:durableId="1206328563">
    <w:abstractNumId w:val="1"/>
  </w:num>
  <w:num w:numId="24" w16cid:durableId="1016999410">
    <w:abstractNumId w:val="28"/>
  </w:num>
  <w:num w:numId="25" w16cid:durableId="1263147319">
    <w:abstractNumId w:val="11"/>
  </w:num>
  <w:num w:numId="26" w16cid:durableId="649360555">
    <w:abstractNumId w:val="4"/>
  </w:num>
  <w:num w:numId="27" w16cid:durableId="6106360">
    <w:abstractNumId w:val="0"/>
  </w:num>
  <w:num w:numId="28" w16cid:durableId="958493999">
    <w:abstractNumId w:val="41"/>
  </w:num>
  <w:num w:numId="29" w16cid:durableId="1041515558">
    <w:abstractNumId w:val="43"/>
  </w:num>
  <w:num w:numId="30" w16cid:durableId="893807327">
    <w:abstractNumId w:val="17"/>
  </w:num>
  <w:num w:numId="31" w16cid:durableId="1846895236">
    <w:abstractNumId w:val="10"/>
  </w:num>
  <w:num w:numId="32" w16cid:durableId="1996447779">
    <w:abstractNumId w:val="38"/>
  </w:num>
  <w:num w:numId="33" w16cid:durableId="1504198776">
    <w:abstractNumId w:val="39"/>
  </w:num>
  <w:num w:numId="34" w16cid:durableId="62683492">
    <w:abstractNumId w:val="25"/>
  </w:num>
  <w:num w:numId="35" w16cid:durableId="1045448323">
    <w:abstractNumId w:val="42"/>
  </w:num>
  <w:num w:numId="36" w16cid:durableId="516651740">
    <w:abstractNumId w:val="7"/>
  </w:num>
  <w:num w:numId="37" w16cid:durableId="1700087547">
    <w:abstractNumId w:val="32"/>
  </w:num>
  <w:num w:numId="38" w16cid:durableId="931085608">
    <w:abstractNumId w:val="5"/>
  </w:num>
  <w:num w:numId="39" w16cid:durableId="1065227976">
    <w:abstractNumId w:val="14"/>
  </w:num>
  <w:num w:numId="40" w16cid:durableId="1075594778">
    <w:abstractNumId w:val="26"/>
  </w:num>
  <w:num w:numId="41" w16cid:durableId="1404982806">
    <w:abstractNumId w:val="33"/>
  </w:num>
  <w:num w:numId="42" w16cid:durableId="1914855688">
    <w:abstractNumId w:val="18"/>
  </w:num>
  <w:num w:numId="43" w16cid:durableId="356858766">
    <w:abstractNumId w:val="3"/>
  </w:num>
  <w:num w:numId="44" w16cid:durableId="1102993924">
    <w:abstractNumId w:val="2"/>
  </w:num>
  <w:num w:numId="45" w16cid:durableId="269826736">
    <w:abstractNumId w:val="45"/>
  </w:num>
  <w:num w:numId="46" w16cid:durableId="977998504">
    <w:abstractNumId w:val="37"/>
  </w:num>
  <w:num w:numId="47" w16cid:durableId="1552109858">
    <w:abstractNumId w:val="15"/>
  </w:num>
  <w:num w:numId="48" w16cid:durableId="1791391657">
    <w:abstractNumId w:val="46"/>
  </w:num>
  <w:num w:numId="49" w16cid:durableId="783960867">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B"/>
    <w:rsid w:val="00003A6D"/>
    <w:rsid w:val="000041A9"/>
    <w:rsid w:val="00004C8C"/>
    <w:rsid w:val="00006DB2"/>
    <w:rsid w:val="00006FFB"/>
    <w:rsid w:val="000120E4"/>
    <w:rsid w:val="00012A21"/>
    <w:rsid w:val="00012CED"/>
    <w:rsid w:val="000210D4"/>
    <w:rsid w:val="00027C9C"/>
    <w:rsid w:val="00046146"/>
    <w:rsid w:val="000525A1"/>
    <w:rsid w:val="0005727E"/>
    <w:rsid w:val="00063016"/>
    <w:rsid w:val="000632A7"/>
    <w:rsid w:val="00063B2C"/>
    <w:rsid w:val="000644CA"/>
    <w:rsid w:val="00066795"/>
    <w:rsid w:val="0007004F"/>
    <w:rsid w:val="00076AF6"/>
    <w:rsid w:val="00084D8C"/>
    <w:rsid w:val="00085797"/>
    <w:rsid w:val="00085CF2"/>
    <w:rsid w:val="0009508F"/>
    <w:rsid w:val="00097B51"/>
    <w:rsid w:val="000A1525"/>
    <w:rsid w:val="000A2CDB"/>
    <w:rsid w:val="000B0C5E"/>
    <w:rsid w:val="000B10CF"/>
    <w:rsid w:val="000B1705"/>
    <w:rsid w:val="000C24E1"/>
    <w:rsid w:val="000C35D2"/>
    <w:rsid w:val="000D0DB0"/>
    <w:rsid w:val="000D16AB"/>
    <w:rsid w:val="000D4E15"/>
    <w:rsid w:val="000D60B6"/>
    <w:rsid w:val="000D75B2"/>
    <w:rsid w:val="000E31F4"/>
    <w:rsid w:val="000E3C13"/>
    <w:rsid w:val="000E492D"/>
    <w:rsid w:val="000F01A2"/>
    <w:rsid w:val="000F0940"/>
    <w:rsid w:val="000F2D11"/>
    <w:rsid w:val="000F34F0"/>
    <w:rsid w:val="000F3C5A"/>
    <w:rsid w:val="000F6AB8"/>
    <w:rsid w:val="000F7374"/>
    <w:rsid w:val="000F7E58"/>
    <w:rsid w:val="001003F3"/>
    <w:rsid w:val="00100E3B"/>
    <w:rsid w:val="001121F5"/>
    <w:rsid w:val="00114CA6"/>
    <w:rsid w:val="001231CC"/>
    <w:rsid w:val="00130599"/>
    <w:rsid w:val="00131E18"/>
    <w:rsid w:val="001400DC"/>
    <w:rsid w:val="00140CE1"/>
    <w:rsid w:val="00147C54"/>
    <w:rsid w:val="00154206"/>
    <w:rsid w:val="0016259B"/>
    <w:rsid w:val="001744CA"/>
    <w:rsid w:val="0017539C"/>
    <w:rsid w:val="00175AC2"/>
    <w:rsid w:val="0017609F"/>
    <w:rsid w:val="0017625E"/>
    <w:rsid w:val="00181B12"/>
    <w:rsid w:val="00191336"/>
    <w:rsid w:val="001923C7"/>
    <w:rsid w:val="0019666C"/>
    <w:rsid w:val="00196BFE"/>
    <w:rsid w:val="001A0480"/>
    <w:rsid w:val="001A08D6"/>
    <w:rsid w:val="001A7D1D"/>
    <w:rsid w:val="001B0595"/>
    <w:rsid w:val="001B51DD"/>
    <w:rsid w:val="001C502A"/>
    <w:rsid w:val="001C53DA"/>
    <w:rsid w:val="001C628E"/>
    <w:rsid w:val="001C636F"/>
    <w:rsid w:val="001D324C"/>
    <w:rsid w:val="001D5F83"/>
    <w:rsid w:val="001D62DF"/>
    <w:rsid w:val="001E0F7B"/>
    <w:rsid w:val="001E0FBE"/>
    <w:rsid w:val="001E190A"/>
    <w:rsid w:val="001E5FE7"/>
    <w:rsid w:val="001E6202"/>
    <w:rsid w:val="001F114F"/>
    <w:rsid w:val="001F2D61"/>
    <w:rsid w:val="001F46AE"/>
    <w:rsid w:val="001F55FA"/>
    <w:rsid w:val="00202BAF"/>
    <w:rsid w:val="00204C77"/>
    <w:rsid w:val="00205D4E"/>
    <w:rsid w:val="002119FD"/>
    <w:rsid w:val="002130E0"/>
    <w:rsid w:val="0021429B"/>
    <w:rsid w:val="0022558D"/>
    <w:rsid w:val="00227AAB"/>
    <w:rsid w:val="0023026C"/>
    <w:rsid w:val="002378AB"/>
    <w:rsid w:val="00241BFF"/>
    <w:rsid w:val="002430CE"/>
    <w:rsid w:val="00244F7F"/>
    <w:rsid w:val="0024562D"/>
    <w:rsid w:val="002475DE"/>
    <w:rsid w:val="0025570E"/>
    <w:rsid w:val="00256769"/>
    <w:rsid w:val="002608B7"/>
    <w:rsid w:val="00264425"/>
    <w:rsid w:val="00265875"/>
    <w:rsid w:val="00265B22"/>
    <w:rsid w:val="0027303B"/>
    <w:rsid w:val="0027360E"/>
    <w:rsid w:val="00275B1E"/>
    <w:rsid w:val="0027751C"/>
    <w:rsid w:val="0028109B"/>
    <w:rsid w:val="002822D8"/>
    <w:rsid w:val="00284933"/>
    <w:rsid w:val="0028697F"/>
    <w:rsid w:val="00287DE7"/>
    <w:rsid w:val="002921C7"/>
    <w:rsid w:val="002963F6"/>
    <w:rsid w:val="00297FC6"/>
    <w:rsid w:val="002A2188"/>
    <w:rsid w:val="002A53B7"/>
    <w:rsid w:val="002A6504"/>
    <w:rsid w:val="002A701F"/>
    <w:rsid w:val="002B1F58"/>
    <w:rsid w:val="002B2410"/>
    <w:rsid w:val="002B4E6D"/>
    <w:rsid w:val="002B5FE7"/>
    <w:rsid w:val="002C1C7A"/>
    <w:rsid w:val="002C506F"/>
    <w:rsid w:val="002C54E2"/>
    <w:rsid w:val="002D179A"/>
    <w:rsid w:val="002D4B8B"/>
    <w:rsid w:val="002E0AC3"/>
    <w:rsid w:val="002E6801"/>
    <w:rsid w:val="002F2D06"/>
    <w:rsid w:val="0030160F"/>
    <w:rsid w:val="00301AEE"/>
    <w:rsid w:val="003039C6"/>
    <w:rsid w:val="00303B4E"/>
    <w:rsid w:val="003045FE"/>
    <w:rsid w:val="003101B0"/>
    <w:rsid w:val="00311C72"/>
    <w:rsid w:val="003145DF"/>
    <w:rsid w:val="003160FD"/>
    <w:rsid w:val="00320223"/>
    <w:rsid w:val="00322AB8"/>
    <w:rsid w:val="00322D0D"/>
    <w:rsid w:val="00327577"/>
    <w:rsid w:val="00334A0E"/>
    <w:rsid w:val="003354ED"/>
    <w:rsid w:val="00343A53"/>
    <w:rsid w:val="00344520"/>
    <w:rsid w:val="00345313"/>
    <w:rsid w:val="003509A8"/>
    <w:rsid w:val="00352715"/>
    <w:rsid w:val="00353293"/>
    <w:rsid w:val="00353846"/>
    <w:rsid w:val="00354764"/>
    <w:rsid w:val="00356F7C"/>
    <w:rsid w:val="00357FCB"/>
    <w:rsid w:val="00361465"/>
    <w:rsid w:val="00365CD9"/>
    <w:rsid w:val="0036745C"/>
    <w:rsid w:val="00374139"/>
    <w:rsid w:val="0037519C"/>
    <w:rsid w:val="003874E6"/>
    <w:rsid w:val="003877F5"/>
    <w:rsid w:val="00393243"/>
    <w:rsid w:val="003934E5"/>
    <w:rsid w:val="003942D4"/>
    <w:rsid w:val="0039514F"/>
    <w:rsid w:val="003958A8"/>
    <w:rsid w:val="003A5DF9"/>
    <w:rsid w:val="003A7725"/>
    <w:rsid w:val="003B241F"/>
    <w:rsid w:val="003B29C2"/>
    <w:rsid w:val="003C20CA"/>
    <w:rsid w:val="003C2533"/>
    <w:rsid w:val="003D2E43"/>
    <w:rsid w:val="003D493F"/>
    <w:rsid w:val="003D5A7F"/>
    <w:rsid w:val="003D635C"/>
    <w:rsid w:val="003D71D8"/>
    <w:rsid w:val="003D733D"/>
    <w:rsid w:val="003E6DDC"/>
    <w:rsid w:val="003F4A8F"/>
    <w:rsid w:val="004016E2"/>
    <w:rsid w:val="0040435A"/>
    <w:rsid w:val="00404450"/>
    <w:rsid w:val="00413A23"/>
    <w:rsid w:val="00416A24"/>
    <w:rsid w:val="00416A30"/>
    <w:rsid w:val="0042059E"/>
    <w:rsid w:val="0042171C"/>
    <w:rsid w:val="00431D9E"/>
    <w:rsid w:val="004328D0"/>
    <w:rsid w:val="00433015"/>
    <w:rsid w:val="00433CE8"/>
    <w:rsid w:val="00434169"/>
    <w:rsid w:val="004347FF"/>
    <w:rsid w:val="00434A5C"/>
    <w:rsid w:val="00440908"/>
    <w:rsid w:val="004428FE"/>
    <w:rsid w:val="0045185C"/>
    <w:rsid w:val="004544D9"/>
    <w:rsid w:val="00455E63"/>
    <w:rsid w:val="0045741B"/>
    <w:rsid w:val="004700B3"/>
    <w:rsid w:val="0047192E"/>
    <w:rsid w:val="00472BAD"/>
    <w:rsid w:val="00475E62"/>
    <w:rsid w:val="004806FC"/>
    <w:rsid w:val="00484009"/>
    <w:rsid w:val="004859DD"/>
    <w:rsid w:val="00490E72"/>
    <w:rsid w:val="004910B7"/>
    <w:rsid w:val="00491157"/>
    <w:rsid w:val="00491985"/>
    <w:rsid w:val="004921C8"/>
    <w:rsid w:val="00495B0B"/>
    <w:rsid w:val="004A1B8B"/>
    <w:rsid w:val="004A3454"/>
    <w:rsid w:val="004A7269"/>
    <w:rsid w:val="004A776A"/>
    <w:rsid w:val="004B40F9"/>
    <w:rsid w:val="004B51C8"/>
    <w:rsid w:val="004B73DD"/>
    <w:rsid w:val="004C0234"/>
    <w:rsid w:val="004C0A6C"/>
    <w:rsid w:val="004C12DD"/>
    <w:rsid w:val="004C6771"/>
    <w:rsid w:val="004C6D0B"/>
    <w:rsid w:val="004D1851"/>
    <w:rsid w:val="004D4475"/>
    <w:rsid w:val="004D599D"/>
    <w:rsid w:val="004D6B6B"/>
    <w:rsid w:val="004E06D1"/>
    <w:rsid w:val="004E2EA5"/>
    <w:rsid w:val="004E3AEB"/>
    <w:rsid w:val="004E6E92"/>
    <w:rsid w:val="00500CA4"/>
    <w:rsid w:val="0050223C"/>
    <w:rsid w:val="00504F3C"/>
    <w:rsid w:val="00507750"/>
    <w:rsid w:val="00512DF9"/>
    <w:rsid w:val="0051502A"/>
    <w:rsid w:val="005170FD"/>
    <w:rsid w:val="0052111F"/>
    <w:rsid w:val="00522444"/>
    <w:rsid w:val="0052260A"/>
    <w:rsid w:val="005243FF"/>
    <w:rsid w:val="00524A35"/>
    <w:rsid w:val="00524E9C"/>
    <w:rsid w:val="00527043"/>
    <w:rsid w:val="005311D6"/>
    <w:rsid w:val="00533A6D"/>
    <w:rsid w:val="0053410C"/>
    <w:rsid w:val="00536422"/>
    <w:rsid w:val="0054526E"/>
    <w:rsid w:val="0054687E"/>
    <w:rsid w:val="00547AB8"/>
    <w:rsid w:val="005536C2"/>
    <w:rsid w:val="005551CA"/>
    <w:rsid w:val="00561EDB"/>
    <w:rsid w:val="00564FBC"/>
    <w:rsid w:val="00567FF4"/>
    <w:rsid w:val="00573810"/>
    <w:rsid w:val="005800BC"/>
    <w:rsid w:val="005811F3"/>
    <w:rsid w:val="00582442"/>
    <w:rsid w:val="005A335D"/>
    <w:rsid w:val="005B0869"/>
    <w:rsid w:val="005C13D4"/>
    <w:rsid w:val="005C297C"/>
    <w:rsid w:val="005C5078"/>
    <w:rsid w:val="005C5EC2"/>
    <w:rsid w:val="005C7008"/>
    <w:rsid w:val="005C77C0"/>
    <w:rsid w:val="005D10DA"/>
    <w:rsid w:val="005D20CA"/>
    <w:rsid w:val="005E2BD5"/>
    <w:rsid w:val="005E4F47"/>
    <w:rsid w:val="005E5CD4"/>
    <w:rsid w:val="005F1E93"/>
    <w:rsid w:val="005F3269"/>
    <w:rsid w:val="005F7BEB"/>
    <w:rsid w:val="006044DB"/>
    <w:rsid w:val="00607AA5"/>
    <w:rsid w:val="00612123"/>
    <w:rsid w:val="006151B7"/>
    <w:rsid w:val="00615961"/>
    <w:rsid w:val="0062272F"/>
    <w:rsid w:val="00623AE3"/>
    <w:rsid w:val="00623F14"/>
    <w:rsid w:val="006255C0"/>
    <w:rsid w:val="006261F4"/>
    <w:rsid w:val="00630684"/>
    <w:rsid w:val="00645AA7"/>
    <w:rsid w:val="0064737F"/>
    <w:rsid w:val="006535F1"/>
    <w:rsid w:val="0065557D"/>
    <w:rsid w:val="00660D50"/>
    <w:rsid w:val="00661E73"/>
    <w:rsid w:val="00662984"/>
    <w:rsid w:val="00663050"/>
    <w:rsid w:val="006716BB"/>
    <w:rsid w:val="00672634"/>
    <w:rsid w:val="00672C18"/>
    <w:rsid w:val="00672D38"/>
    <w:rsid w:val="006735B9"/>
    <w:rsid w:val="00676FD9"/>
    <w:rsid w:val="006823A7"/>
    <w:rsid w:val="006830F2"/>
    <w:rsid w:val="00686008"/>
    <w:rsid w:val="006973C8"/>
    <w:rsid w:val="006A4862"/>
    <w:rsid w:val="006A7AF2"/>
    <w:rsid w:val="006B003B"/>
    <w:rsid w:val="006B17CD"/>
    <w:rsid w:val="006B1859"/>
    <w:rsid w:val="006B52CA"/>
    <w:rsid w:val="006B6680"/>
    <w:rsid w:val="006B6DCC"/>
    <w:rsid w:val="006C10EA"/>
    <w:rsid w:val="006D7D1A"/>
    <w:rsid w:val="006E5F24"/>
    <w:rsid w:val="006F24C5"/>
    <w:rsid w:val="006F5722"/>
    <w:rsid w:val="006F5852"/>
    <w:rsid w:val="00701C70"/>
    <w:rsid w:val="00702DEF"/>
    <w:rsid w:val="007050FB"/>
    <w:rsid w:val="00706861"/>
    <w:rsid w:val="00714C8E"/>
    <w:rsid w:val="00715596"/>
    <w:rsid w:val="007247CF"/>
    <w:rsid w:val="00726B8C"/>
    <w:rsid w:val="00727C44"/>
    <w:rsid w:val="0075051B"/>
    <w:rsid w:val="00752A72"/>
    <w:rsid w:val="00756188"/>
    <w:rsid w:val="00761B74"/>
    <w:rsid w:val="00763667"/>
    <w:rsid w:val="00765967"/>
    <w:rsid w:val="0077110E"/>
    <w:rsid w:val="00772DB5"/>
    <w:rsid w:val="00775655"/>
    <w:rsid w:val="00782C01"/>
    <w:rsid w:val="007849D5"/>
    <w:rsid w:val="00792591"/>
    <w:rsid w:val="00793188"/>
    <w:rsid w:val="00794D34"/>
    <w:rsid w:val="007A04D6"/>
    <w:rsid w:val="007A65C4"/>
    <w:rsid w:val="007A77D1"/>
    <w:rsid w:val="007B3DB2"/>
    <w:rsid w:val="007B3F0C"/>
    <w:rsid w:val="007C022C"/>
    <w:rsid w:val="007C1D66"/>
    <w:rsid w:val="007C226A"/>
    <w:rsid w:val="007C249C"/>
    <w:rsid w:val="007F5B3E"/>
    <w:rsid w:val="007F678A"/>
    <w:rsid w:val="00806E3C"/>
    <w:rsid w:val="0081074E"/>
    <w:rsid w:val="00811436"/>
    <w:rsid w:val="00813E5E"/>
    <w:rsid w:val="008144CD"/>
    <w:rsid w:val="00816C2C"/>
    <w:rsid w:val="00820C72"/>
    <w:rsid w:val="008218DD"/>
    <w:rsid w:val="00822058"/>
    <w:rsid w:val="00827FF9"/>
    <w:rsid w:val="00834455"/>
    <w:rsid w:val="00834CF1"/>
    <w:rsid w:val="0083581B"/>
    <w:rsid w:val="00846277"/>
    <w:rsid w:val="00852259"/>
    <w:rsid w:val="00855B35"/>
    <w:rsid w:val="00857591"/>
    <w:rsid w:val="00860EED"/>
    <w:rsid w:val="00862AEA"/>
    <w:rsid w:val="00863874"/>
    <w:rsid w:val="00864AFF"/>
    <w:rsid w:val="00864D7E"/>
    <w:rsid w:val="00865925"/>
    <w:rsid w:val="00866D02"/>
    <w:rsid w:val="00870C17"/>
    <w:rsid w:val="00872B5C"/>
    <w:rsid w:val="008755F0"/>
    <w:rsid w:val="00877BF2"/>
    <w:rsid w:val="00883B89"/>
    <w:rsid w:val="00884F3A"/>
    <w:rsid w:val="00891503"/>
    <w:rsid w:val="008A2F06"/>
    <w:rsid w:val="008A54F3"/>
    <w:rsid w:val="008A65AF"/>
    <w:rsid w:val="008B3624"/>
    <w:rsid w:val="008B4A6A"/>
    <w:rsid w:val="008B59C7"/>
    <w:rsid w:val="008C50F0"/>
    <w:rsid w:val="008C7E27"/>
    <w:rsid w:val="008D0147"/>
    <w:rsid w:val="008D0337"/>
    <w:rsid w:val="008E5E84"/>
    <w:rsid w:val="008F0634"/>
    <w:rsid w:val="008F15C8"/>
    <w:rsid w:val="008F3822"/>
    <w:rsid w:val="008F7448"/>
    <w:rsid w:val="008F7FBC"/>
    <w:rsid w:val="0090147A"/>
    <w:rsid w:val="0090389B"/>
    <w:rsid w:val="00913C50"/>
    <w:rsid w:val="00916E2B"/>
    <w:rsid w:val="009173EF"/>
    <w:rsid w:val="00930681"/>
    <w:rsid w:val="00931160"/>
    <w:rsid w:val="00932906"/>
    <w:rsid w:val="009342A5"/>
    <w:rsid w:val="00947283"/>
    <w:rsid w:val="009507C8"/>
    <w:rsid w:val="0095099C"/>
    <w:rsid w:val="00950B87"/>
    <w:rsid w:val="00952563"/>
    <w:rsid w:val="00953D21"/>
    <w:rsid w:val="00961860"/>
    <w:rsid w:val="00961B0B"/>
    <w:rsid w:val="00962D33"/>
    <w:rsid w:val="00964C0E"/>
    <w:rsid w:val="00966E99"/>
    <w:rsid w:val="0097670A"/>
    <w:rsid w:val="00980E8C"/>
    <w:rsid w:val="009812C4"/>
    <w:rsid w:val="0099426B"/>
    <w:rsid w:val="009A3C07"/>
    <w:rsid w:val="009A776D"/>
    <w:rsid w:val="009B0EBB"/>
    <w:rsid w:val="009B38C3"/>
    <w:rsid w:val="009B44BD"/>
    <w:rsid w:val="009D0525"/>
    <w:rsid w:val="009D5CD5"/>
    <w:rsid w:val="009D5DBD"/>
    <w:rsid w:val="009E17BD"/>
    <w:rsid w:val="009E23EA"/>
    <w:rsid w:val="009E485A"/>
    <w:rsid w:val="009E5C0E"/>
    <w:rsid w:val="009F063C"/>
    <w:rsid w:val="009F3325"/>
    <w:rsid w:val="009F6CA0"/>
    <w:rsid w:val="009F7871"/>
    <w:rsid w:val="00A00277"/>
    <w:rsid w:val="00A00AFE"/>
    <w:rsid w:val="00A03BEE"/>
    <w:rsid w:val="00A04CEC"/>
    <w:rsid w:val="00A246E2"/>
    <w:rsid w:val="00A27F92"/>
    <w:rsid w:val="00A31608"/>
    <w:rsid w:val="00A32257"/>
    <w:rsid w:val="00A34013"/>
    <w:rsid w:val="00A36D20"/>
    <w:rsid w:val="00A424C4"/>
    <w:rsid w:val="00A433B5"/>
    <w:rsid w:val="00A43C03"/>
    <w:rsid w:val="00A46CD0"/>
    <w:rsid w:val="00A50166"/>
    <w:rsid w:val="00A514A4"/>
    <w:rsid w:val="00A52C84"/>
    <w:rsid w:val="00A54F84"/>
    <w:rsid w:val="00A55622"/>
    <w:rsid w:val="00A61CCB"/>
    <w:rsid w:val="00A77CE2"/>
    <w:rsid w:val="00A83502"/>
    <w:rsid w:val="00A86510"/>
    <w:rsid w:val="00AA0511"/>
    <w:rsid w:val="00AA1F3A"/>
    <w:rsid w:val="00AA42DE"/>
    <w:rsid w:val="00AC6A0B"/>
    <w:rsid w:val="00AC7B7E"/>
    <w:rsid w:val="00AD15B3"/>
    <w:rsid w:val="00AD3606"/>
    <w:rsid w:val="00AD4A3D"/>
    <w:rsid w:val="00AE3447"/>
    <w:rsid w:val="00AE4372"/>
    <w:rsid w:val="00AF4C68"/>
    <w:rsid w:val="00AF54CA"/>
    <w:rsid w:val="00AF6E49"/>
    <w:rsid w:val="00AF7C9B"/>
    <w:rsid w:val="00B04A67"/>
    <w:rsid w:val="00B0583C"/>
    <w:rsid w:val="00B22303"/>
    <w:rsid w:val="00B248BC"/>
    <w:rsid w:val="00B34445"/>
    <w:rsid w:val="00B358B2"/>
    <w:rsid w:val="00B40A81"/>
    <w:rsid w:val="00B42C50"/>
    <w:rsid w:val="00B44910"/>
    <w:rsid w:val="00B45812"/>
    <w:rsid w:val="00B47FA8"/>
    <w:rsid w:val="00B63079"/>
    <w:rsid w:val="00B6349A"/>
    <w:rsid w:val="00B65AC5"/>
    <w:rsid w:val="00B66C3B"/>
    <w:rsid w:val="00B670FD"/>
    <w:rsid w:val="00B72267"/>
    <w:rsid w:val="00B72471"/>
    <w:rsid w:val="00B72F2B"/>
    <w:rsid w:val="00B73DD1"/>
    <w:rsid w:val="00B76EB6"/>
    <w:rsid w:val="00B7737B"/>
    <w:rsid w:val="00B77B23"/>
    <w:rsid w:val="00B824C8"/>
    <w:rsid w:val="00B82C1B"/>
    <w:rsid w:val="00B84265"/>
    <w:rsid w:val="00B849D3"/>
    <w:rsid w:val="00B84B9D"/>
    <w:rsid w:val="00B84C93"/>
    <w:rsid w:val="00B84EE5"/>
    <w:rsid w:val="00B85EA7"/>
    <w:rsid w:val="00BA3A51"/>
    <w:rsid w:val="00BB19F4"/>
    <w:rsid w:val="00BB3A89"/>
    <w:rsid w:val="00BC1671"/>
    <w:rsid w:val="00BC251A"/>
    <w:rsid w:val="00BC3B11"/>
    <w:rsid w:val="00BC3E40"/>
    <w:rsid w:val="00BC4818"/>
    <w:rsid w:val="00BC60D9"/>
    <w:rsid w:val="00BD032B"/>
    <w:rsid w:val="00BD0614"/>
    <w:rsid w:val="00BD094B"/>
    <w:rsid w:val="00BD1F2A"/>
    <w:rsid w:val="00BE24DD"/>
    <w:rsid w:val="00BE2640"/>
    <w:rsid w:val="00BF4907"/>
    <w:rsid w:val="00C01189"/>
    <w:rsid w:val="00C03298"/>
    <w:rsid w:val="00C03CA3"/>
    <w:rsid w:val="00C063C8"/>
    <w:rsid w:val="00C11A27"/>
    <w:rsid w:val="00C2203D"/>
    <w:rsid w:val="00C24255"/>
    <w:rsid w:val="00C254A3"/>
    <w:rsid w:val="00C30E2E"/>
    <w:rsid w:val="00C33B03"/>
    <w:rsid w:val="00C374DE"/>
    <w:rsid w:val="00C42715"/>
    <w:rsid w:val="00C445EA"/>
    <w:rsid w:val="00C47AD4"/>
    <w:rsid w:val="00C52D81"/>
    <w:rsid w:val="00C55198"/>
    <w:rsid w:val="00C552C2"/>
    <w:rsid w:val="00C567EC"/>
    <w:rsid w:val="00C60C00"/>
    <w:rsid w:val="00C725C6"/>
    <w:rsid w:val="00C735D5"/>
    <w:rsid w:val="00C745F2"/>
    <w:rsid w:val="00C854EC"/>
    <w:rsid w:val="00C85F9D"/>
    <w:rsid w:val="00C91B48"/>
    <w:rsid w:val="00C91E8D"/>
    <w:rsid w:val="00C922C7"/>
    <w:rsid w:val="00C925FD"/>
    <w:rsid w:val="00C95682"/>
    <w:rsid w:val="00CA4975"/>
    <w:rsid w:val="00CA5FB3"/>
    <w:rsid w:val="00CA6393"/>
    <w:rsid w:val="00CB18FF"/>
    <w:rsid w:val="00CB24AA"/>
    <w:rsid w:val="00CB2708"/>
    <w:rsid w:val="00CC1AFD"/>
    <w:rsid w:val="00CC50FC"/>
    <w:rsid w:val="00CD0C08"/>
    <w:rsid w:val="00CD3570"/>
    <w:rsid w:val="00CD3C91"/>
    <w:rsid w:val="00CE03FB"/>
    <w:rsid w:val="00CE3EC6"/>
    <w:rsid w:val="00CE433C"/>
    <w:rsid w:val="00CE7F82"/>
    <w:rsid w:val="00CF0161"/>
    <w:rsid w:val="00CF33F3"/>
    <w:rsid w:val="00CF605C"/>
    <w:rsid w:val="00D0318A"/>
    <w:rsid w:val="00D06183"/>
    <w:rsid w:val="00D066FF"/>
    <w:rsid w:val="00D11400"/>
    <w:rsid w:val="00D143DF"/>
    <w:rsid w:val="00D17023"/>
    <w:rsid w:val="00D22C42"/>
    <w:rsid w:val="00D33DBE"/>
    <w:rsid w:val="00D34B19"/>
    <w:rsid w:val="00D360A3"/>
    <w:rsid w:val="00D40682"/>
    <w:rsid w:val="00D45669"/>
    <w:rsid w:val="00D464CC"/>
    <w:rsid w:val="00D47003"/>
    <w:rsid w:val="00D4783F"/>
    <w:rsid w:val="00D522F6"/>
    <w:rsid w:val="00D566F6"/>
    <w:rsid w:val="00D57F95"/>
    <w:rsid w:val="00D65041"/>
    <w:rsid w:val="00D67039"/>
    <w:rsid w:val="00D70492"/>
    <w:rsid w:val="00D70F2E"/>
    <w:rsid w:val="00D71F76"/>
    <w:rsid w:val="00D751EB"/>
    <w:rsid w:val="00D82B1D"/>
    <w:rsid w:val="00D86E6C"/>
    <w:rsid w:val="00D930EF"/>
    <w:rsid w:val="00DA0CE8"/>
    <w:rsid w:val="00DB00D5"/>
    <w:rsid w:val="00DB11E0"/>
    <w:rsid w:val="00DB1936"/>
    <w:rsid w:val="00DB384B"/>
    <w:rsid w:val="00DB52A8"/>
    <w:rsid w:val="00DC5C5E"/>
    <w:rsid w:val="00DD3DEE"/>
    <w:rsid w:val="00DD4F36"/>
    <w:rsid w:val="00DD6789"/>
    <w:rsid w:val="00DE3BEB"/>
    <w:rsid w:val="00DF0189"/>
    <w:rsid w:val="00E027AE"/>
    <w:rsid w:val="00E05552"/>
    <w:rsid w:val="00E06FD5"/>
    <w:rsid w:val="00E10E80"/>
    <w:rsid w:val="00E124F0"/>
    <w:rsid w:val="00E13649"/>
    <w:rsid w:val="00E137F8"/>
    <w:rsid w:val="00E17ACC"/>
    <w:rsid w:val="00E17E5E"/>
    <w:rsid w:val="00E2008D"/>
    <w:rsid w:val="00E208BD"/>
    <w:rsid w:val="00E210EE"/>
    <w:rsid w:val="00E21911"/>
    <w:rsid w:val="00E227F3"/>
    <w:rsid w:val="00E301C7"/>
    <w:rsid w:val="00E31DD5"/>
    <w:rsid w:val="00E372B6"/>
    <w:rsid w:val="00E3782A"/>
    <w:rsid w:val="00E4199B"/>
    <w:rsid w:val="00E4728B"/>
    <w:rsid w:val="00E54129"/>
    <w:rsid w:val="00E545C6"/>
    <w:rsid w:val="00E60F04"/>
    <w:rsid w:val="00E63A77"/>
    <w:rsid w:val="00E63EFF"/>
    <w:rsid w:val="00E65B24"/>
    <w:rsid w:val="00E70820"/>
    <w:rsid w:val="00E8233C"/>
    <w:rsid w:val="00E854E4"/>
    <w:rsid w:val="00E85B67"/>
    <w:rsid w:val="00E86195"/>
    <w:rsid w:val="00E86981"/>
    <w:rsid w:val="00E86DBF"/>
    <w:rsid w:val="00E91A96"/>
    <w:rsid w:val="00E9249E"/>
    <w:rsid w:val="00E949A5"/>
    <w:rsid w:val="00E951B7"/>
    <w:rsid w:val="00EA23E5"/>
    <w:rsid w:val="00EA2E93"/>
    <w:rsid w:val="00EA5BAE"/>
    <w:rsid w:val="00EA5C26"/>
    <w:rsid w:val="00EA7B9E"/>
    <w:rsid w:val="00EB053E"/>
    <w:rsid w:val="00EB0B93"/>
    <w:rsid w:val="00EB0D6F"/>
    <w:rsid w:val="00EB2232"/>
    <w:rsid w:val="00EC2C5B"/>
    <w:rsid w:val="00EC5337"/>
    <w:rsid w:val="00EC7C07"/>
    <w:rsid w:val="00ED148A"/>
    <w:rsid w:val="00ED792A"/>
    <w:rsid w:val="00EE2041"/>
    <w:rsid w:val="00EE49E8"/>
    <w:rsid w:val="00EE5D0E"/>
    <w:rsid w:val="00EF6AF9"/>
    <w:rsid w:val="00F02787"/>
    <w:rsid w:val="00F03EF9"/>
    <w:rsid w:val="00F10B59"/>
    <w:rsid w:val="00F16BAB"/>
    <w:rsid w:val="00F17831"/>
    <w:rsid w:val="00F2150A"/>
    <w:rsid w:val="00F231D8"/>
    <w:rsid w:val="00F25A73"/>
    <w:rsid w:val="00F31FBE"/>
    <w:rsid w:val="00F325F2"/>
    <w:rsid w:val="00F43967"/>
    <w:rsid w:val="00F44C00"/>
    <w:rsid w:val="00F44E65"/>
    <w:rsid w:val="00F45C95"/>
    <w:rsid w:val="00F45D2C"/>
    <w:rsid w:val="00F46C5F"/>
    <w:rsid w:val="00F57DAA"/>
    <w:rsid w:val="00F603DA"/>
    <w:rsid w:val="00F632C0"/>
    <w:rsid w:val="00F66A26"/>
    <w:rsid w:val="00F7041F"/>
    <w:rsid w:val="00F73B2C"/>
    <w:rsid w:val="00F74694"/>
    <w:rsid w:val="00F756A7"/>
    <w:rsid w:val="00F8161D"/>
    <w:rsid w:val="00F8408B"/>
    <w:rsid w:val="00F86596"/>
    <w:rsid w:val="00F93FD4"/>
    <w:rsid w:val="00F94A63"/>
    <w:rsid w:val="00F95322"/>
    <w:rsid w:val="00F95A68"/>
    <w:rsid w:val="00F96A5D"/>
    <w:rsid w:val="00F97E10"/>
    <w:rsid w:val="00FA1C28"/>
    <w:rsid w:val="00FA652B"/>
    <w:rsid w:val="00FB126C"/>
    <w:rsid w:val="00FB1279"/>
    <w:rsid w:val="00FB2366"/>
    <w:rsid w:val="00FB6A05"/>
    <w:rsid w:val="00FB6B76"/>
    <w:rsid w:val="00FB7596"/>
    <w:rsid w:val="00FC1EF0"/>
    <w:rsid w:val="00FD5C51"/>
    <w:rsid w:val="00FE27F4"/>
    <w:rsid w:val="00FE4077"/>
    <w:rsid w:val="00FE500D"/>
    <w:rsid w:val="00FE54F0"/>
    <w:rsid w:val="00FE5D1C"/>
    <w:rsid w:val="00FE77D2"/>
    <w:rsid w:val="00FF0208"/>
    <w:rsid w:val="199F103A"/>
    <w:rsid w:val="28A95640"/>
    <w:rsid w:val="49300DAA"/>
    <w:rsid w:val="4D9754F5"/>
    <w:rsid w:val="6D5C73CA"/>
    <w:rsid w:val="7198824E"/>
    <w:rsid w:val="7454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F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C1AFD"/>
    <w:rPr>
      <w:color w:val="666666"/>
    </w:rPr>
  </w:style>
  <w:style w:type="paragraph" w:customStyle="1" w:styleId="Reasons">
    <w:name w:val="Reasons"/>
    <w:basedOn w:val="Normal"/>
    <w:qFormat/>
    <w:rsid w:val="003354ED"/>
  </w:style>
  <w:style w:type="paragraph" w:styleId="ListParagraph">
    <w:name w:val="List Paragraph"/>
    <w:basedOn w:val="Normal"/>
    <w:link w:val="ListParagraphChar"/>
    <w:uiPriority w:val="34"/>
    <w:qFormat/>
    <w:rsid w:val="00756188"/>
    <w:pPr>
      <w:ind w:left="720"/>
      <w:contextualSpacing/>
    </w:pPr>
  </w:style>
  <w:style w:type="table" w:customStyle="1" w:styleId="TableGrid1">
    <w:name w:val="Table Grid1"/>
    <w:basedOn w:val="TableNormal"/>
    <w:next w:val="TableGrid"/>
    <w:uiPriority w:val="39"/>
    <w:rsid w:val="00756188"/>
    <w:rPr>
      <w:rFonts w:asciiTheme="minorHAnsi" w:eastAsia="MS Mincho" w:hAnsiTheme="minorHAnsi" w:cstheme="minorBidi"/>
      <w:sz w:val="22"/>
      <w:szCs w:val="22"/>
      <w:lang w:val="en-GB" w:eastAsia="en-US"/>
    </w:rPr>
    <w:tblPr/>
  </w:style>
  <w:style w:type="paragraph" w:styleId="Revision">
    <w:name w:val="Revision"/>
    <w:hidden/>
    <w:uiPriority w:val="99"/>
    <w:semiHidden/>
    <w:rsid w:val="0052260A"/>
    <w:rPr>
      <w:rFonts w:ascii="Calibri" w:hAnsi="Calibri"/>
      <w:sz w:val="24"/>
      <w:lang w:val="en-GB" w:eastAsia="en-US"/>
    </w:rPr>
  </w:style>
  <w:style w:type="character" w:styleId="CommentReference">
    <w:name w:val="annotation reference"/>
    <w:basedOn w:val="DefaultParagraphFont"/>
    <w:semiHidden/>
    <w:unhideWhenUsed/>
    <w:rsid w:val="001F46AE"/>
    <w:rPr>
      <w:sz w:val="16"/>
      <w:szCs w:val="16"/>
    </w:rPr>
  </w:style>
  <w:style w:type="paragraph" w:styleId="CommentText">
    <w:name w:val="annotation text"/>
    <w:basedOn w:val="Normal"/>
    <w:link w:val="CommentTextChar"/>
    <w:unhideWhenUsed/>
    <w:rsid w:val="001F46AE"/>
    <w:rPr>
      <w:sz w:val="20"/>
    </w:rPr>
  </w:style>
  <w:style w:type="character" w:customStyle="1" w:styleId="CommentTextChar">
    <w:name w:val="Comment Text Char"/>
    <w:basedOn w:val="DefaultParagraphFont"/>
    <w:link w:val="CommentText"/>
    <w:rsid w:val="001F46AE"/>
    <w:rPr>
      <w:rFonts w:ascii="Calibri" w:hAnsi="Calibri"/>
      <w:lang w:val="en-GB" w:eastAsia="en-US"/>
    </w:rPr>
  </w:style>
  <w:style w:type="paragraph" w:styleId="CommentSubject">
    <w:name w:val="annotation subject"/>
    <w:basedOn w:val="CommentText"/>
    <w:next w:val="CommentText"/>
    <w:link w:val="CommentSubjectChar"/>
    <w:semiHidden/>
    <w:unhideWhenUsed/>
    <w:rsid w:val="001F46AE"/>
    <w:rPr>
      <w:b/>
      <w:bCs/>
    </w:rPr>
  </w:style>
  <w:style w:type="character" w:customStyle="1" w:styleId="CommentSubjectChar">
    <w:name w:val="Comment Subject Char"/>
    <w:basedOn w:val="CommentTextChar"/>
    <w:link w:val="CommentSubject"/>
    <w:semiHidden/>
    <w:rsid w:val="001F46AE"/>
    <w:rPr>
      <w:rFonts w:ascii="Calibri" w:hAnsi="Calibri"/>
      <w:b/>
      <w:bCs/>
      <w:lang w:val="en-GB" w:eastAsia="en-US"/>
    </w:rPr>
  </w:style>
  <w:style w:type="character" w:styleId="Mention">
    <w:name w:val="Mention"/>
    <w:basedOn w:val="DefaultParagraphFont"/>
    <w:uiPriority w:val="99"/>
    <w:unhideWhenUsed/>
    <w:rsid w:val="001F46AE"/>
    <w:rPr>
      <w:color w:val="2B579A"/>
      <w:shd w:val="clear" w:color="auto" w:fill="E1DFDD"/>
    </w:rPr>
  </w:style>
  <w:style w:type="character" w:customStyle="1" w:styleId="ListParagraphChar">
    <w:name w:val="List Paragraph Char"/>
    <w:link w:val="ListParagraph"/>
    <w:uiPriority w:val="34"/>
    <w:locked/>
    <w:rsid w:val="00BB19F4"/>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5014">
      <w:bodyDiv w:val="1"/>
      <w:marLeft w:val="0"/>
      <w:marRight w:val="0"/>
      <w:marTop w:val="0"/>
      <w:marBottom w:val="0"/>
      <w:divBdr>
        <w:top w:val="none" w:sz="0" w:space="0" w:color="auto"/>
        <w:left w:val="none" w:sz="0" w:space="0" w:color="auto"/>
        <w:bottom w:val="none" w:sz="0" w:space="0" w:color="auto"/>
        <w:right w:val="none" w:sz="0" w:space="0" w:color="auto"/>
      </w:divBdr>
    </w:div>
    <w:div w:id="461197639">
      <w:bodyDiv w:val="1"/>
      <w:marLeft w:val="0"/>
      <w:marRight w:val="0"/>
      <w:marTop w:val="0"/>
      <w:marBottom w:val="0"/>
      <w:divBdr>
        <w:top w:val="none" w:sz="0" w:space="0" w:color="auto"/>
        <w:left w:val="none" w:sz="0" w:space="0" w:color="auto"/>
        <w:bottom w:val="none" w:sz="0" w:space="0" w:color="auto"/>
        <w:right w:val="none" w:sz="0" w:space="0" w:color="auto"/>
      </w:divBdr>
    </w:div>
    <w:div w:id="473179454">
      <w:bodyDiv w:val="1"/>
      <w:marLeft w:val="0"/>
      <w:marRight w:val="0"/>
      <w:marTop w:val="0"/>
      <w:marBottom w:val="0"/>
      <w:divBdr>
        <w:top w:val="none" w:sz="0" w:space="0" w:color="auto"/>
        <w:left w:val="none" w:sz="0" w:space="0" w:color="auto"/>
        <w:bottom w:val="none" w:sz="0" w:space="0" w:color="auto"/>
        <w:right w:val="none" w:sz="0" w:space="0" w:color="auto"/>
      </w:divBdr>
    </w:div>
    <w:div w:id="522011990">
      <w:bodyDiv w:val="1"/>
      <w:marLeft w:val="0"/>
      <w:marRight w:val="0"/>
      <w:marTop w:val="0"/>
      <w:marBottom w:val="0"/>
      <w:divBdr>
        <w:top w:val="none" w:sz="0" w:space="0" w:color="auto"/>
        <w:left w:val="none" w:sz="0" w:space="0" w:color="auto"/>
        <w:bottom w:val="none" w:sz="0" w:space="0" w:color="auto"/>
        <w:right w:val="none" w:sz="0" w:space="0" w:color="auto"/>
      </w:divBdr>
    </w:div>
    <w:div w:id="1113206536">
      <w:bodyDiv w:val="1"/>
      <w:marLeft w:val="0"/>
      <w:marRight w:val="0"/>
      <w:marTop w:val="0"/>
      <w:marBottom w:val="0"/>
      <w:divBdr>
        <w:top w:val="none" w:sz="0" w:space="0" w:color="auto"/>
        <w:left w:val="none" w:sz="0" w:space="0" w:color="auto"/>
        <w:bottom w:val="none" w:sz="0" w:space="0" w:color="auto"/>
        <w:right w:val="none" w:sz="0" w:space="0" w:color="auto"/>
      </w:divBdr>
    </w:div>
    <w:div w:id="1144543309">
      <w:bodyDiv w:val="1"/>
      <w:marLeft w:val="0"/>
      <w:marRight w:val="0"/>
      <w:marTop w:val="0"/>
      <w:marBottom w:val="0"/>
      <w:divBdr>
        <w:top w:val="none" w:sz="0" w:space="0" w:color="auto"/>
        <w:left w:val="none" w:sz="0" w:space="0" w:color="auto"/>
        <w:bottom w:val="none" w:sz="0" w:space="0" w:color="auto"/>
        <w:right w:val="none" w:sz="0" w:space="0" w:color="auto"/>
      </w:divBdr>
    </w:div>
    <w:div w:id="1201553423">
      <w:bodyDiv w:val="1"/>
      <w:marLeft w:val="0"/>
      <w:marRight w:val="0"/>
      <w:marTop w:val="0"/>
      <w:marBottom w:val="0"/>
      <w:divBdr>
        <w:top w:val="none" w:sz="0" w:space="0" w:color="auto"/>
        <w:left w:val="none" w:sz="0" w:space="0" w:color="auto"/>
        <w:bottom w:val="none" w:sz="0" w:space="0" w:color="auto"/>
        <w:right w:val="none" w:sz="0" w:space="0" w:color="auto"/>
      </w:divBdr>
    </w:div>
    <w:div w:id="1225410409">
      <w:bodyDiv w:val="1"/>
      <w:marLeft w:val="0"/>
      <w:marRight w:val="0"/>
      <w:marTop w:val="0"/>
      <w:marBottom w:val="0"/>
      <w:divBdr>
        <w:top w:val="none" w:sz="0" w:space="0" w:color="auto"/>
        <w:left w:val="none" w:sz="0" w:space="0" w:color="auto"/>
        <w:bottom w:val="none" w:sz="0" w:space="0" w:color="auto"/>
        <w:right w:val="none" w:sz="0" w:space="0" w:color="auto"/>
      </w:divBdr>
    </w:div>
    <w:div w:id="1329821833">
      <w:bodyDiv w:val="1"/>
      <w:marLeft w:val="0"/>
      <w:marRight w:val="0"/>
      <w:marTop w:val="0"/>
      <w:marBottom w:val="0"/>
      <w:divBdr>
        <w:top w:val="none" w:sz="0" w:space="0" w:color="auto"/>
        <w:left w:val="none" w:sz="0" w:space="0" w:color="auto"/>
        <w:bottom w:val="none" w:sz="0" w:space="0" w:color="auto"/>
        <w:right w:val="none" w:sz="0" w:space="0" w:color="auto"/>
      </w:divBdr>
    </w:div>
    <w:div w:id="1396851896">
      <w:bodyDiv w:val="1"/>
      <w:marLeft w:val="0"/>
      <w:marRight w:val="0"/>
      <w:marTop w:val="0"/>
      <w:marBottom w:val="0"/>
      <w:divBdr>
        <w:top w:val="none" w:sz="0" w:space="0" w:color="auto"/>
        <w:left w:val="none" w:sz="0" w:space="0" w:color="auto"/>
        <w:bottom w:val="none" w:sz="0" w:space="0" w:color="auto"/>
        <w:right w:val="none" w:sz="0" w:space="0" w:color="auto"/>
      </w:divBdr>
    </w:div>
    <w:div w:id="1506437117">
      <w:bodyDiv w:val="1"/>
      <w:marLeft w:val="0"/>
      <w:marRight w:val="0"/>
      <w:marTop w:val="0"/>
      <w:marBottom w:val="0"/>
      <w:divBdr>
        <w:top w:val="none" w:sz="0" w:space="0" w:color="auto"/>
        <w:left w:val="none" w:sz="0" w:space="0" w:color="auto"/>
        <w:bottom w:val="none" w:sz="0" w:space="0" w:color="auto"/>
        <w:right w:val="none" w:sz="0" w:space="0" w:color="auto"/>
      </w:divBdr>
    </w:div>
    <w:div w:id="1579824199">
      <w:bodyDiv w:val="1"/>
      <w:marLeft w:val="0"/>
      <w:marRight w:val="0"/>
      <w:marTop w:val="0"/>
      <w:marBottom w:val="0"/>
      <w:divBdr>
        <w:top w:val="none" w:sz="0" w:space="0" w:color="auto"/>
        <w:left w:val="none" w:sz="0" w:space="0" w:color="auto"/>
        <w:bottom w:val="none" w:sz="0" w:space="0" w:color="auto"/>
        <w:right w:val="none" w:sz="0" w:space="0" w:color="auto"/>
      </w:divBdr>
    </w:div>
    <w:div w:id="1586572784">
      <w:bodyDiv w:val="1"/>
      <w:marLeft w:val="0"/>
      <w:marRight w:val="0"/>
      <w:marTop w:val="0"/>
      <w:marBottom w:val="0"/>
      <w:divBdr>
        <w:top w:val="none" w:sz="0" w:space="0" w:color="auto"/>
        <w:left w:val="none" w:sz="0" w:space="0" w:color="auto"/>
        <w:bottom w:val="none" w:sz="0" w:space="0" w:color="auto"/>
        <w:right w:val="none" w:sz="0" w:space="0" w:color="auto"/>
      </w:divBdr>
    </w:div>
    <w:div w:id="1705786725">
      <w:bodyDiv w:val="1"/>
      <w:marLeft w:val="0"/>
      <w:marRight w:val="0"/>
      <w:marTop w:val="0"/>
      <w:marBottom w:val="0"/>
      <w:divBdr>
        <w:top w:val="none" w:sz="0" w:space="0" w:color="auto"/>
        <w:left w:val="none" w:sz="0" w:space="0" w:color="auto"/>
        <w:bottom w:val="none" w:sz="0" w:space="0" w:color="auto"/>
        <w:right w:val="none" w:sz="0" w:space="0" w:color="auto"/>
      </w:divBdr>
    </w:div>
    <w:div w:id="18535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Pages/ieg-wtpf-26.aspx" TargetMode="External"/><Relationship Id="rId18" Type="http://schemas.openxmlformats.org/officeDocument/2006/relationships/hyperlink" Target="https://www.itu.int/en/mediacentre/backgrounders/Pages/skills-development-digital-economy.aspx" TargetMode="External"/><Relationship Id="rId26" Type="http://schemas.openxmlformats.org/officeDocument/2006/relationships/hyperlink" Target="https://www.itu.int/en/digital-resilience/submarine-cables/Pages/default.aspx" TargetMode="External"/><Relationship Id="rId3" Type="http://schemas.openxmlformats.org/officeDocument/2006/relationships/styles" Target="styles.xml"/><Relationship Id="rId21" Type="http://schemas.openxmlformats.org/officeDocument/2006/relationships/hyperlink" Target="https://academy.itu.int/itu-d/projects-activities/research-publications/digital-skills-toolki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en/council/Documents/basic-texts-2023/RES-002-E.pdf" TargetMode="External"/><Relationship Id="rId17" Type="http://schemas.openxmlformats.org/officeDocument/2006/relationships/hyperlink" Target="https://www.itu.int/en/mediacentre/backgrounders/Pages/skills-development-digital-economy.aspx" TargetMode="External"/><Relationship Id="rId25" Type="http://schemas.openxmlformats.org/officeDocument/2006/relationships/hyperlink" Target="https://www.itu.int/en/digital-resilience/submarine-cables/Pages/default.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4-SG-CIR-0044/en" TargetMode="External"/><Relationship Id="rId20" Type="http://schemas.openxmlformats.org/officeDocument/2006/relationships/hyperlink" Target="https://aiforgood.itu.int/ai-skills-coalition/" TargetMode="External"/><Relationship Id="rId29" Type="http://schemas.openxmlformats.org/officeDocument/2006/relationships/hyperlink" Target="https://www.itu.int/itu-d/sites/innovation-alli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136/en" TargetMode="External"/><Relationship Id="rId24" Type="http://schemas.openxmlformats.org/officeDocument/2006/relationships/hyperlink" Target="https://www.itu.int/initiatives/green-digital-actio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S24-CL-C-0136/en" TargetMode="External"/><Relationship Id="rId23" Type="http://schemas.openxmlformats.org/officeDocument/2006/relationships/hyperlink" Target="https://www.itu.int/initiatives/green-digital-action/" TargetMode="External"/><Relationship Id="rId28" Type="http://schemas.openxmlformats.org/officeDocument/2006/relationships/hyperlink" Target="https://www.itu.int/ssf/" TargetMode="External"/><Relationship Id="rId10" Type="http://schemas.openxmlformats.org/officeDocument/2006/relationships/hyperlink" Target="https://www.itu.int/en/council/Documents/basic-texts-2023/RES-002-E.pdf" TargetMode="External"/><Relationship Id="rId19" Type="http://schemas.openxmlformats.org/officeDocument/2006/relationships/hyperlink" Target="https://academy.itu.int/itu-d/projects-activities/research-publications/digital-skills-toolki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2023/RES-002-E.pdf" TargetMode="External"/><Relationship Id="rId14" Type="http://schemas.openxmlformats.org/officeDocument/2006/relationships/hyperlink" Target="https://www.itu.int/en/council/Documents/basic-texts-2023/RES-002-E.pdf" TargetMode="External"/><Relationship Id="rId22" Type="http://schemas.openxmlformats.org/officeDocument/2006/relationships/hyperlink" Target="https://aiforgood.itu.int/ai-skills-coalition/" TargetMode="External"/><Relationship Id="rId27" Type="http://schemas.openxmlformats.org/officeDocument/2006/relationships/hyperlink" Target="https://www.itu.int/ssf/" TargetMode="External"/><Relationship Id="rId30" Type="http://schemas.openxmlformats.org/officeDocument/2006/relationships/hyperlink" Target="https://www.itu.int/itu-d/sites/innovation-alliance/"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15761</Words>
  <Characters>102674</Characters>
  <Application>Microsoft Office Word</Application>
  <DocSecurity>4</DocSecurity>
  <Lines>1579</Lines>
  <Paragraphs>620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117815</CharactersWithSpaces>
  <SharedDoc>false</SharedDoc>
  <HLinks>
    <vt:vector size="90" baseType="variant">
      <vt:variant>
        <vt:i4>720961</vt:i4>
      </vt:variant>
      <vt:variant>
        <vt:i4>21</vt:i4>
      </vt:variant>
      <vt:variant>
        <vt:i4>0</vt:i4>
      </vt:variant>
      <vt:variant>
        <vt:i4>5</vt:i4>
      </vt:variant>
      <vt:variant>
        <vt:lpwstr>https://www.itu.int/md/S24-SG-CIR-0044/en</vt:lpwstr>
      </vt:variant>
      <vt:variant>
        <vt:lpwstr/>
      </vt:variant>
      <vt:variant>
        <vt:i4>7405631</vt:i4>
      </vt:variant>
      <vt:variant>
        <vt:i4>18</vt:i4>
      </vt:variant>
      <vt:variant>
        <vt:i4>0</vt:i4>
      </vt:variant>
      <vt:variant>
        <vt:i4>5</vt:i4>
      </vt:variant>
      <vt:variant>
        <vt:lpwstr>https://www.itu.int/md/S24-CL-C-0136/en</vt:lpwstr>
      </vt:variant>
      <vt:variant>
        <vt:lpwstr/>
      </vt:variant>
      <vt:variant>
        <vt:i4>7209060</vt:i4>
      </vt:variant>
      <vt:variant>
        <vt:i4>15</vt:i4>
      </vt:variant>
      <vt:variant>
        <vt:i4>0</vt:i4>
      </vt:variant>
      <vt:variant>
        <vt:i4>5</vt:i4>
      </vt:variant>
      <vt:variant>
        <vt:lpwstr>https://www.itu.int/en/council/Documents/basic-texts-2023/RES-002-E.pdf</vt:lpwstr>
      </vt:variant>
      <vt:variant>
        <vt:lpwstr/>
      </vt:variant>
      <vt:variant>
        <vt:i4>4390994</vt:i4>
      </vt:variant>
      <vt:variant>
        <vt:i4>12</vt:i4>
      </vt:variant>
      <vt:variant>
        <vt:i4>0</vt:i4>
      </vt:variant>
      <vt:variant>
        <vt:i4>5</vt:i4>
      </vt:variant>
      <vt:variant>
        <vt:lpwstr>https://www.itu.int/en/council/Pages/ieg-wtpf-26.aspx</vt:lpwstr>
      </vt:variant>
      <vt:variant>
        <vt:lpwstr/>
      </vt:variant>
      <vt:variant>
        <vt:i4>7209060</vt:i4>
      </vt:variant>
      <vt:variant>
        <vt:i4>9</vt:i4>
      </vt:variant>
      <vt:variant>
        <vt:i4>0</vt:i4>
      </vt:variant>
      <vt:variant>
        <vt:i4>5</vt:i4>
      </vt:variant>
      <vt:variant>
        <vt:lpwstr>https://www.itu.int/en/council/Documents/basic-texts-2023/RES-002-E.pdf</vt:lpwstr>
      </vt:variant>
      <vt:variant>
        <vt:lpwstr/>
      </vt:variant>
      <vt:variant>
        <vt:i4>7405631</vt:i4>
      </vt:variant>
      <vt:variant>
        <vt:i4>6</vt:i4>
      </vt:variant>
      <vt:variant>
        <vt:i4>0</vt:i4>
      </vt:variant>
      <vt:variant>
        <vt:i4>5</vt:i4>
      </vt:variant>
      <vt:variant>
        <vt:lpwstr>https://www.itu.int/md/S24-CL-C-0136/en</vt:lpwstr>
      </vt:variant>
      <vt:variant>
        <vt:lpwstr/>
      </vt:variant>
      <vt:variant>
        <vt:i4>7209060</vt:i4>
      </vt:variant>
      <vt:variant>
        <vt:i4>3</vt:i4>
      </vt:variant>
      <vt:variant>
        <vt:i4>0</vt:i4>
      </vt:variant>
      <vt:variant>
        <vt:i4>5</vt:i4>
      </vt:variant>
      <vt:variant>
        <vt:lpwstr>https://www.itu.int/en/council/Documents/basic-texts-2023/RES-002-E.pdf</vt:lpwstr>
      </vt:variant>
      <vt:variant>
        <vt:lpwstr/>
      </vt:variant>
      <vt:variant>
        <vt:i4>7209060</vt:i4>
      </vt:variant>
      <vt:variant>
        <vt:i4>0</vt:i4>
      </vt:variant>
      <vt:variant>
        <vt:i4>0</vt:i4>
      </vt:variant>
      <vt:variant>
        <vt:i4>5</vt:i4>
      </vt:variant>
      <vt:variant>
        <vt:lpwstr>https://www.itu.int/en/council/Documents/basic-texts-2023/RES-002-E.pdf</vt:lpwstr>
      </vt:variant>
      <vt:variant>
        <vt:lpwstr/>
      </vt:variant>
      <vt:variant>
        <vt:i4>4259844</vt:i4>
      </vt:variant>
      <vt:variant>
        <vt:i4>24</vt:i4>
      </vt:variant>
      <vt:variant>
        <vt:i4>0</vt:i4>
      </vt:variant>
      <vt:variant>
        <vt:i4>5</vt:i4>
      </vt:variant>
      <vt:variant>
        <vt:lpwstr>https://www.itu.int/itu-d/sites/innovation-alliance/</vt:lpwstr>
      </vt:variant>
      <vt:variant>
        <vt:lpwstr/>
      </vt:variant>
      <vt:variant>
        <vt:i4>983124</vt:i4>
      </vt:variant>
      <vt:variant>
        <vt:i4>21</vt:i4>
      </vt:variant>
      <vt:variant>
        <vt:i4>0</vt:i4>
      </vt:variant>
      <vt:variant>
        <vt:i4>5</vt:i4>
      </vt:variant>
      <vt:variant>
        <vt:lpwstr>https://www.itu.int/ssf/</vt:lpwstr>
      </vt:variant>
      <vt:variant>
        <vt:lpwstr/>
      </vt:variant>
      <vt:variant>
        <vt:i4>4390912</vt:i4>
      </vt:variant>
      <vt:variant>
        <vt:i4>18</vt:i4>
      </vt:variant>
      <vt:variant>
        <vt:i4>0</vt:i4>
      </vt:variant>
      <vt:variant>
        <vt:i4>5</vt:i4>
      </vt:variant>
      <vt:variant>
        <vt:lpwstr>https://www.itu.int/en/digital-resilience/submarine-cables/Pages/default.aspx</vt:lpwstr>
      </vt:variant>
      <vt:variant>
        <vt:lpwstr/>
      </vt:variant>
      <vt:variant>
        <vt:i4>1638484</vt:i4>
      </vt:variant>
      <vt:variant>
        <vt:i4>15</vt:i4>
      </vt:variant>
      <vt:variant>
        <vt:i4>0</vt:i4>
      </vt:variant>
      <vt:variant>
        <vt:i4>5</vt:i4>
      </vt:variant>
      <vt:variant>
        <vt:lpwstr>https://www.itu.int/initiatives/green-digital-action/</vt:lpwstr>
      </vt:variant>
      <vt:variant>
        <vt:lpwstr/>
      </vt:variant>
      <vt:variant>
        <vt:i4>3080299</vt:i4>
      </vt:variant>
      <vt:variant>
        <vt:i4>12</vt:i4>
      </vt:variant>
      <vt:variant>
        <vt:i4>0</vt:i4>
      </vt:variant>
      <vt:variant>
        <vt:i4>5</vt:i4>
      </vt:variant>
      <vt:variant>
        <vt:lpwstr>https://aiforgood.itu.int/ai-skills-coalition/</vt:lpwstr>
      </vt:variant>
      <vt:variant>
        <vt:lpwstr/>
      </vt:variant>
      <vt:variant>
        <vt:i4>7929961</vt:i4>
      </vt:variant>
      <vt:variant>
        <vt:i4>9</vt:i4>
      </vt:variant>
      <vt:variant>
        <vt:i4>0</vt:i4>
      </vt:variant>
      <vt:variant>
        <vt:i4>5</vt:i4>
      </vt:variant>
      <vt:variant>
        <vt:lpwstr>https://academy.itu.int/itu-d/projects-activities/research-publications/digital-skills-toolkit</vt:lpwstr>
      </vt:variant>
      <vt:variant>
        <vt:lpwstr/>
      </vt:variant>
      <vt:variant>
        <vt:i4>2555957</vt:i4>
      </vt:variant>
      <vt:variant>
        <vt:i4>6</vt:i4>
      </vt:variant>
      <vt:variant>
        <vt:i4>0</vt:i4>
      </vt:variant>
      <vt:variant>
        <vt:i4>5</vt:i4>
      </vt:variant>
      <vt:variant>
        <vt:lpwstr>https://www.itu.int/en/mediacentre/backgrounders/Pages/skills-development-digital-economy.aspx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2025-11-04T09:07:00Z</dcterms:created>
  <dcterms:modified xsi:type="dcterms:W3CDTF">2025-11-04T09:07:00Z</dcterms:modified>
  <cp:category/>
</cp:coreProperties>
</file>