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01"/>
        <w:gridCol w:w="3368"/>
        <w:gridCol w:w="284"/>
        <w:gridCol w:w="4536"/>
      </w:tblGrid>
      <w:tr w:rsidR="00EA15B3" w:rsidRPr="00FE3CC7" w14:paraId="027EFCA9" w14:textId="77777777" w:rsidTr="2DAF01FE">
        <w:tc>
          <w:tcPr>
            <w:tcW w:w="9889" w:type="dxa"/>
            <w:gridSpan w:val="4"/>
            <w:shd w:val="clear" w:color="auto" w:fill="auto"/>
            <w:vAlign w:val="center"/>
          </w:tcPr>
          <w:p w14:paraId="786980CC" w14:textId="72E8ED1F" w:rsidR="00EA15B3" w:rsidRPr="00FE3CC7" w:rsidRDefault="00BD5CC1" w:rsidP="00D62BDC">
            <w:pPr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  <w:bookmarkStart w:id="0" w:name="CurrentLocation"/>
            <w:bookmarkStart w:id="1" w:name="Logo"/>
            <w:bookmarkStart w:id="2" w:name="Origine"/>
            <w:bookmarkEnd w:id="0"/>
            <w:bookmarkEnd w:id="1"/>
            <w:bookmarkEnd w:id="2"/>
            <w:r w:rsidRPr="00FE3CC7"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  <w:t>Генеральный секретариат</w:t>
            </w:r>
            <w:r w:rsidR="00D62BDC" w:rsidRPr="00FE3CC7"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  <w:t xml:space="preserve"> (</w:t>
            </w:r>
            <w:r w:rsidRPr="00FE3CC7"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  <w:t>ГС</w:t>
            </w:r>
            <w:r w:rsidR="00D62BDC" w:rsidRPr="00FE3CC7"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  <w:t>)</w:t>
            </w:r>
          </w:p>
        </w:tc>
      </w:tr>
      <w:tr w:rsidR="00EA15B3" w:rsidRPr="00FE3CC7" w14:paraId="58573307" w14:textId="77777777" w:rsidTr="2DAF01FE">
        <w:tc>
          <w:tcPr>
            <w:tcW w:w="9889" w:type="dxa"/>
            <w:gridSpan w:val="4"/>
            <w:shd w:val="clear" w:color="auto" w:fill="auto"/>
          </w:tcPr>
          <w:p w14:paraId="5CAF9E42" w14:textId="77777777" w:rsidR="00EA15B3" w:rsidRPr="00FE3CC7" w:rsidRDefault="00EA15B3" w:rsidP="00A71B52">
            <w:pPr>
              <w:spacing w:before="0"/>
              <w:rPr>
                <w:lang w:val="ru-RU"/>
              </w:rPr>
            </w:pPr>
          </w:p>
        </w:tc>
      </w:tr>
      <w:tr w:rsidR="00651777" w:rsidRPr="00FE3CC7" w14:paraId="5113CC47" w14:textId="77777777" w:rsidTr="2DAF01FE">
        <w:tc>
          <w:tcPr>
            <w:tcW w:w="5353" w:type="dxa"/>
            <w:gridSpan w:val="3"/>
            <w:shd w:val="clear" w:color="auto" w:fill="auto"/>
          </w:tcPr>
          <w:p w14:paraId="244D7759" w14:textId="77777777" w:rsidR="00651777" w:rsidRPr="00FE3CC7" w:rsidRDefault="00651777" w:rsidP="00651777">
            <w:pPr>
              <w:rPr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4AE86913" w14:textId="439D7348" w:rsidR="00651777" w:rsidRPr="00FE3CC7" w:rsidRDefault="00BD5CC1" w:rsidP="00EC1DD7">
            <w:pPr>
              <w:rPr>
                <w:lang w:val="ru-RU"/>
              </w:rPr>
            </w:pPr>
            <w:r w:rsidRPr="00FE3CC7">
              <w:rPr>
                <w:lang w:val="ru-RU"/>
              </w:rPr>
              <w:t>Женева</w:t>
            </w:r>
            <w:r w:rsidR="00651777" w:rsidRPr="00FE3CC7">
              <w:rPr>
                <w:lang w:val="ru-RU"/>
              </w:rPr>
              <w:t>,</w:t>
            </w:r>
            <w:r w:rsidR="00C06C54" w:rsidRPr="00FE3CC7">
              <w:rPr>
                <w:lang w:val="ru-RU"/>
              </w:rPr>
              <w:t xml:space="preserve">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lock w:val="sdtLocked"/>
                <w:placeholder>
                  <w:docPart w:val="831705CDD49044E0AE2C9D9CB691DEEA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083B" w:rsidRPr="00FE3CC7">
                  <w:rPr>
                    <w:rFonts w:cs="Arial"/>
                    <w:lang w:val="ru-RU"/>
                  </w:rPr>
                  <w:t>2</w:t>
                </w:r>
                <w:r w:rsidR="00526053" w:rsidRPr="00FE3CC7">
                  <w:rPr>
                    <w:rFonts w:cs="Arial"/>
                    <w:lang w:val="ru-RU"/>
                  </w:rPr>
                  <w:t>4</w:t>
                </w:r>
                <w:r w:rsidR="004810D0" w:rsidRPr="00FE3CC7">
                  <w:rPr>
                    <w:rFonts w:cs="Arial"/>
                    <w:lang w:val="ru-RU"/>
                  </w:rPr>
                  <w:t xml:space="preserve"> </w:t>
                </w:r>
                <w:r w:rsidR="000C083B" w:rsidRPr="00FE3CC7">
                  <w:rPr>
                    <w:rFonts w:cs="Arial"/>
                    <w:lang w:val="ru-RU"/>
                  </w:rPr>
                  <w:t>июня</w:t>
                </w:r>
                <w:r w:rsidR="004810D0" w:rsidRPr="00FE3CC7">
                  <w:rPr>
                    <w:rFonts w:cs="Arial"/>
                    <w:lang w:val="ru-RU"/>
                  </w:rPr>
                  <w:t xml:space="preserve"> 202</w:t>
                </w:r>
                <w:r w:rsidR="000C083B" w:rsidRPr="00FE3CC7">
                  <w:rPr>
                    <w:rFonts w:cs="Arial"/>
                    <w:lang w:val="ru-RU"/>
                  </w:rPr>
                  <w:t>4 года</w:t>
                </w:r>
              </w:sdtContent>
            </w:sdt>
          </w:p>
        </w:tc>
      </w:tr>
      <w:tr w:rsidR="00155CA8" w:rsidRPr="00FE3CC7" w14:paraId="0B5CD5BE" w14:textId="77777777" w:rsidTr="00BA21A7">
        <w:trPr>
          <w:trHeight w:val="168"/>
        </w:trPr>
        <w:tc>
          <w:tcPr>
            <w:tcW w:w="1701" w:type="dxa"/>
            <w:shd w:val="clear" w:color="auto" w:fill="auto"/>
          </w:tcPr>
          <w:p w14:paraId="7DF42B5B" w14:textId="60B40131" w:rsidR="00155CA8" w:rsidRPr="00FE3CC7" w:rsidRDefault="00BD5CC1" w:rsidP="00651777">
            <w:pPr>
              <w:spacing w:before="0"/>
              <w:rPr>
                <w:lang w:val="ru-RU"/>
              </w:rPr>
            </w:pPr>
            <w:proofErr w:type="spellStart"/>
            <w:r w:rsidRPr="00FE3CC7">
              <w:rPr>
                <w:lang w:val="ru-RU"/>
              </w:rPr>
              <w:t>Осн</w:t>
            </w:r>
            <w:proofErr w:type="spellEnd"/>
            <w:r w:rsidRPr="00FE3CC7">
              <w:rPr>
                <w:lang w:val="ru-RU"/>
              </w:rPr>
              <w:t>.</w:t>
            </w:r>
            <w:r w:rsidR="00155CA8" w:rsidRPr="00FE3CC7">
              <w:rPr>
                <w:lang w:val="ru-RU"/>
              </w:rPr>
              <w:t xml:space="preserve">: </w:t>
            </w:r>
          </w:p>
        </w:tc>
        <w:tc>
          <w:tcPr>
            <w:tcW w:w="3368" w:type="dxa"/>
            <w:shd w:val="clear" w:color="auto" w:fill="auto"/>
          </w:tcPr>
          <w:p w14:paraId="1B303B38" w14:textId="7FEEAACC" w:rsidR="00155CA8" w:rsidRPr="00FE3CC7" w:rsidRDefault="000C083B" w:rsidP="00652732">
            <w:pPr>
              <w:spacing w:before="0"/>
              <w:rPr>
                <w:b/>
                <w:bCs/>
                <w:lang w:val="ru-RU"/>
              </w:rPr>
            </w:pPr>
            <w:bookmarkStart w:id="3" w:name="Contact"/>
            <w:bookmarkEnd w:id="3"/>
            <w:r w:rsidRPr="00FE3CC7">
              <w:rPr>
                <w:b/>
                <w:bCs/>
                <w:lang w:val="ru-RU"/>
              </w:rPr>
              <w:t>CL-24/3</w:t>
            </w:r>
            <w:r w:rsidR="00B51ADD" w:rsidRPr="00FE3CC7">
              <w:rPr>
                <w:b/>
                <w:bCs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245CA23F" w14:textId="77777777" w:rsidR="00155CA8" w:rsidRPr="00FE3CC7" w:rsidRDefault="00155CA8" w:rsidP="00651777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10C908A1" w14:textId="5D6057AE" w:rsidR="000C083B" w:rsidRPr="00FE3CC7" w:rsidRDefault="00660071" w:rsidP="00B51A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E3CC7">
              <w:rPr>
                <w:lang w:val="ru-RU"/>
              </w:rPr>
              <w:t>Государствам</w:t>
            </w:r>
            <w:r w:rsidR="00B51ADD" w:rsidRPr="00FE3CC7">
              <w:rPr>
                <w:lang w:val="ru-RU"/>
              </w:rPr>
              <w:t xml:space="preserve"> − </w:t>
            </w:r>
            <w:r w:rsidRPr="00FE3CC7">
              <w:rPr>
                <w:lang w:val="ru-RU"/>
              </w:rPr>
              <w:t>Членам</w:t>
            </w:r>
            <w:r w:rsidR="00B51ADD" w:rsidRPr="00FE3CC7">
              <w:rPr>
                <w:lang w:val="ru-RU"/>
              </w:rPr>
              <w:t xml:space="preserve"> МСЭ</w:t>
            </w:r>
          </w:p>
        </w:tc>
      </w:tr>
      <w:tr w:rsidR="00155CA8" w:rsidRPr="00A71B52" w14:paraId="3E8B4490" w14:textId="77777777" w:rsidTr="00BA21A7">
        <w:tc>
          <w:tcPr>
            <w:tcW w:w="1701" w:type="dxa"/>
            <w:shd w:val="clear" w:color="auto" w:fill="auto"/>
          </w:tcPr>
          <w:p w14:paraId="038097EB" w14:textId="4BFE3A25" w:rsidR="00155CA8" w:rsidRPr="00FE3CC7" w:rsidRDefault="00660071" w:rsidP="00651777">
            <w:pPr>
              <w:spacing w:before="0"/>
              <w:rPr>
                <w:lang w:val="ru-RU"/>
              </w:rPr>
            </w:pPr>
            <w:r w:rsidRPr="00FE3CC7">
              <w:rPr>
                <w:lang w:val="ru-RU"/>
              </w:rPr>
              <w:t>Для контактов</w:t>
            </w:r>
            <w:r w:rsidR="00155CA8" w:rsidRPr="00FE3CC7">
              <w:rPr>
                <w:lang w:val="ru-RU"/>
              </w:rPr>
              <w:t>:</w:t>
            </w:r>
          </w:p>
        </w:tc>
        <w:tc>
          <w:tcPr>
            <w:tcW w:w="3368" w:type="dxa"/>
            <w:shd w:val="clear" w:color="auto" w:fill="auto"/>
          </w:tcPr>
          <w:p w14:paraId="7750C731" w14:textId="021B5969" w:rsidR="00155CA8" w:rsidRPr="00FE3CC7" w:rsidRDefault="000C083B" w:rsidP="0085107D">
            <w:pPr>
              <w:spacing w:before="0"/>
              <w:rPr>
                <w:lang w:val="ru-RU"/>
              </w:rPr>
            </w:pPr>
            <w:r w:rsidRPr="00FE3CC7">
              <w:rPr>
                <w:lang w:val="ru-RU"/>
              </w:rPr>
              <w:t xml:space="preserve">г-жа Беатрис </w:t>
            </w:r>
            <w:proofErr w:type="spellStart"/>
            <w:r w:rsidRPr="00FE3CC7">
              <w:rPr>
                <w:lang w:val="ru-RU"/>
              </w:rPr>
              <w:t>Плюшон</w:t>
            </w:r>
            <w:proofErr w:type="spellEnd"/>
            <w:r w:rsidRPr="00FE3CC7">
              <w:rPr>
                <w:lang w:val="ru-RU"/>
              </w:rPr>
              <w:t xml:space="preserve"> (</w:t>
            </w:r>
            <w:proofErr w:type="spellStart"/>
            <w:r w:rsidRPr="00FE3CC7">
              <w:rPr>
                <w:lang w:val="ru-RU"/>
              </w:rPr>
              <w:t>Ms</w:t>
            </w:r>
            <w:proofErr w:type="spellEnd"/>
            <w:r w:rsidR="00F15795" w:rsidRPr="00FE3CC7">
              <w:rPr>
                <w:lang w:val="ru-RU"/>
              </w:rPr>
              <w:t> </w:t>
            </w:r>
            <w:proofErr w:type="spellStart"/>
            <w:r w:rsidRPr="00FE3CC7">
              <w:rPr>
                <w:lang w:val="ru-RU"/>
              </w:rPr>
              <w:t>Béatrice</w:t>
            </w:r>
            <w:proofErr w:type="spellEnd"/>
            <w:r w:rsidRPr="00FE3CC7">
              <w:rPr>
                <w:lang w:val="ru-RU"/>
              </w:rPr>
              <w:t xml:space="preserve"> </w:t>
            </w:r>
            <w:proofErr w:type="spellStart"/>
            <w:r w:rsidRPr="00FE3CC7">
              <w:rPr>
                <w:lang w:val="ru-RU"/>
              </w:rPr>
              <w:t>Pluchon</w:t>
            </w:r>
            <w:proofErr w:type="spellEnd"/>
            <w:r w:rsidRPr="00FE3CC7">
              <w:rPr>
                <w:lang w:val="ru-RU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0F6A52C" w14:textId="77777777" w:rsidR="00155CA8" w:rsidRPr="00FE3CC7" w:rsidRDefault="00155CA8" w:rsidP="00651777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  <w:vMerge/>
          </w:tcPr>
          <w:p w14:paraId="412B8B49" w14:textId="77777777" w:rsidR="00155CA8" w:rsidRPr="00FE3CC7" w:rsidRDefault="00155CA8" w:rsidP="006075DA">
            <w:pPr>
              <w:spacing w:before="0"/>
              <w:rPr>
                <w:lang w:val="ru-RU"/>
              </w:rPr>
            </w:pPr>
          </w:p>
        </w:tc>
      </w:tr>
      <w:tr w:rsidR="00155CA8" w:rsidRPr="00FE3CC7" w14:paraId="1B6C1F0F" w14:textId="77777777" w:rsidTr="00BA21A7">
        <w:tc>
          <w:tcPr>
            <w:tcW w:w="1701" w:type="dxa"/>
            <w:shd w:val="clear" w:color="auto" w:fill="auto"/>
          </w:tcPr>
          <w:p w14:paraId="7FD2285E" w14:textId="59C5F2F3" w:rsidR="00155CA8" w:rsidRPr="00FE3CC7" w:rsidRDefault="00660071" w:rsidP="00651777">
            <w:pPr>
              <w:spacing w:before="0"/>
              <w:rPr>
                <w:lang w:val="ru-RU"/>
              </w:rPr>
            </w:pPr>
            <w:r w:rsidRPr="00FE3CC7">
              <w:rPr>
                <w:lang w:val="ru-RU"/>
              </w:rPr>
              <w:t>Тел.</w:t>
            </w:r>
            <w:r w:rsidR="00155CA8" w:rsidRPr="00FE3CC7">
              <w:rPr>
                <w:lang w:val="ru-RU"/>
              </w:rPr>
              <w:t>:</w:t>
            </w:r>
          </w:p>
        </w:tc>
        <w:tc>
          <w:tcPr>
            <w:tcW w:w="3368" w:type="dxa"/>
            <w:shd w:val="clear" w:color="auto" w:fill="auto"/>
          </w:tcPr>
          <w:p w14:paraId="3C63991B" w14:textId="6819E0D0" w:rsidR="00155CA8" w:rsidRPr="00FE3CC7" w:rsidRDefault="000C083B" w:rsidP="0026156E">
            <w:pPr>
              <w:spacing w:before="0"/>
              <w:rPr>
                <w:lang w:val="ru-RU"/>
              </w:rPr>
            </w:pPr>
            <w:r w:rsidRPr="00FE3CC7">
              <w:rPr>
                <w:lang w:val="ru-RU"/>
              </w:rPr>
              <w:t>+41 22 730 6266</w:t>
            </w:r>
          </w:p>
        </w:tc>
        <w:tc>
          <w:tcPr>
            <w:tcW w:w="284" w:type="dxa"/>
            <w:shd w:val="clear" w:color="auto" w:fill="auto"/>
          </w:tcPr>
          <w:p w14:paraId="53F57D7E" w14:textId="77777777" w:rsidR="00155CA8" w:rsidRPr="00FE3CC7" w:rsidRDefault="00155CA8" w:rsidP="00651777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  <w:vMerge/>
          </w:tcPr>
          <w:p w14:paraId="0BDC3F11" w14:textId="77777777" w:rsidR="00155CA8" w:rsidRPr="00FE3CC7" w:rsidRDefault="00155CA8" w:rsidP="00651777">
            <w:pPr>
              <w:spacing w:before="0"/>
              <w:rPr>
                <w:lang w:val="ru-RU"/>
              </w:rPr>
            </w:pPr>
          </w:p>
        </w:tc>
      </w:tr>
      <w:tr w:rsidR="00FB2F7D" w:rsidRPr="00FE3CC7" w14:paraId="0B40221B" w14:textId="77777777" w:rsidTr="00BA21A7">
        <w:tc>
          <w:tcPr>
            <w:tcW w:w="1701" w:type="dxa"/>
            <w:vMerge w:val="restart"/>
            <w:shd w:val="clear" w:color="auto" w:fill="auto"/>
          </w:tcPr>
          <w:p w14:paraId="1DF0388D" w14:textId="2F0C6189" w:rsidR="00FB2F7D" w:rsidRPr="00FE3CC7" w:rsidRDefault="00FB2F7D" w:rsidP="0026156E">
            <w:pPr>
              <w:spacing w:before="0"/>
              <w:rPr>
                <w:lang w:val="ru-RU"/>
              </w:rPr>
            </w:pPr>
            <w:r w:rsidRPr="00FE3CC7">
              <w:rPr>
                <w:lang w:val="ru-RU"/>
              </w:rPr>
              <w:t>Эл. почта:</w:t>
            </w:r>
          </w:p>
        </w:tc>
        <w:tc>
          <w:tcPr>
            <w:tcW w:w="3368" w:type="dxa"/>
            <w:vMerge w:val="restart"/>
            <w:shd w:val="clear" w:color="auto" w:fill="auto"/>
          </w:tcPr>
          <w:p w14:paraId="23B6323F" w14:textId="3351ADE9" w:rsidR="00FB2F7D" w:rsidRPr="00FE3CC7" w:rsidRDefault="00654684" w:rsidP="0026156E">
            <w:pPr>
              <w:spacing w:before="0"/>
              <w:rPr>
                <w:lang w:val="ru-RU"/>
              </w:rPr>
            </w:pPr>
            <w:hyperlink r:id="rId11" w:history="1">
              <w:r w:rsidR="00B51ADD" w:rsidRPr="00FE3CC7">
                <w:rPr>
                  <w:rStyle w:val="Hyperlink"/>
                  <w:lang w:val="ru-RU"/>
                </w:rPr>
                <w:t>memberstates@itu.int</w:t>
              </w:r>
            </w:hyperlink>
          </w:p>
        </w:tc>
        <w:tc>
          <w:tcPr>
            <w:tcW w:w="284" w:type="dxa"/>
            <w:shd w:val="clear" w:color="auto" w:fill="auto"/>
          </w:tcPr>
          <w:p w14:paraId="1FB25722" w14:textId="77777777" w:rsidR="00FB2F7D" w:rsidRPr="00FE3CC7" w:rsidRDefault="00FB2F7D" w:rsidP="0026156E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  <w:vMerge/>
          </w:tcPr>
          <w:p w14:paraId="17C56854" w14:textId="77777777" w:rsidR="00FB2F7D" w:rsidRPr="00FE3CC7" w:rsidRDefault="00FB2F7D" w:rsidP="0026156E">
            <w:pPr>
              <w:spacing w:before="0"/>
              <w:rPr>
                <w:lang w:val="ru-RU"/>
              </w:rPr>
            </w:pPr>
          </w:p>
        </w:tc>
      </w:tr>
      <w:tr w:rsidR="00FB2F7D" w:rsidRPr="00FE3CC7" w14:paraId="5B6C35E8" w14:textId="77777777" w:rsidTr="00BA21A7">
        <w:tc>
          <w:tcPr>
            <w:tcW w:w="1701" w:type="dxa"/>
            <w:vMerge/>
            <w:shd w:val="clear" w:color="auto" w:fill="auto"/>
          </w:tcPr>
          <w:p w14:paraId="36691324" w14:textId="77777777" w:rsidR="00FB2F7D" w:rsidRPr="00FE3CC7" w:rsidRDefault="00FB2F7D" w:rsidP="00651777">
            <w:pPr>
              <w:spacing w:before="0"/>
              <w:rPr>
                <w:lang w:val="ru-RU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781021CB" w14:textId="77777777" w:rsidR="00FB2F7D" w:rsidRPr="00FE3CC7" w:rsidRDefault="00FB2F7D" w:rsidP="00D9542E">
            <w:pPr>
              <w:spacing w:before="0"/>
              <w:rPr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DED6129" w14:textId="77777777" w:rsidR="00FB2F7D" w:rsidRPr="00FE3CC7" w:rsidRDefault="00FB2F7D" w:rsidP="00651777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  <w:vMerge/>
          </w:tcPr>
          <w:p w14:paraId="36B5117A" w14:textId="77777777" w:rsidR="00FB2F7D" w:rsidRPr="00FE3CC7" w:rsidRDefault="00FB2F7D" w:rsidP="00651777">
            <w:pPr>
              <w:spacing w:before="0"/>
              <w:rPr>
                <w:lang w:val="ru-RU"/>
              </w:rPr>
            </w:pPr>
          </w:p>
        </w:tc>
      </w:tr>
      <w:tr w:rsidR="00EA15B3" w:rsidRPr="00FE3CC7" w14:paraId="463593E9" w14:textId="77777777" w:rsidTr="2DAF01FE">
        <w:tc>
          <w:tcPr>
            <w:tcW w:w="9889" w:type="dxa"/>
            <w:gridSpan w:val="4"/>
            <w:shd w:val="clear" w:color="auto" w:fill="auto"/>
          </w:tcPr>
          <w:p w14:paraId="615CF526" w14:textId="77777777" w:rsidR="00EA15B3" w:rsidRPr="00FE3CC7" w:rsidRDefault="00EA15B3" w:rsidP="00BA21A7">
            <w:pPr>
              <w:spacing w:before="0"/>
              <w:rPr>
                <w:lang w:val="ru-RU"/>
              </w:rPr>
            </w:pPr>
          </w:p>
        </w:tc>
      </w:tr>
      <w:tr w:rsidR="00EA15B3" w:rsidRPr="00A71B52" w14:paraId="7303467D" w14:textId="77777777" w:rsidTr="00BA21A7">
        <w:tc>
          <w:tcPr>
            <w:tcW w:w="1701" w:type="dxa"/>
            <w:shd w:val="clear" w:color="auto" w:fill="auto"/>
          </w:tcPr>
          <w:p w14:paraId="10783B12" w14:textId="08B71B1A" w:rsidR="00EA15B3" w:rsidRPr="00FE3CC7" w:rsidRDefault="00660071" w:rsidP="00651777">
            <w:pPr>
              <w:rPr>
                <w:lang w:val="ru-RU"/>
              </w:rPr>
            </w:pPr>
            <w:r w:rsidRPr="00FE3CC7">
              <w:rPr>
                <w:b/>
                <w:bCs/>
                <w:lang w:val="ru-RU"/>
              </w:rPr>
              <w:t>Предмет</w:t>
            </w:r>
            <w:r w:rsidR="00EA15B3" w:rsidRPr="00FE3CC7">
              <w:rPr>
                <w:lang w:val="ru-RU"/>
              </w:rPr>
              <w:t>:</w:t>
            </w:r>
          </w:p>
        </w:tc>
        <w:tc>
          <w:tcPr>
            <w:tcW w:w="8188" w:type="dxa"/>
            <w:gridSpan w:val="3"/>
            <w:shd w:val="clear" w:color="auto" w:fill="auto"/>
          </w:tcPr>
          <w:p w14:paraId="6F7EEAD1" w14:textId="206E6875" w:rsidR="00EA15B3" w:rsidRPr="00FE3CC7" w:rsidRDefault="00B51ADD" w:rsidP="00B51ADD">
            <w:pPr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Консультации с Государствами-Членами относительно конкретного места, точных дат и проекта повестки дня ВКРЭ-25</w:t>
            </w:r>
            <w:r w:rsidR="00E44240" w:rsidRPr="00FE3CC7">
              <w:rPr>
                <w:b/>
                <w:bCs/>
                <w:lang w:val="ru-RU"/>
              </w:rPr>
              <w:t xml:space="preserve">, </w:t>
            </w:r>
            <w:r w:rsidRPr="00FE3CC7">
              <w:rPr>
                <w:b/>
                <w:bCs/>
                <w:lang w:val="ru-RU"/>
              </w:rPr>
              <w:t>повестки дня ВКР-27</w:t>
            </w:r>
            <w:r w:rsidR="00E44240" w:rsidRPr="00FE3CC7">
              <w:rPr>
                <w:b/>
                <w:bCs/>
                <w:lang w:val="ru-RU"/>
              </w:rPr>
              <w:t>,</w:t>
            </w:r>
            <w:r w:rsidRPr="00FE3CC7">
              <w:rPr>
                <w:b/>
                <w:bCs/>
                <w:lang w:val="ru-RU"/>
              </w:rPr>
              <w:t xml:space="preserve"> а также альтернативного проекта помещений штаб-квартиры МСЭ с переоценкой</w:t>
            </w:r>
          </w:p>
        </w:tc>
      </w:tr>
    </w:tbl>
    <w:p w14:paraId="5FB41F45" w14:textId="07A4CDD6" w:rsidR="006075DA" w:rsidRPr="00FE3CC7" w:rsidRDefault="002F2D9A" w:rsidP="00857F35">
      <w:pPr>
        <w:pStyle w:val="Normalaftertitle"/>
        <w:spacing w:before="240" w:line="240" w:lineRule="exact"/>
        <w:rPr>
          <w:rFonts w:asciiTheme="minorHAnsi" w:hAnsiTheme="minorHAnsi"/>
          <w:szCs w:val="22"/>
          <w:lang w:val="ru-RU"/>
        </w:rPr>
      </w:pPr>
      <w:r w:rsidRPr="00FE3CC7">
        <w:rPr>
          <w:rFonts w:asciiTheme="minorHAnsi" w:hAnsiTheme="minorHAnsi"/>
          <w:szCs w:val="22"/>
          <w:lang w:val="ru-RU"/>
        </w:rPr>
        <w:t>Уважаемая госпожа,</w:t>
      </w:r>
      <w:r w:rsidRPr="00FE3CC7">
        <w:rPr>
          <w:rFonts w:asciiTheme="minorHAnsi" w:hAnsiTheme="minorHAnsi"/>
          <w:szCs w:val="22"/>
          <w:lang w:val="ru-RU"/>
        </w:rPr>
        <w:br/>
      </w:r>
      <w:r w:rsidR="00D324CD" w:rsidRPr="00FE3CC7">
        <w:rPr>
          <w:rFonts w:asciiTheme="minorHAnsi" w:hAnsiTheme="minorHAnsi"/>
          <w:szCs w:val="22"/>
          <w:lang w:val="ru-RU"/>
        </w:rPr>
        <w:t xml:space="preserve">уважаемый </w:t>
      </w:r>
      <w:r w:rsidRPr="00FE3CC7">
        <w:rPr>
          <w:rFonts w:asciiTheme="minorHAnsi" w:hAnsiTheme="minorHAnsi"/>
          <w:szCs w:val="22"/>
          <w:lang w:val="ru-RU"/>
        </w:rPr>
        <w:t>господин</w:t>
      </w:r>
      <w:r w:rsidR="006075DA" w:rsidRPr="00FE3CC7">
        <w:rPr>
          <w:rFonts w:asciiTheme="minorHAnsi" w:hAnsiTheme="minorHAnsi"/>
          <w:szCs w:val="22"/>
          <w:lang w:val="ru-RU"/>
        </w:rPr>
        <w:t>,</w:t>
      </w:r>
    </w:p>
    <w:p w14:paraId="6B0EA2E6" w14:textId="52C3B1AF" w:rsidR="00B51ADD" w:rsidRPr="005759E8" w:rsidRDefault="000C083B" w:rsidP="00857F35">
      <w:pPr>
        <w:spacing w:line="240" w:lineRule="exact"/>
        <w:rPr>
          <w:lang w:val="ru-RU"/>
        </w:rPr>
      </w:pPr>
      <w:r w:rsidRPr="005759E8">
        <w:rPr>
          <w:rFonts w:eastAsiaTheme="minorHAnsi"/>
          <w:lang w:val="ru-RU" w:eastAsia="en-GB"/>
        </w:rPr>
        <w:t xml:space="preserve">Имею честь сообщить вам, что </w:t>
      </w:r>
      <w:r w:rsidR="003A1127" w:rsidRPr="005759E8">
        <w:rPr>
          <w:rFonts w:eastAsiaTheme="minorHAnsi"/>
          <w:lang w:val="ru-RU" w:eastAsia="en-GB"/>
        </w:rPr>
        <w:t xml:space="preserve">Совет на своей сессии 2024 года принял следующие Решения и Резолюцию, </w:t>
      </w:r>
      <w:r w:rsidR="001B65EA" w:rsidRPr="005759E8">
        <w:rPr>
          <w:rFonts w:eastAsiaTheme="minorHAnsi"/>
          <w:lang w:val="ru-RU" w:eastAsia="en-GB"/>
        </w:rPr>
        <w:t>в отношении</w:t>
      </w:r>
      <w:r w:rsidR="003A1127" w:rsidRPr="005759E8">
        <w:rPr>
          <w:rFonts w:eastAsiaTheme="minorHAnsi"/>
          <w:lang w:val="ru-RU" w:eastAsia="en-GB"/>
        </w:rPr>
        <w:t xml:space="preserve"> которых в соответствии с </w:t>
      </w:r>
      <w:proofErr w:type="spellStart"/>
      <w:r w:rsidR="003A1127" w:rsidRPr="005759E8">
        <w:rPr>
          <w:rFonts w:eastAsiaTheme="minorHAnsi"/>
          <w:lang w:val="ru-RU" w:eastAsia="en-GB"/>
        </w:rPr>
        <w:t>пп</w:t>
      </w:r>
      <w:proofErr w:type="spellEnd"/>
      <w:r w:rsidR="003A1127" w:rsidRPr="005759E8">
        <w:rPr>
          <w:rFonts w:eastAsiaTheme="minorHAnsi"/>
          <w:lang w:val="ru-RU" w:eastAsia="en-GB"/>
        </w:rPr>
        <w:t xml:space="preserve">. 41, 42, 79, 213 и 118 Конвенции МСЭ требуется согласие большинства </w:t>
      </w:r>
      <w:bookmarkStart w:id="4" w:name="_Hlk79668702"/>
      <w:r w:rsidR="003A1127" w:rsidRPr="005759E8">
        <w:rPr>
          <w:lang w:val="ru-RU"/>
        </w:rPr>
        <w:t>Государств – Членов Союза:</w:t>
      </w:r>
    </w:p>
    <w:p w14:paraId="2B8C5116" w14:textId="2D317679" w:rsidR="00B51ADD" w:rsidRPr="005759E8" w:rsidRDefault="00C47646" w:rsidP="00857F35">
      <w:pPr>
        <w:pStyle w:val="enumlev1"/>
        <w:spacing w:line="240" w:lineRule="exact"/>
        <w:rPr>
          <w:lang w:val="ru-RU"/>
        </w:rPr>
      </w:pPr>
      <w:r w:rsidRPr="005759E8">
        <w:rPr>
          <w:lang w:val="ru-RU"/>
        </w:rPr>
        <w:t>−</w:t>
      </w:r>
      <w:r w:rsidRPr="005759E8">
        <w:rPr>
          <w:lang w:val="ru-RU"/>
        </w:rPr>
        <w:tab/>
      </w:r>
      <w:hyperlink r:id="rId12" w:history="1">
        <w:r w:rsidR="003A1127" w:rsidRPr="005759E8">
          <w:rPr>
            <w:rStyle w:val="Hyperlink"/>
            <w:szCs w:val="22"/>
            <w:lang w:val="ru-RU"/>
          </w:rPr>
          <w:t>Решение</w:t>
        </w:r>
        <w:r w:rsidR="00B51ADD" w:rsidRPr="005759E8">
          <w:rPr>
            <w:rStyle w:val="Hyperlink"/>
            <w:szCs w:val="22"/>
            <w:lang w:val="ru-RU"/>
          </w:rPr>
          <w:t xml:space="preserve"> 637</w:t>
        </w:r>
      </w:hyperlink>
      <w:r w:rsidR="00B51ADD" w:rsidRPr="005759E8">
        <w:rPr>
          <w:lang w:val="ru-RU"/>
        </w:rPr>
        <w:t xml:space="preserve"> </w:t>
      </w:r>
      <w:r w:rsidR="003A1127" w:rsidRPr="005759E8">
        <w:rPr>
          <w:lang w:val="ru-RU"/>
        </w:rPr>
        <w:t>о конкретном месте и точных датах проведения Всемирной конференции по развитию электросвязи (ВКРЭ-25), в котором предусмотрено, что ВКРЭ-25 будет проведена в Баку, Азербайджанская Республика, с 17 по 28 ноября 2025 года</w:t>
      </w:r>
      <w:r w:rsidR="00B51ADD" w:rsidRPr="005759E8">
        <w:rPr>
          <w:lang w:val="ru-RU"/>
        </w:rPr>
        <w:t xml:space="preserve"> (</w:t>
      </w:r>
      <w:r w:rsidR="003A1127" w:rsidRPr="005759E8">
        <w:rPr>
          <w:lang w:val="ru-RU"/>
        </w:rPr>
        <w:t>см.</w:t>
      </w:r>
      <w:r w:rsidR="00B51ADD" w:rsidRPr="005759E8">
        <w:rPr>
          <w:lang w:val="ru-RU"/>
        </w:rPr>
        <w:t xml:space="preserve"> </w:t>
      </w:r>
      <w:hyperlink w:anchor="AnnexB" w:history="1">
        <w:r w:rsidR="003A1127" w:rsidRPr="005759E8">
          <w:rPr>
            <w:rStyle w:val="Hyperlink"/>
            <w:szCs w:val="22"/>
            <w:lang w:val="ru-RU"/>
          </w:rPr>
          <w:t>Прилож</w:t>
        </w:r>
        <w:r w:rsidR="003A1127" w:rsidRPr="005759E8">
          <w:rPr>
            <w:rStyle w:val="Hyperlink"/>
            <w:szCs w:val="22"/>
            <w:lang w:val="ru-RU"/>
          </w:rPr>
          <w:t>е</w:t>
        </w:r>
        <w:r w:rsidR="003A1127" w:rsidRPr="005759E8">
          <w:rPr>
            <w:rStyle w:val="Hyperlink"/>
            <w:szCs w:val="22"/>
            <w:lang w:val="ru-RU"/>
          </w:rPr>
          <w:t>ние</w:t>
        </w:r>
        <w:r w:rsidR="00B51ADD" w:rsidRPr="005759E8">
          <w:rPr>
            <w:rStyle w:val="Hyperlink"/>
            <w:szCs w:val="22"/>
            <w:lang w:val="ru-RU"/>
          </w:rPr>
          <w:t xml:space="preserve"> B</w:t>
        </w:r>
      </w:hyperlink>
      <w:r w:rsidR="00B51ADD" w:rsidRPr="005759E8">
        <w:rPr>
          <w:rStyle w:val="Hyperlink"/>
          <w:color w:val="auto"/>
          <w:szCs w:val="22"/>
          <w:u w:val="none"/>
          <w:lang w:val="ru-RU"/>
        </w:rPr>
        <w:t>)</w:t>
      </w:r>
      <w:r w:rsidR="00B51ADD" w:rsidRPr="005759E8">
        <w:rPr>
          <w:lang w:val="ru-RU"/>
        </w:rPr>
        <w:t>;</w:t>
      </w:r>
    </w:p>
    <w:p w14:paraId="410F7276" w14:textId="4EF7C397" w:rsidR="00B51ADD" w:rsidRPr="005759E8" w:rsidRDefault="00C47646" w:rsidP="00857F35">
      <w:pPr>
        <w:pStyle w:val="enumlev1"/>
        <w:spacing w:line="240" w:lineRule="exact"/>
        <w:rPr>
          <w:lang w:val="ru-RU"/>
        </w:rPr>
      </w:pPr>
      <w:r w:rsidRPr="005759E8">
        <w:rPr>
          <w:lang w:val="ru-RU"/>
        </w:rPr>
        <w:t>−</w:t>
      </w:r>
      <w:r w:rsidRPr="005759E8">
        <w:rPr>
          <w:lang w:val="ru-RU"/>
        </w:rPr>
        <w:tab/>
      </w:r>
      <w:r w:rsidR="001B65EA" w:rsidRPr="005759E8">
        <w:rPr>
          <w:lang w:val="ru-RU"/>
        </w:rPr>
        <w:t xml:space="preserve">утверждение </w:t>
      </w:r>
      <w:r w:rsidR="003A1127" w:rsidRPr="005759E8">
        <w:rPr>
          <w:lang w:val="ru-RU"/>
        </w:rPr>
        <w:t xml:space="preserve">проекта </w:t>
      </w:r>
      <w:r w:rsidR="00660C78" w:rsidRPr="005759E8">
        <w:rPr>
          <w:lang w:val="ru-RU"/>
        </w:rPr>
        <w:t>повестки дня ВКРЭ</w:t>
      </w:r>
      <w:r w:rsidR="00B51ADD" w:rsidRPr="005759E8">
        <w:rPr>
          <w:lang w:val="ru-RU"/>
        </w:rPr>
        <w:t>-25 (</w:t>
      </w:r>
      <w:r w:rsidR="00660C78" w:rsidRPr="005759E8">
        <w:rPr>
          <w:lang w:val="ru-RU"/>
        </w:rPr>
        <w:t xml:space="preserve">см. </w:t>
      </w:r>
      <w:hyperlink w:anchor="AnnexC" w:history="1">
        <w:r w:rsidR="00660C78" w:rsidRPr="005759E8">
          <w:rPr>
            <w:rStyle w:val="Hyperlink"/>
            <w:lang w:val="ru-RU"/>
          </w:rPr>
          <w:t>Прилож</w:t>
        </w:r>
        <w:r w:rsidR="00660C78" w:rsidRPr="005759E8">
          <w:rPr>
            <w:rStyle w:val="Hyperlink"/>
            <w:lang w:val="ru-RU"/>
          </w:rPr>
          <w:t>е</w:t>
        </w:r>
        <w:r w:rsidR="00660C78" w:rsidRPr="005759E8">
          <w:rPr>
            <w:rStyle w:val="Hyperlink"/>
            <w:lang w:val="ru-RU"/>
          </w:rPr>
          <w:t>ние</w:t>
        </w:r>
        <w:r w:rsidR="00B51ADD" w:rsidRPr="005759E8">
          <w:rPr>
            <w:rStyle w:val="Hyperlink"/>
            <w:lang w:val="ru-RU"/>
          </w:rPr>
          <w:t xml:space="preserve"> C</w:t>
        </w:r>
      </w:hyperlink>
      <w:r w:rsidR="00B51ADD" w:rsidRPr="005759E8">
        <w:rPr>
          <w:lang w:val="ru-RU"/>
        </w:rPr>
        <w:t>);</w:t>
      </w:r>
    </w:p>
    <w:bookmarkEnd w:id="4"/>
    <w:p w14:paraId="08A6FEEC" w14:textId="058943C8" w:rsidR="00B51ADD" w:rsidRPr="005759E8" w:rsidRDefault="00C47646" w:rsidP="00857F35">
      <w:pPr>
        <w:pStyle w:val="enumlev1"/>
        <w:spacing w:line="240" w:lineRule="exact"/>
        <w:rPr>
          <w:lang w:val="ru-RU"/>
        </w:rPr>
      </w:pPr>
      <w:r w:rsidRPr="005759E8">
        <w:rPr>
          <w:lang w:val="ru-RU"/>
        </w:rPr>
        <w:t>−</w:t>
      </w:r>
      <w:r w:rsidRPr="005759E8">
        <w:rPr>
          <w:lang w:val="ru-RU"/>
        </w:rPr>
        <w:tab/>
      </w:r>
      <w:hyperlink r:id="rId13" w:history="1">
        <w:r w:rsidR="00660C78" w:rsidRPr="005759E8">
          <w:rPr>
            <w:rStyle w:val="Hyperlink"/>
            <w:szCs w:val="22"/>
            <w:lang w:val="ru-RU"/>
          </w:rPr>
          <w:t>Резолюция</w:t>
        </w:r>
        <w:r w:rsidR="00B51ADD" w:rsidRPr="005759E8">
          <w:rPr>
            <w:rStyle w:val="Hyperlink"/>
            <w:szCs w:val="22"/>
            <w:lang w:val="ru-RU"/>
          </w:rPr>
          <w:t xml:space="preserve"> 1422</w:t>
        </w:r>
      </w:hyperlink>
      <w:r w:rsidR="00B51ADD" w:rsidRPr="005759E8">
        <w:rPr>
          <w:lang w:val="ru-RU"/>
        </w:rPr>
        <w:t xml:space="preserve"> </w:t>
      </w:r>
      <w:r w:rsidR="00660C78" w:rsidRPr="005759E8">
        <w:rPr>
          <w:lang w:val="ru-RU"/>
        </w:rPr>
        <w:t xml:space="preserve">о повестке дня Всемирной конференции радиосвязи </w:t>
      </w:r>
      <w:r w:rsidR="00B51ADD" w:rsidRPr="005759E8">
        <w:rPr>
          <w:lang w:val="ru-RU"/>
        </w:rPr>
        <w:t>2027</w:t>
      </w:r>
      <w:r w:rsidR="00660C78" w:rsidRPr="005759E8">
        <w:rPr>
          <w:lang w:val="ru-RU"/>
        </w:rPr>
        <w:t xml:space="preserve"> года</w:t>
      </w:r>
      <w:r w:rsidR="00B51ADD" w:rsidRPr="005759E8">
        <w:rPr>
          <w:lang w:val="ru-RU"/>
        </w:rPr>
        <w:t xml:space="preserve"> (</w:t>
      </w:r>
      <w:r w:rsidR="00660C78" w:rsidRPr="005759E8">
        <w:rPr>
          <w:lang w:val="ru-RU"/>
        </w:rPr>
        <w:t>ВКР</w:t>
      </w:r>
      <w:r w:rsidR="00B51ADD" w:rsidRPr="005759E8">
        <w:rPr>
          <w:lang w:val="ru-RU"/>
        </w:rPr>
        <w:t>-27) (</w:t>
      </w:r>
      <w:r w:rsidR="00660C78" w:rsidRPr="005759E8">
        <w:rPr>
          <w:lang w:val="ru-RU"/>
        </w:rPr>
        <w:t>см.</w:t>
      </w:r>
      <w:r w:rsidRPr="005759E8">
        <w:rPr>
          <w:lang w:val="ru-RU"/>
        </w:rPr>
        <w:t> </w:t>
      </w:r>
      <w:hyperlink w:anchor="AnnexD" w:history="1">
        <w:r w:rsidR="00660C78" w:rsidRPr="005759E8">
          <w:rPr>
            <w:rStyle w:val="Hyperlink"/>
            <w:szCs w:val="22"/>
            <w:lang w:val="ru-RU"/>
          </w:rPr>
          <w:t>Приложени</w:t>
        </w:r>
        <w:r w:rsidR="00660C78" w:rsidRPr="005759E8">
          <w:rPr>
            <w:rStyle w:val="Hyperlink"/>
            <w:szCs w:val="22"/>
            <w:lang w:val="ru-RU"/>
          </w:rPr>
          <w:t>е</w:t>
        </w:r>
        <w:r w:rsidR="00B51ADD" w:rsidRPr="005759E8">
          <w:rPr>
            <w:rStyle w:val="Hyperlink"/>
            <w:szCs w:val="22"/>
            <w:lang w:val="ru-RU"/>
          </w:rPr>
          <w:t xml:space="preserve"> D</w:t>
        </w:r>
      </w:hyperlink>
      <w:r w:rsidR="00B51ADD" w:rsidRPr="005759E8">
        <w:rPr>
          <w:rStyle w:val="Hyperlink"/>
          <w:color w:val="auto"/>
          <w:szCs w:val="22"/>
          <w:u w:val="none"/>
          <w:lang w:val="ru-RU"/>
        </w:rPr>
        <w:t>)</w:t>
      </w:r>
      <w:r w:rsidR="00B51ADD" w:rsidRPr="005759E8">
        <w:rPr>
          <w:lang w:val="ru-RU"/>
        </w:rPr>
        <w:t>;</w:t>
      </w:r>
      <w:r w:rsidR="00857F35" w:rsidRPr="005759E8">
        <w:rPr>
          <w:lang w:val="ru-RU"/>
        </w:rPr>
        <w:t xml:space="preserve"> и</w:t>
      </w:r>
    </w:p>
    <w:p w14:paraId="098E6659" w14:textId="32D69AA7" w:rsidR="00B51ADD" w:rsidRPr="005759E8" w:rsidRDefault="00C47646" w:rsidP="00857F35">
      <w:pPr>
        <w:pStyle w:val="enumlev1"/>
        <w:spacing w:line="240" w:lineRule="exact"/>
        <w:rPr>
          <w:lang w:val="ru-RU"/>
        </w:rPr>
      </w:pPr>
      <w:r w:rsidRPr="005759E8">
        <w:rPr>
          <w:lang w:val="ru-RU"/>
        </w:rPr>
        <w:t>−</w:t>
      </w:r>
      <w:r w:rsidRPr="005759E8">
        <w:rPr>
          <w:lang w:val="ru-RU"/>
        </w:rPr>
        <w:tab/>
      </w:r>
      <w:hyperlink r:id="rId14" w:history="1">
        <w:r w:rsidR="00660C78" w:rsidRPr="005759E8">
          <w:rPr>
            <w:rStyle w:val="Hyperlink"/>
            <w:szCs w:val="22"/>
            <w:lang w:val="ru-RU"/>
          </w:rPr>
          <w:t>Решение</w:t>
        </w:r>
        <w:r w:rsidR="00B51ADD" w:rsidRPr="005759E8">
          <w:rPr>
            <w:rStyle w:val="Hyperlink"/>
            <w:szCs w:val="22"/>
            <w:lang w:val="ru-RU"/>
          </w:rPr>
          <w:t xml:space="preserve"> 640</w:t>
        </w:r>
      </w:hyperlink>
      <w:r w:rsidR="00B51ADD" w:rsidRPr="005759E8">
        <w:rPr>
          <w:lang w:val="ru-RU"/>
        </w:rPr>
        <w:t xml:space="preserve"> </w:t>
      </w:r>
      <w:r w:rsidR="00660C78" w:rsidRPr="005759E8">
        <w:rPr>
          <w:lang w:val="ru-RU"/>
        </w:rPr>
        <w:t>об альтернативном проекте помещений штаб-квартиры МСЭ с переоценкой</w:t>
      </w:r>
      <w:r w:rsidR="00B51ADD" w:rsidRPr="005759E8">
        <w:rPr>
          <w:lang w:val="ru-RU"/>
        </w:rPr>
        <w:t xml:space="preserve"> (</w:t>
      </w:r>
      <w:r w:rsidR="00660C78" w:rsidRPr="005759E8">
        <w:rPr>
          <w:lang w:val="ru-RU"/>
        </w:rPr>
        <w:t>см.</w:t>
      </w:r>
      <w:r w:rsidRPr="005759E8">
        <w:rPr>
          <w:lang w:val="ru-RU"/>
        </w:rPr>
        <w:t> </w:t>
      </w:r>
      <w:hyperlink w:anchor="AnnexE" w:history="1">
        <w:r w:rsidR="00660C78" w:rsidRPr="005759E8">
          <w:rPr>
            <w:rStyle w:val="Hyperlink"/>
            <w:szCs w:val="22"/>
            <w:lang w:val="ru-RU"/>
          </w:rPr>
          <w:t>Приложени</w:t>
        </w:r>
        <w:r w:rsidR="00660C78" w:rsidRPr="005759E8">
          <w:rPr>
            <w:rStyle w:val="Hyperlink"/>
            <w:szCs w:val="22"/>
            <w:lang w:val="ru-RU"/>
          </w:rPr>
          <w:t>е</w:t>
        </w:r>
        <w:r w:rsidR="00B51ADD" w:rsidRPr="005759E8">
          <w:rPr>
            <w:rStyle w:val="Hyperlink"/>
            <w:szCs w:val="22"/>
            <w:lang w:val="ru-RU"/>
          </w:rPr>
          <w:t xml:space="preserve"> E</w:t>
        </w:r>
      </w:hyperlink>
      <w:r w:rsidR="00B51ADD" w:rsidRPr="005759E8">
        <w:rPr>
          <w:rStyle w:val="Hyperlink"/>
          <w:color w:val="auto"/>
          <w:szCs w:val="22"/>
          <w:u w:val="none"/>
          <w:lang w:val="ru-RU"/>
        </w:rPr>
        <w:t>).</w:t>
      </w:r>
    </w:p>
    <w:p w14:paraId="4184CFE9" w14:textId="31E59A67" w:rsidR="00B3393A" w:rsidRPr="005759E8" w:rsidRDefault="00B3393A" w:rsidP="00857F35">
      <w:pPr>
        <w:spacing w:line="240" w:lineRule="exact"/>
        <w:rPr>
          <w:lang w:val="ru-RU"/>
        </w:rPr>
      </w:pPr>
      <w:r w:rsidRPr="005759E8">
        <w:rPr>
          <w:lang w:val="ru-RU"/>
        </w:rPr>
        <w:t xml:space="preserve">Таким образом, всем Государствам – Членам МСЭ, имеющим право голоса, предлагается сообщить Генеральному секретарю о своем согласии с указанными выше Решениями и Резолюцией, используя </w:t>
      </w:r>
      <w:hyperlink r:id="rId15" w:history="1">
        <w:r w:rsidRPr="005759E8">
          <w:rPr>
            <w:rStyle w:val="Hyperlink"/>
            <w:lang w:val="ru-RU"/>
          </w:rPr>
          <w:t>онлайновый инструмент</w:t>
        </w:r>
      </w:hyperlink>
      <w:r w:rsidRPr="005759E8">
        <w:rPr>
          <w:lang w:val="ru-RU"/>
        </w:rPr>
        <w:t xml:space="preserve"> или </w:t>
      </w:r>
      <w:r w:rsidR="00E44240" w:rsidRPr="005759E8">
        <w:rPr>
          <w:lang w:val="ru-RU"/>
        </w:rPr>
        <w:t xml:space="preserve">заполнив и направив </w:t>
      </w:r>
      <w:hyperlink w:anchor="AnnexA" w:history="1">
        <w:r w:rsidR="00E44240" w:rsidRPr="005759E8">
          <w:rPr>
            <w:rStyle w:val="Hyperlink"/>
            <w:lang w:val="ru-RU"/>
          </w:rPr>
          <w:t>Прилож</w:t>
        </w:r>
        <w:r w:rsidR="00E44240" w:rsidRPr="005759E8">
          <w:rPr>
            <w:rStyle w:val="Hyperlink"/>
            <w:lang w:val="ru-RU"/>
          </w:rPr>
          <w:t>е</w:t>
        </w:r>
        <w:r w:rsidR="00E44240" w:rsidRPr="005759E8">
          <w:rPr>
            <w:rStyle w:val="Hyperlink"/>
            <w:lang w:val="ru-RU"/>
          </w:rPr>
          <w:t>ние A</w:t>
        </w:r>
      </w:hyperlink>
      <w:r w:rsidR="00E44240" w:rsidRPr="005759E8">
        <w:rPr>
          <w:lang w:val="ru-RU"/>
        </w:rPr>
        <w:t xml:space="preserve"> к настоящему письму</w:t>
      </w:r>
      <w:r w:rsidRPr="005759E8">
        <w:rPr>
          <w:lang w:val="ru-RU"/>
        </w:rPr>
        <w:t xml:space="preserve"> по электронной почте: </w:t>
      </w:r>
      <w:hyperlink r:id="rId16" w:history="1">
        <w:r w:rsidR="00E44240" w:rsidRPr="005759E8">
          <w:rPr>
            <w:rStyle w:val="Hyperlink"/>
            <w:lang w:val="ru-RU"/>
          </w:rPr>
          <w:t>memberstates@itu.int</w:t>
        </w:r>
      </w:hyperlink>
      <w:r w:rsidR="00654684">
        <w:rPr>
          <w:lang w:val="ru-RU"/>
        </w:rPr>
        <w:t xml:space="preserve">, </w:t>
      </w:r>
      <w:r w:rsidR="00E44240" w:rsidRPr="005759E8">
        <w:rPr>
          <w:b/>
          <w:bCs/>
          <w:lang w:val="ru-RU"/>
        </w:rPr>
        <w:t xml:space="preserve">не </w:t>
      </w:r>
      <w:r w:rsidRPr="005759E8">
        <w:rPr>
          <w:b/>
          <w:bCs/>
          <w:lang w:val="ru-RU"/>
        </w:rPr>
        <w:t xml:space="preserve">позднее </w:t>
      </w:r>
      <w:r w:rsidR="00E44240" w:rsidRPr="005759E8">
        <w:rPr>
          <w:b/>
          <w:bCs/>
          <w:lang w:val="ru-RU"/>
        </w:rPr>
        <w:t>31</w:t>
      </w:r>
      <w:r w:rsidRPr="005759E8">
        <w:rPr>
          <w:b/>
          <w:bCs/>
          <w:lang w:val="ru-RU"/>
        </w:rPr>
        <w:t xml:space="preserve"> </w:t>
      </w:r>
      <w:r w:rsidR="00E44240" w:rsidRPr="005759E8">
        <w:rPr>
          <w:b/>
          <w:bCs/>
          <w:lang w:val="ru-RU"/>
        </w:rPr>
        <w:t xml:space="preserve">августа </w:t>
      </w:r>
      <w:r w:rsidRPr="005759E8">
        <w:rPr>
          <w:b/>
          <w:bCs/>
          <w:lang w:val="ru-RU"/>
        </w:rPr>
        <w:t>202</w:t>
      </w:r>
      <w:r w:rsidR="00E44240" w:rsidRPr="005759E8">
        <w:rPr>
          <w:b/>
          <w:bCs/>
          <w:lang w:val="ru-RU"/>
        </w:rPr>
        <w:t>4</w:t>
      </w:r>
      <w:r w:rsidRPr="005759E8">
        <w:rPr>
          <w:b/>
          <w:bCs/>
          <w:lang w:val="ru-RU"/>
        </w:rPr>
        <w:t xml:space="preserve"> года</w:t>
      </w:r>
      <w:r w:rsidR="00E44240" w:rsidRPr="005759E8">
        <w:rPr>
          <w:lang w:val="ru-RU"/>
        </w:rPr>
        <w:t>, после чего период консультаций завершится.</w:t>
      </w:r>
    </w:p>
    <w:p w14:paraId="0FD37231" w14:textId="35918F63" w:rsidR="00B51ADD" w:rsidRPr="005759E8" w:rsidRDefault="00B51ADD" w:rsidP="00857F35">
      <w:pPr>
        <w:spacing w:line="240" w:lineRule="exact"/>
        <w:rPr>
          <w:szCs w:val="18"/>
          <w:lang w:val="ru-RU"/>
        </w:rPr>
      </w:pPr>
      <w:r w:rsidRPr="005759E8">
        <w:rPr>
          <w:szCs w:val="18"/>
          <w:lang w:val="ru-RU"/>
        </w:rPr>
        <w:t>В отношении данных консультаций ответы Государств – Членов Совета будут считаться положительными, если об ином не уведом</w:t>
      </w:r>
      <w:r w:rsidR="001B65EA" w:rsidRPr="005759E8">
        <w:rPr>
          <w:szCs w:val="18"/>
          <w:lang w:val="ru-RU"/>
        </w:rPr>
        <w:t>я</w:t>
      </w:r>
      <w:r w:rsidRPr="005759E8">
        <w:rPr>
          <w:szCs w:val="18"/>
          <w:lang w:val="ru-RU"/>
        </w:rPr>
        <w:t>т Советник</w:t>
      </w:r>
      <w:r w:rsidR="001B65EA" w:rsidRPr="005759E8">
        <w:rPr>
          <w:szCs w:val="18"/>
          <w:lang w:val="ru-RU"/>
        </w:rPr>
        <w:t>и</w:t>
      </w:r>
      <w:r w:rsidRPr="005759E8">
        <w:rPr>
          <w:szCs w:val="18"/>
          <w:lang w:val="ru-RU"/>
        </w:rPr>
        <w:t xml:space="preserve"> или координатор</w:t>
      </w:r>
      <w:r w:rsidR="001B65EA" w:rsidRPr="005759E8">
        <w:rPr>
          <w:szCs w:val="18"/>
          <w:lang w:val="ru-RU"/>
        </w:rPr>
        <w:t>ы</w:t>
      </w:r>
      <w:r w:rsidRPr="005759E8">
        <w:rPr>
          <w:szCs w:val="18"/>
          <w:lang w:val="ru-RU"/>
        </w:rPr>
        <w:t xml:space="preserve"> администрации в письменной форме по электронной почте по адресу: </w:t>
      </w:r>
      <w:hyperlink r:id="rId17" w:history="1">
        <w:r w:rsidRPr="005759E8">
          <w:rPr>
            <w:rStyle w:val="Hyperlink"/>
            <w:szCs w:val="18"/>
            <w:lang w:val="ru-RU"/>
          </w:rPr>
          <w:t>memberstates@itu.int</w:t>
        </w:r>
      </w:hyperlink>
      <w:r w:rsidRPr="005759E8">
        <w:rPr>
          <w:szCs w:val="18"/>
          <w:lang w:val="ru-RU"/>
        </w:rPr>
        <w:t xml:space="preserve">, также используя шаблон в </w:t>
      </w:r>
      <w:hyperlink w:anchor="AnnexA" w:history="1">
        <w:r w:rsidRPr="005759E8">
          <w:rPr>
            <w:rStyle w:val="Hyperlink"/>
            <w:spacing w:val="-2"/>
            <w:lang w:val="ru-RU"/>
          </w:rPr>
          <w:t>Приложе</w:t>
        </w:r>
        <w:r w:rsidRPr="005759E8">
          <w:rPr>
            <w:rStyle w:val="Hyperlink"/>
            <w:spacing w:val="-2"/>
            <w:lang w:val="ru-RU"/>
          </w:rPr>
          <w:t>н</w:t>
        </w:r>
        <w:r w:rsidRPr="005759E8">
          <w:rPr>
            <w:rStyle w:val="Hyperlink"/>
            <w:spacing w:val="-2"/>
            <w:lang w:val="ru-RU"/>
          </w:rPr>
          <w:t>ии A</w:t>
        </w:r>
      </w:hyperlink>
      <w:r w:rsidRPr="005759E8">
        <w:rPr>
          <w:spacing w:val="-2"/>
          <w:lang w:val="ru-RU"/>
        </w:rPr>
        <w:t>.</w:t>
      </w:r>
    </w:p>
    <w:p w14:paraId="58A5F6FA" w14:textId="50AEBFE4" w:rsidR="00B51ADD" w:rsidRPr="00FE3CC7" w:rsidRDefault="00B51ADD" w:rsidP="00857F35">
      <w:pPr>
        <w:spacing w:line="240" w:lineRule="exact"/>
        <w:rPr>
          <w:szCs w:val="18"/>
          <w:lang w:val="ru-RU"/>
        </w:rPr>
      </w:pPr>
      <w:r w:rsidRPr="005759E8">
        <w:rPr>
          <w:szCs w:val="18"/>
          <w:lang w:val="ru-RU"/>
        </w:rPr>
        <w:t>Надеюсь на ваш ответ.</w:t>
      </w:r>
    </w:p>
    <w:p w14:paraId="1002562C" w14:textId="368FAEE7" w:rsidR="006075DA" w:rsidRPr="00FE3CC7" w:rsidRDefault="00653BAE" w:rsidP="00857F35">
      <w:pPr>
        <w:pStyle w:val="NormalWeb"/>
        <w:keepNext/>
        <w:keepLines/>
        <w:spacing w:before="120" w:beforeAutospacing="0" w:after="0" w:afterAutospacing="0" w:line="240" w:lineRule="exact"/>
        <w:rPr>
          <w:rFonts w:asciiTheme="minorHAnsi" w:eastAsia="MS Mincho" w:hAnsiTheme="minorHAnsi" w:cs="Calibri"/>
          <w:color w:val="000000" w:themeColor="text1"/>
          <w:sz w:val="20"/>
          <w:szCs w:val="20"/>
          <w:lang w:val="ru-RU"/>
        </w:rPr>
      </w:pPr>
      <w:r w:rsidRPr="00FE3CC7">
        <w:rPr>
          <w:rFonts w:asciiTheme="minorHAnsi" w:hAnsiTheme="minorHAnsi"/>
          <w:sz w:val="22"/>
          <w:szCs w:val="22"/>
          <w:lang w:val="ru-RU"/>
        </w:rPr>
        <w:t>С уважением</w:t>
      </w:r>
      <w:r w:rsidR="006075DA" w:rsidRPr="00FE3CC7">
        <w:rPr>
          <w:rFonts w:asciiTheme="minorHAnsi" w:hAnsiTheme="minorHAnsi"/>
          <w:sz w:val="22"/>
          <w:szCs w:val="22"/>
          <w:lang w:val="ru-RU"/>
        </w:rPr>
        <w:t>,</w:t>
      </w:r>
    </w:p>
    <w:p w14:paraId="44B0930D" w14:textId="5E78E4EF" w:rsidR="00AA7C6B" w:rsidRPr="00FE3CC7" w:rsidRDefault="009E7784" w:rsidP="00D324CD">
      <w:pPr>
        <w:keepNext/>
        <w:keepLines/>
        <w:spacing w:before="360"/>
        <w:rPr>
          <w:rFonts w:asciiTheme="minorHAnsi" w:hAnsiTheme="minorHAnsi"/>
          <w:lang w:val="ru-RU"/>
        </w:rPr>
      </w:pPr>
      <w:r w:rsidRPr="00FE3CC7">
        <w:rPr>
          <w:rFonts w:asciiTheme="minorHAnsi" w:hAnsiTheme="minorHAnsi"/>
          <w:lang w:val="ru-RU"/>
        </w:rPr>
        <w:t>(</w:t>
      </w:r>
      <w:r w:rsidR="00653BAE" w:rsidRPr="00FE3CC7">
        <w:rPr>
          <w:rFonts w:asciiTheme="minorHAnsi" w:hAnsiTheme="minorHAnsi"/>
          <w:i/>
          <w:iCs/>
          <w:lang w:val="ru-RU"/>
        </w:rPr>
        <w:t>подпись</w:t>
      </w:r>
      <w:r w:rsidRPr="00FE3CC7">
        <w:rPr>
          <w:rFonts w:asciiTheme="minorHAnsi" w:hAnsiTheme="minorHAnsi"/>
          <w:lang w:val="ru-RU"/>
        </w:rPr>
        <w:t>)</w:t>
      </w:r>
    </w:p>
    <w:p w14:paraId="450634FC" w14:textId="31EB3BEA" w:rsidR="003A1127" w:rsidRPr="00FE3CC7" w:rsidRDefault="000C083B" w:rsidP="00D324CD">
      <w:pPr>
        <w:spacing w:before="360"/>
        <w:rPr>
          <w:rFonts w:asciiTheme="minorHAnsi" w:hAnsiTheme="minorHAnsi"/>
          <w:lang w:val="ru-RU"/>
        </w:rPr>
      </w:pPr>
      <w:r w:rsidRPr="00FE3CC7">
        <w:rPr>
          <w:rFonts w:asciiTheme="minorHAnsi" w:hAnsiTheme="minorHAnsi"/>
          <w:lang w:val="ru-RU"/>
        </w:rPr>
        <w:t>Дорин Богдан-Мартин</w:t>
      </w:r>
      <w:r w:rsidR="00653BAE" w:rsidRPr="00FE3CC7">
        <w:rPr>
          <w:rFonts w:asciiTheme="minorHAnsi" w:hAnsiTheme="minorHAnsi"/>
          <w:lang w:val="ru-RU"/>
        </w:rPr>
        <w:t xml:space="preserve"> </w:t>
      </w:r>
      <w:r w:rsidR="006075DA" w:rsidRPr="00FE3CC7">
        <w:rPr>
          <w:rFonts w:asciiTheme="minorHAnsi" w:hAnsiTheme="minorHAnsi"/>
          <w:lang w:val="ru-RU"/>
        </w:rPr>
        <w:br/>
      </w:r>
      <w:r w:rsidR="00653BAE" w:rsidRPr="00FE3CC7">
        <w:rPr>
          <w:rFonts w:asciiTheme="minorHAnsi" w:hAnsiTheme="minorHAnsi"/>
          <w:lang w:val="ru-RU"/>
        </w:rPr>
        <w:t>Генеральный секретарь</w:t>
      </w:r>
    </w:p>
    <w:p w14:paraId="77062CF9" w14:textId="2AD87F6F" w:rsidR="00E44240" w:rsidRPr="00FE3CC7" w:rsidRDefault="00E44240" w:rsidP="00857F35">
      <w:pPr>
        <w:spacing w:before="360"/>
        <w:rPr>
          <w:rFonts w:asciiTheme="minorHAnsi" w:hAnsiTheme="minorHAnsi"/>
          <w:lang w:val="ru-RU"/>
        </w:rPr>
      </w:pPr>
      <w:r w:rsidRPr="00FE3CC7">
        <w:rPr>
          <w:rFonts w:asciiTheme="minorHAnsi" w:hAnsiTheme="minorHAnsi"/>
          <w:b/>
          <w:bCs/>
          <w:lang w:val="ru-RU"/>
        </w:rPr>
        <w:t>Приложения</w:t>
      </w:r>
      <w:r w:rsidRPr="00FE3CC7">
        <w:rPr>
          <w:rFonts w:asciiTheme="minorHAnsi" w:hAnsiTheme="minorHAnsi"/>
          <w:lang w:val="ru-RU"/>
        </w:rPr>
        <w:t>: 5</w:t>
      </w:r>
      <w:r w:rsidR="003A1127" w:rsidRPr="00FE3CC7">
        <w:rPr>
          <w:rFonts w:asciiTheme="minorHAnsi" w:hAnsiTheme="minorHAnsi"/>
          <w:lang w:val="ru-RU"/>
        </w:rPr>
        <w:br w:type="page"/>
      </w:r>
    </w:p>
    <w:p w14:paraId="68608BB8" w14:textId="4BC0828E" w:rsidR="00E44240" w:rsidRPr="00FE3CC7" w:rsidRDefault="00E44240" w:rsidP="00857F35">
      <w:pPr>
        <w:pStyle w:val="AnnexNo"/>
        <w:rPr>
          <w:lang w:val="ru-RU"/>
        </w:rPr>
      </w:pPr>
      <w:bookmarkStart w:id="5" w:name="AnnexA"/>
      <w:r w:rsidRPr="00FE3CC7">
        <w:rPr>
          <w:lang w:val="ru-RU"/>
        </w:rPr>
        <w:lastRenderedPageBreak/>
        <w:t>Приложение A</w:t>
      </w:r>
      <w:bookmarkEnd w:id="5"/>
    </w:p>
    <w:p w14:paraId="5ADD0F33" w14:textId="1106A7B6" w:rsidR="00E44240" w:rsidRPr="00FE3CC7" w:rsidRDefault="00E44240" w:rsidP="00857F35">
      <w:pPr>
        <w:pStyle w:val="Annextitle"/>
        <w:rPr>
          <w:lang w:val="ru-RU"/>
        </w:rPr>
      </w:pPr>
      <w:r w:rsidRPr="00FE3CC7">
        <w:rPr>
          <w:lang w:val="ru-RU"/>
        </w:rPr>
        <w:t>Консультации с Государствами-Членами относительно конкретного места, точных дат и проекта повестки дня ВКРЭ-25, повестки дня ВКР-27, а также альтернативного проекта помещений штаб-квартиры МСЭ с переоценкой</w:t>
      </w:r>
    </w:p>
    <w:p w14:paraId="1993CD20" w14:textId="13C1D152" w:rsidR="00E44240" w:rsidRPr="00FE3CC7" w:rsidRDefault="00E44240" w:rsidP="00857F35">
      <w:pPr>
        <w:pStyle w:val="Headingb"/>
        <w:spacing w:after="120"/>
        <w:rPr>
          <w:color w:val="000000" w:themeColor="text1"/>
          <w:sz w:val="26"/>
          <w:szCs w:val="26"/>
          <w:lang w:val="ru-RU"/>
        </w:rPr>
      </w:pPr>
      <w:r w:rsidRPr="00FE3CC7">
        <w:rPr>
          <w:lang w:val="ru-RU"/>
        </w:rPr>
        <w:t>Название Государства – Члена МСЭ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44240" w:rsidRPr="00FE3CC7" w14:paraId="31B037D7" w14:textId="77777777" w:rsidTr="00857F35">
        <w:trPr>
          <w:trHeight w:val="510"/>
        </w:trPr>
        <w:tc>
          <w:tcPr>
            <w:tcW w:w="5000" w:type="pct"/>
            <w:vAlign w:val="center"/>
          </w:tcPr>
          <w:p w14:paraId="56310596" w14:textId="77777777" w:rsidR="00E44240" w:rsidRPr="00FE3CC7" w:rsidRDefault="00E44240" w:rsidP="00857F35">
            <w:pPr>
              <w:rPr>
                <w:lang w:val="ru-RU"/>
              </w:rPr>
            </w:pPr>
          </w:p>
        </w:tc>
      </w:tr>
    </w:tbl>
    <w:p w14:paraId="505AFF9B" w14:textId="77777777" w:rsidR="00E44240" w:rsidRPr="00FE3CC7" w:rsidRDefault="00E44240" w:rsidP="00857F35">
      <w:pPr>
        <w:rPr>
          <w:lang w:val="ru-RU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90"/>
        <w:gridCol w:w="1690"/>
        <w:gridCol w:w="3337"/>
        <w:gridCol w:w="572"/>
        <w:gridCol w:w="549"/>
        <w:gridCol w:w="1491"/>
      </w:tblGrid>
      <w:tr w:rsidR="001F39B1" w:rsidRPr="00FE3CC7" w14:paraId="5150DDCF" w14:textId="77777777" w:rsidTr="00857F35">
        <w:trPr>
          <w:jc w:val="center"/>
        </w:trPr>
        <w:tc>
          <w:tcPr>
            <w:tcW w:w="1034" w:type="pct"/>
            <w:vAlign w:val="center"/>
          </w:tcPr>
          <w:p w14:paraId="248DD96B" w14:textId="663477EE" w:rsidR="00E44240" w:rsidRPr="00FE3CC7" w:rsidRDefault="00BA1793" w:rsidP="00857F35">
            <w:pPr>
              <w:pStyle w:val="Tablehead"/>
              <w:rPr>
                <w:lang w:val="ru-RU"/>
              </w:rPr>
            </w:pPr>
            <w:r w:rsidRPr="00FE3CC7">
              <w:rPr>
                <w:lang w:val="ru-RU"/>
              </w:rPr>
              <w:t>Предмет</w:t>
            </w:r>
          </w:p>
        </w:tc>
        <w:tc>
          <w:tcPr>
            <w:tcW w:w="878" w:type="pct"/>
            <w:vAlign w:val="center"/>
          </w:tcPr>
          <w:p w14:paraId="70DA93BE" w14:textId="352A572C" w:rsidR="00E44240" w:rsidRPr="00FE3CC7" w:rsidRDefault="00BA1793" w:rsidP="00857F35">
            <w:pPr>
              <w:pStyle w:val="Tablehead"/>
              <w:rPr>
                <w:lang w:val="ru-RU"/>
              </w:rPr>
            </w:pPr>
            <w:r w:rsidRPr="00FE3CC7">
              <w:rPr>
                <w:lang w:val="ru-RU"/>
              </w:rPr>
              <w:t>Справочный документ</w:t>
            </w:r>
          </w:p>
        </w:tc>
        <w:tc>
          <w:tcPr>
            <w:tcW w:w="1733" w:type="pct"/>
            <w:vAlign w:val="center"/>
          </w:tcPr>
          <w:p w14:paraId="0C62D0DE" w14:textId="2B841F2C" w:rsidR="00E44240" w:rsidRPr="00FE3CC7" w:rsidRDefault="00BA1793" w:rsidP="00857F35">
            <w:pPr>
              <w:pStyle w:val="Tablehead"/>
              <w:rPr>
                <w:lang w:val="ru-RU"/>
              </w:rPr>
            </w:pPr>
            <w:r w:rsidRPr="00FE3CC7">
              <w:rPr>
                <w:lang w:val="ru-RU"/>
              </w:rPr>
              <w:t>Предложение</w:t>
            </w:r>
          </w:p>
        </w:tc>
        <w:tc>
          <w:tcPr>
            <w:tcW w:w="297" w:type="pct"/>
            <w:vAlign w:val="center"/>
          </w:tcPr>
          <w:p w14:paraId="45F39D67" w14:textId="38C09B20" w:rsidR="00E44240" w:rsidRPr="00FE3CC7" w:rsidRDefault="00BA1793" w:rsidP="00857F35">
            <w:pPr>
              <w:pStyle w:val="Tablehead"/>
              <w:rPr>
                <w:lang w:val="ru-RU"/>
              </w:rPr>
            </w:pPr>
            <w:r w:rsidRPr="00FE3CC7">
              <w:rPr>
                <w:lang w:val="ru-RU"/>
              </w:rPr>
              <w:t>Да</w:t>
            </w:r>
          </w:p>
        </w:tc>
        <w:tc>
          <w:tcPr>
            <w:tcW w:w="285" w:type="pct"/>
            <w:vAlign w:val="center"/>
          </w:tcPr>
          <w:p w14:paraId="2DEA6092" w14:textId="48C4E541" w:rsidR="00E44240" w:rsidRPr="00FE3CC7" w:rsidRDefault="00BA1793" w:rsidP="00857F35">
            <w:pPr>
              <w:pStyle w:val="Tablehead"/>
              <w:rPr>
                <w:lang w:val="ru-RU"/>
              </w:rPr>
            </w:pPr>
            <w:r w:rsidRPr="00FE3CC7">
              <w:rPr>
                <w:lang w:val="ru-RU"/>
              </w:rPr>
              <w:t>Нет</w:t>
            </w:r>
          </w:p>
        </w:tc>
        <w:tc>
          <w:tcPr>
            <w:tcW w:w="774" w:type="pct"/>
            <w:vAlign w:val="center"/>
          </w:tcPr>
          <w:p w14:paraId="138786F3" w14:textId="7A13803F" w:rsidR="00E44240" w:rsidRPr="00FE3CC7" w:rsidRDefault="00BA1793" w:rsidP="00857F35">
            <w:pPr>
              <w:pStyle w:val="Tablehead"/>
              <w:rPr>
                <w:lang w:val="ru-RU"/>
              </w:rPr>
            </w:pPr>
            <w:r w:rsidRPr="00FE3CC7">
              <w:rPr>
                <w:lang w:val="ru-RU"/>
              </w:rPr>
              <w:t>Воздержались</w:t>
            </w:r>
          </w:p>
        </w:tc>
      </w:tr>
      <w:tr w:rsidR="001F39B1" w:rsidRPr="00A71B52" w14:paraId="6AFF8DE8" w14:textId="77777777" w:rsidTr="00857F35">
        <w:trPr>
          <w:jc w:val="center"/>
        </w:trPr>
        <w:tc>
          <w:tcPr>
            <w:tcW w:w="1034" w:type="pct"/>
          </w:tcPr>
          <w:p w14:paraId="265A3D9F" w14:textId="4319ACC3" w:rsidR="00E44240" w:rsidRPr="00FE3CC7" w:rsidRDefault="00BA1793" w:rsidP="00857F35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Конкретное место и точные даты проведения ВКРЭ-25</w:t>
            </w:r>
          </w:p>
        </w:tc>
        <w:tc>
          <w:tcPr>
            <w:tcW w:w="878" w:type="pct"/>
          </w:tcPr>
          <w:p w14:paraId="6EFAB40E" w14:textId="2CDE2ACA" w:rsidR="00E44240" w:rsidRPr="00FE3CC7" w:rsidRDefault="00654684" w:rsidP="00857F35">
            <w:pPr>
              <w:pStyle w:val="Tabletext"/>
              <w:rPr>
                <w:lang w:val="ru-RU"/>
              </w:rPr>
            </w:pPr>
            <w:hyperlink r:id="rId18" w:history="1">
              <w:r w:rsidR="00BA1793" w:rsidRPr="00FE3CC7">
                <w:rPr>
                  <w:rStyle w:val="Hyperlink"/>
                  <w:lang w:val="ru-RU"/>
                </w:rPr>
                <w:t xml:space="preserve">Решение </w:t>
              </w:r>
              <w:r w:rsidR="00E44240" w:rsidRPr="00FE3CC7">
                <w:rPr>
                  <w:rStyle w:val="Hyperlink"/>
                  <w:lang w:val="ru-RU"/>
                </w:rPr>
                <w:t>637</w:t>
              </w:r>
            </w:hyperlink>
          </w:p>
        </w:tc>
        <w:tc>
          <w:tcPr>
            <w:tcW w:w="1733" w:type="pct"/>
          </w:tcPr>
          <w:p w14:paraId="22DA7F3D" w14:textId="47272E29" w:rsidR="00E44240" w:rsidRPr="00FE3CC7" w:rsidRDefault="001F39B1" w:rsidP="00857F35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Провести с</w:t>
            </w:r>
            <w:r w:rsidR="00BA1793" w:rsidRPr="00FE3CC7">
              <w:rPr>
                <w:lang w:val="ru-RU"/>
              </w:rPr>
              <w:t>ледующ</w:t>
            </w:r>
            <w:r w:rsidRPr="00FE3CC7">
              <w:rPr>
                <w:lang w:val="ru-RU"/>
              </w:rPr>
              <w:t>ую</w:t>
            </w:r>
            <w:r w:rsidR="00BA1793" w:rsidRPr="00FE3CC7">
              <w:rPr>
                <w:lang w:val="ru-RU"/>
              </w:rPr>
              <w:t xml:space="preserve"> Всемирн</w:t>
            </w:r>
            <w:r w:rsidRPr="00FE3CC7">
              <w:rPr>
                <w:lang w:val="ru-RU"/>
              </w:rPr>
              <w:t>ую</w:t>
            </w:r>
            <w:r w:rsidR="00BA1793" w:rsidRPr="00FE3CC7">
              <w:rPr>
                <w:lang w:val="ru-RU"/>
              </w:rPr>
              <w:t xml:space="preserve"> конференци</w:t>
            </w:r>
            <w:r w:rsidRPr="00FE3CC7">
              <w:rPr>
                <w:lang w:val="ru-RU"/>
              </w:rPr>
              <w:t>ю</w:t>
            </w:r>
            <w:r w:rsidR="00BA1793" w:rsidRPr="00FE3CC7">
              <w:rPr>
                <w:lang w:val="ru-RU"/>
              </w:rPr>
              <w:t xml:space="preserve"> по развитию электросвязи 2025 г</w:t>
            </w:r>
            <w:r w:rsidR="00654684" w:rsidRPr="00654684">
              <w:rPr>
                <w:lang w:val="ru-RU"/>
              </w:rPr>
              <w:t>.</w:t>
            </w:r>
            <w:r w:rsidR="00BA1793" w:rsidRPr="00FE3CC7">
              <w:rPr>
                <w:lang w:val="ru-RU"/>
              </w:rPr>
              <w:t xml:space="preserve"> (</w:t>
            </w:r>
            <w:proofErr w:type="spellStart"/>
            <w:r w:rsidR="00BA1793" w:rsidRPr="00FE3CC7">
              <w:rPr>
                <w:lang w:val="ru-RU"/>
              </w:rPr>
              <w:t>ВКРЭ</w:t>
            </w:r>
            <w:proofErr w:type="spellEnd"/>
            <w:r w:rsidR="00BA1793" w:rsidRPr="00FE3CC7">
              <w:rPr>
                <w:lang w:val="ru-RU"/>
              </w:rPr>
              <w:t>-25) в Баку, Азербайджанская Республика, с 17 по 28</w:t>
            </w:r>
            <w:r w:rsidR="00857F35" w:rsidRPr="00FE3CC7">
              <w:rPr>
                <w:lang w:val="ru-RU"/>
              </w:rPr>
              <w:t> </w:t>
            </w:r>
            <w:r w:rsidR="00BA1793" w:rsidRPr="00FE3CC7">
              <w:rPr>
                <w:lang w:val="ru-RU"/>
              </w:rPr>
              <w:t>ноября 2025 г</w:t>
            </w:r>
            <w:r w:rsidR="00857F35" w:rsidRPr="00FE3CC7">
              <w:rPr>
                <w:lang w:val="ru-RU"/>
              </w:rPr>
              <w:t>.</w:t>
            </w:r>
          </w:p>
        </w:tc>
        <w:tc>
          <w:tcPr>
            <w:tcW w:w="297" w:type="pct"/>
          </w:tcPr>
          <w:p w14:paraId="33500E45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  <w:tc>
          <w:tcPr>
            <w:tcW w:w="285" w:type="pct"/>
          </w:tcPr>
          <w:p w14:paraId="21402F01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  <w:tc>
          <w:tcPr>
            <w:tcW w:w="774" w:type="pct"/>
          </w:tcPr>
          <w:p w14:paraId="36580D35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</w:tr>
      <w:tr w:rsidR="001F39B1" w:rsidRPr="00A71B52" w14:paraId="10152B36" w14:textId="77777777" w:rsidTr="00857F35">
        <w:trPr>
          <w:trHeight w:val="795"/>
          <w:jc w:val="center"/>
        </w:trPr>
        <w:tc>
          <w:tcPr>
            <w:tcW w:w="1034" w:type="pct"/>
          </w:tcPr>
          <w:p w14:paraId="68F3ED72" w14:textId="16761D20" w:rsidR="00E44240" w:rsidRPr="00FE3CC7" w:rsidRDefault="00BA1793" w:rsidP="00857F35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 xml:space="preserve">Проект повестки дня </w:t>
            </w:r>
            <w:proofErr w:type="spellStart"/>
            <w:r w:rsidRPr="00FE3CC7">
              <w:rPr>
                <w:lang w:val="ru-RU"/>
              </w:rPr>
              <w:t>ВКРЭ</w:t>
            </w:r>
            <w:proofErr w:type="spellEnd"/>
            <w:r w:rsidR="00E44240" w:rsidRPr="00FE3CC7">
              <w:rPr>
                <w:lang w:val="ru-RU"/>
              </w:rPr>
              <w:t>-25</w:t>
            </w:r>
          </w:p>
        </w:tc>
        <w:tc>
          <w:tcPr>
            <w:tcW w:w="878" w:type="pct"/>
          </w:tcPr>
          <w:p w14:paraId="70E92B77" w14:textId="77777777" w:rsidR="00E44240" w:rsidRPr="00FE3CC7" w:rsidRDefault="00654684" w:rsidP="00857F35">
            <w:pPr>
              <w:pStyle w:val="Tabletext"/>
              <w:rPr>
                <w:lang w:val="ru-RU"/>
              </w:rPr>
            </w:pPr>
            <w:hyperlink r:id="rId19" w:history="1">
              <w:r w:rsidR="00E44240" w:rsidRPr="00FE3CC7">
                <w:rPr>
                  <w:rStyle w:val="Hyperlink"/>
                  <w:lang w:val="ru-RU"/>
                </w:rPr>
                <w:t>C24/30(Rev.1)</w:t>
              </w:r>
            </w:hyperlink>
          </w:p>
        </w:tc>
        <w:tc>
          <w:tcPr>
            <w:tcW w:w="1733" w:type="pct"/>
          </w:tcPr>
          <w:p w14:paraId="3C357A81" w14:textId="54A14B48" w:rsidR="00E44240" w:rsidRPr="00FE3CC7" w:rsidRDefault="00BA1793" w:rsidP="00857F35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Утвердить проект повестки дня ВКРЭ-25</w:t>
            </w:r>
          </w:p>
        </w:tc>
        <w:tc>
          <w:tcPr>
            <w:tcW w:w="297" w:type="pct"/>
          </w:tcPr>
          <w:p w14:paraId="6AA96D85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  <w:tc>
          <w:tcPr>
            <w:tcW w:w="285" w:type="pct"/>
          </w:tcPr>
          <w:p w14:paraId="00DB6C2D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  <w:tc>
          <w:tcPr>
            <w:tcW w:w="774" w:type="pct"/>
          </w:tcPr>
          <w:p w14:paraId="7CD19A30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</w:tr>
      <w:tr w:rsidR="001F39B1" w:rsidRPr="00A71B52" w14:paraId="6F569DE1" w14:textId="77777777" w:rsidTr="00857F35">
        <w:trPr>
          <w:trHeight w:val="1047"/>
          <w:jc w:val="center"/>
        </w:trPr>
        <w:tc>
          <w:tcPr>
            <w:tcW w:w="1034" w:type="pct"/>
          </w:tcPr>
          <w:p w14:paraId="17277ABB" w14:textId="2D875C46" w:rsidR="00E44240" w:rsidRPr="00FE3CC7" w:rsidRDefault="00BA1793" w:rsidP="00857F35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Повестка дня ВКР</w:t>
            </w:r>
            <w:r w:rsidR="00E44240" w:rsidRPr="00FE3CC7">
              <w:rPr>
                <w:lang w:val="ru-RU"/>
              </w:rPr>
              <w:t>-27</w:t>
            </w:r>
          </w:p>
        </w:tc>
        <w:tc>
          <w:tcPr>
            <w:tcW w:w="878" w:type="pct"/>
          </w:tcPr>
          <w:p w14:paraId="609C0FAE" w14:textId="27E5E349" w:rsidR="00E44240" w:rsidRPr="00FE3CC7" w:rsidRDefault="00654684" w:rsidP="00857F35">
            <w:pPr>
              <w:pStyle w:val="Tabletext"/>
              <w:rPr>
                <w:lang w:val="ru-RU"/>
              </w:rPr>
            </w:pPr>
            <w:hyperlink r:id="rId20" w:history="1">
              <w:r w:rsidR="00BA1793" w:rsidRPr="00FE3CC7">
                <w:rPr>
                  <w:rStyle w:val="Hyperlink"/>
                  <w:lang w:val="ru-RU"/>
                </w:rPr>
                <w:t xml:space="preserve">Резолюция </w:t>
              </w:r>
              <w:r w:rsidR="00E44240" w:rsidRPr="00FE3CC7">
                <w:rPr>
                  <w:rStyle w:val="Hyperlink"/>
                  <w:lang w:val="ru-RU"/>
                </w:rPr>
                <w:t>1422</w:t>
              </w:r>
            </w:hyperlink>
          </w:p>
        </w:tc>
        <w:tc>
          <w:tcPr>
            <w:tcW w:w="1733" w:type="pct"/>
          </w:tcPr>
          <w:p w14:paraId="5E126571" w14:textId="60511866" w:rsidR="00E44240" w:rsidRPr="00FE3CC7" w:rsidRDefault="00BA1793" w:rsidP="00857F35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 xml:space="preserve">Утвердить повестку дня Всемирной конференции радиосвязи </w:t>
            </w:r>
            <w:r w:rsidR="00E44240" w:rsidRPr="00FE3CC7">
              <w:rPr>
                <w:lang w:val="ru-RU"/>
              </w:rPr>
              <w:t>2027</w:t>
            </w:r>
            <w:r w:rsidR="00654684">
              <w:rPr>
                <w:lang w:val="en-US"/>
              </w:rPr>
              <w:t> </w:t>
            </w:r>
            <w:r w:rsidRPr="00FE3CC7">
              <w:rPr>
                <w:lang w:val="ru-RU"/>
              </w:rPr>
              <w:t>г</w:t>
            </w:r>
            <w:r w:rsidR="00857F35" w:rsidRPr="00FE3CC7">
              <w:rPr>
                <w:lang w:val="ru-RU"/>
              </w:rPr>
              <w:t>.</w:t>
            </w:r>
            <w:r w:rsidR="00E44240" w:rsidRPr="00FE3CC7">
              <w:rPr>
                <w:lang w:val="ru-RU"/>
              </w:rPr>
              <w:t xml:space="preserve"> (</w:t>
            </w:r>
            <w:r w:rsidRPr="00FE3CC7">
              <w:rPr>
                <w:lang w:val="ru-RU"/>
              </w:rPr>
              <w:t>ВКР</w:t>
            </w:r>
            <w:r w:rsidR="00857F35" w:rsidRPr="00FE3CC7">
              <w:rPr>
                <w:lang w:val="ru-RU"/>
              </w:rPr>
              <w:noBreakHyphen/>
            </w:r>
            <w:r w:rsidR="00E44240" w:rsidRPr="00FE3CC7">
              <w:rPr>
                <w:lang w:val="ru-RU"/>
              </w:rPr>
              <w:t>27)</w:t>
            </w:r>
          </w:p>
        </w:tc>
        <w:tc>
          <w:tcPr>
            <w:tcW w:w="297" w:type="pct"/>
          </w:tcPr>
          <w:p w14:paraId="02CA9B16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  <w:tc>
          <w:tcPr>
            <w:tcW w:w="285" w:type="pct"/>
          </w:tcPr>
          <w:p w14:paraId="31AC5836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  <w:tc>
          <w:tcPr>
            <w:tcW w:w="774" w:type="pct"/>
          </w:tcPr>
          <w:p w14:paraId="3BC0D275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</w:tr>
      <w:tr w:rsidR="001F39B1" w:rsidRPr="00A71B52" w14:paraId="30D05D60" w14:textId="77777777" w:rsidTr="00857F35">
        <w:trPr>
          <w:jc w:val="center"/>
        </w:trPr>
        <w:tc>
          <w:tcPr>
            <w:tcW w:w="1034" w:type="pct"/>
          </w:tcPr>
          <w:p w14:paraId="68F3B699" w14:textId="2BA4FC96" w:rsidR="00E44240" w:rsidRPr="00FE3CC7" w:rsidRDefault="00BA1793" w:rsidP="00857F35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Проект строительства новых помещений штаб-квартиры Союза</w:t>
            </w:r>
          </w:p>
        </w:tc>
        <w:tc>
          <w:tcPr>
            <w:tcW w:w="878" w:type="pct"/>
          </w:tcPr>
          <w:p w14:paraId="68B10124" w14:textId="0116CE3D" w:rsidR="00E44240" w:rsidRPr="00FE3CC7" w:rsidRDefault="00654684" w:rsidP="00857F35">
            <w:pPr>
              <w:pStyle w:val="Tabletext"/>
              <w:rPr>
                <w:i/>
                <w:iCs/>
                <w:lang w:val="ru-RU"/>
              </w:rPr>
            </w:pPr>
            <w:hyperlink r:id="rId21" w:history="1">
              <w:r w:rsidR="00BA1793" w:rsidRPr="00FE3CC7">
                <w:rPr>
                  <w:rStyle w:val="Hyperlink"/>
                  <w:lang w:val="ru-RU"/>
                </w:rPr>
                <w:t>Решение</w:t>
              </w:r>
              <w:r w:rsidR="00E44240" w:rsidRPr="00FE3CC7">
                <w:rPr>
                  <w:rStyle w:val="Hyperlink"/>
                  <w:lang w:val="ru-RU"/>
                </w:rPr>
                <w:t xml:space="preserve"> 640</w:t>
              </w:r>
            </w:hyperlink>
          </w:p>
        </w:tc>
        <w:tc>
          <w:tcPr>
            <w:tcW w:w="1733" w:type="pct"/>
          </w:tcPr>
          <w:p w14:paraId="6985C20E" w14:textId="14BFC7C8" w:rsidR="00E44240" w:rsidRPr="00FE3CC7" w:rsidRDefault="00BA1793" w:rsidP="00857F35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Утвердить альтернативный проект помещений штаб-квартиры МСЭ с</w:t>
            </w:r>
            <w:r w:rsidR="00857F35" w:rsidRPr="00FE3CC7">
              <w:rPr>
                <w:lang w:val="ru-RU"/>
              </w:rPr>
              <w:t> </w:t>
            </w:r>
            <w:r w:rsidRPr="00FE3CC7">
              <w:rPr>
                <w:lang w:val="ru-RU"/>
              </w:rPr>
              <w:t>переоценкой</w:t>
            </w:r>
          </w:p>
        </w:tc>
        <w:tc>
          <w:tcPr>
            <w:tcW w:w="297" w:type="pct"/>
          </w:tcPr>
          <w:p w14:paraId="4B727637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  <w:tc>
          <w:tcPr>
            <w:tcW w:w="285" w:type="pct"/>
          </w:tcPr>
          <w:p w14:paraId="012E01BD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  <w:tc>
          <w:tcPr>
            <w:tcW w:w="774" w:type="pct"/>
          </w:tcPr>
          <w:p w14:paraId="5D055666" w14:textId="77777777" w:rsidR="00E44240" w:rsidRPr="00FE3CC7" w:rsidRDefault="00E44240" w:rsidP="00857F35">
            <w:pPr>
              <w:pStyle w:val="Tabletext"/>
              <w:rPr>
                <w:lang w:val="ru-RU"/>
              </w:rPr>
            </w:pPr>
          </w:p>
        </w:tc>
      </w:tr>
    </w:tbl>
    <w:p w14:paraId="068A23B3" w14:textId="767F2B81" w:rsidR="00E44240" w:rsidRPr="00FE3CC7" w:rsidRDefault="00E44240" w:rsidP="00857F35">
      <w:pPr>
        <w:rPr>
          <w:rFonts w:cstheme="minorHAnsi"/>
          <w:color w:val="000000" w:themeColor="text1"/>
          <w:lang w:val="ru-RU"/>
        </w:rPr>
      </w:pPr>
      <w:r w:rsidRPr="00FE3CC7">
        <w:rPr>
          <w:lang w:val="ru-RU"/>
        </w:rPr>
        <w:t xml:space="preserve">Координаторам предлагается направить свои ответы при помощи </w:t>
      </w:r>
      <w:hyperlink r:id="rId22" w:history="1">
        <w:r w:rsidRPr="00FE3CC7">
          <w:rPr>
            <w:rStyle w:val="Hyperlink"/>
            <w:lang w:val="ru-RU"/>
          </w:rPr>
          <w:t>онлайнового инструмента</w:t>
        </w:r>
      </w:hyperlink>
      <w:r w:rsidRPr="00FE3CC7">
        <w:rPr>
          <w:lang w:val="ru-RU"/>
        </w:rPr>
        <w:t xml:space="preserve"> или на адрес электронной почты: </w:t>
      </w:r>
      <w:hyperlink r:id="rId23" w:history="1">
        <w:r w:rsidRPr="00FE3CC7">
          <w:rPr>
            <w:rStyle w:val="Hyperlink"/>
            <w:rFonts w:cstheme="minorHAnsi"/>
            <w:lang w:val="ru-RU"/>
          </w:rPr>
          <w:t>memberstates@itu.int</w:t>
        </w:r>
      </w:hyperlink>
      <w:r w:rsidRPr="00FE3CC7">
        <w:rPr>
          <w:lang w:val="ru-RU"/>
        </w:rPr>
        <w:t xml:space="preserve">, используя </w:t>
      </w:r>
      <w:r w:rsidR="00BA1793" w:rsidRPr="00FE3CC7">
        <w:rPr>
          <w:lang w:val="ru-RU"/>
        </w:rPr>
        <w:t>настоящее</w:t>
      </w:r>
      <w:r w:rsidR="00BA1793" w:rsidRPr="00FE3CC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hyperlink w:anchor="AnnexA" w:history="1">
        <w:r w:rsidR="00BA1793" w:rsidRPr="00FE3CC7">
          <w:rPr>
            <w:rStyle w:val="Hyperlink"/>
            <w:rFonts w:asciiTheme="minorHAnsi" w:hAnsiTheme="minorHAnsi" w:cstheme="minorHAnsi"/>
            <w:lang w:val="ru-RU"/>
          </w:rPr>
          <w:t>Прилож</w:t>
        </w:r>
        <w:r w:rsidR="00BA1793" w:rsidRPr="00FE3CC7">
          <w:rPr>
            <w:rStyle w:val="Hyperlink"/>
            <w:rFonts w:asciiTheme="minorHAnsi" w:hAnsiTheme="minorHAnsi" w:cstheme="minorHAnsi"/>
            <w:lang w:val="ru-RU"/>
          </w:rPr>
          <w:t>е</w:t>
        </w:r>
        <w:r w:rsidR="00BA1793" w:rsidRPr="00FE3CC7">
          <w:rPr>
            <w:rStyle w:val="Hyperlink"/>
            <w:rFonts w:asciiTheme="minorHAnsi" w:hAnsiTheme="minorHAnsi" w:cstheme="minorHAnsi"/>
            <w:lang w:val="ru-RU"/>
          </w:rPr>
          <w:t>ние</w:t>
        </w:r>
      </w:hyperlink>
      <w:r w:rsidR="00BA1793" w:rsidRPr="00FE3CC7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Pr="00FE3CC7">
        <w:rPr>
          <w:b/>
          <w:bCs/>
          <w:lang w:val="ru-RU"/>
        </w:rPr>
        <w:t xml:space="preserve">не позднее </w:t>
      </w:r>
      <w:r w:rsidR="00BA1793" w:rsidRPr="00FE3CC7">
        <w:rPr>
          <w:b/>
          <w:bCs/>
          <w:lang w:val="ru-RU"/>
        </w:rPr>
        <w:t>3</w:t>
      </w:r>
      <w:r w:rsidRPr="00FE3CC7">
        <w:rPr>
          <w:b/>
          <w:bCs/>
          <w:lang w:val="ru-RU"/>
        </w:rPr>
        <w:t>1 </w:t>
      </w:r>
      <w:r w:rsidR="00BA1793" w:rsidRPr="00FE3CC7">
        <w:rPr>
          <w:b/>
          <w:bCs/>
          <w:lang w:val="ru-RU"/>
        </w:rPr>
        <w:t>августа</w:t>
      </w:r>
      <w:r w:rsidRPr="00FE3CC7">
        <w:rPr>
          <w:b/>
          <w:bCs/>
          <w:lang w:val="ru-RU"/>
        </w:rPr>
        <w:t xml:space="preserve"> 202</w:t>
      </w:r>
      <w:r w:rsidR="00BA1793" w:rsidRPr="00FE3CC7">
        <w:rPr>
          <w:b/>
          <w:bCs/>
          <w:lang w:val="ru-RU"/>
        </w:rPr>
        <w:t>4</w:t>
      </w:r>
      <w:r w:rsidRPr="00FE3CC7">
        <w:rPr>
          <w:b/>
          <w:bCs/>
          <w:lang w:val="ru-RU"/>
        </w:rPr>
        <w:t xml:space="preserve"> года</w:t>
      </w:r>
      <w:r w:rsidRPr="00FE3CC7">
        <w:rPr>
          <w:lang w:val="ru-RU"/>
        </w:rPr>
        <w:t>.</w:t>
      </w:r>
    </w:p>
    <w:p w14:paraId="7C885062" w14:textId="77777777" w:rsidR="00E44240" w:rsidRPr="00FE3CC7" w:rsidRDefault="00E44240" w:rsidP="00E44240">
      <w:pPr>
        <w:spacing w:before="0"/>
        <w:rPr>
          <w:rFonts w:cstheme="minorHAnsi"/>
          <w:color w:val="000000" w:themeColor="text1"/>
          <w:lang w:val="ru-RU"/>
        </w:rPr>
      </w:pPr>
      <w:r w:rsidRPr="00FE3CC7">
        <w:rPr>
          <w:rFonts w:cstheme="minorHAnsi"/>
          <w:color w:val="000000" w:themeColor="text1"/>
          <w:lang w:val="ru-RU"/>
        </w:rPr>
        <w:br w:type="page"/>
      </w:r>
    </w:p>
    <w:p w14:paraId="4288EE46" w14:textId="692CD653" w:rsidR="003A1127" w:rsidRPr="00F16A0D" w:rsidRDefault="003A1127" w:rsidP="00660C78">
      <w:pPr>
        <w:pStyle w:val="AnnexNo"/>
        <w:rPr>
          <w:lang w:val="ru-RU"/>
        </w:rPr>
      </w:pPr>
      <w:bookmarkStart w:id="6" w:name="AnnexB"/>
      <w:r w:rsidRPr="00F16A0D">
        <w:rPr>
          <w:lang w:val="ru-RU"/>
        </w:rPr>
        <w:lastRenderedPageBreak/>
        <w:t xml:space="preserve">Приложение </w:t>
      </w:r>
      <w:r w:rsidR="00660C78" w:rsidRPr="00F16A0D">
        <w:rPr>
          <w:lang w:val="ru-RU"/>
        </w:rPr>
        <w:t>B</w:t>
      </w:r>
      <w:bookmarkEnd w:id="6"/>
    </w:p>
    <w:p w14:paraId="786E5D47" w14:textId="5C635125" w:rsidR="003A1127" w:rsidRPr="00FE3CC7" w:rsidRDefault="003A1127" w:rsidP="003A1127">
      <w:pPr>
        <w:pStyle w:val="ResNo"/>
        <w:rPr>
          <w:lang w:val="ru-RU"/>
        </w:rPr>
      </w:pPr>
      <w:r w:rsidRPr="00FE3CC7">
        <w:rPr>
          <w:lang w:val="ru-RU"/>
        </w:rPr>
        <w:t>РЕШЕНИе 637</w:t>
      </w:r>
    </w:p>
    <w:p w14:paraId="3CFD6308" w14:textId="77777777" w:rsidR="003A1127" w:rsidRPr="00FE3CC7" w:rsidRDefault="003A1127" w:rsidP="003A1127">
      <w:pPr>
        <w:pStyle w:val="Resref"/>
        <w:rPr>
          <w:b/>
          <w:lang w:val="ru-RU"/>
        </w:rPr>
      </w:pPr>
      <w:r w:rsidRPr="00FE3CC7">
        <w:rPr>
          <w:lang w:val="ru-RU"/>
        </w:rPr>
        <w:t>(принято на втором пленарном заседании)</w:t>
      </w:r>
    </w:p>
    <w:p w14:paraId="5FCCF5A8" w14:textId="77777777" w:rsidR="003A1127" w:rsidRPr="00FE3CC7" w:rsidRDefault="003A1127" w:rsidP="003A1127">
      <w:pPr>
        <w:pStyle w:val="Restitle"/>
        <w:rPr>
          <w:lang w:val="ru-RU"/>
        </w:rPr>
      </w:pPr>
      <w:r w:rsidRPr="00FE3CC7">
        <w:rPr>
          <w:lang w:val="ru-RU"/>
        </w:rPr>
        <w:t xml:space="preserve">Созыв Всемирной конференции по развитию электросвязи 2025 года </w:t>
      </w:r>
      <w:r w:rsidRPr="00FE3CC7">
        <w:rPr>
          <w:lang w:val="ru-RU"/>
        </w:rPr>
        <w:br/>
        <w:t>(ВКРЭ-25)</w:t>
      </w:r>
    </w:p>
    <w:p w14:paraId="54F9205F" w14:textId="1603423D" w:rsidR="003A1127" w:rsidRPr="00FE3CC7" w:rsidRDefault="003A1127" w:rsidP="00C3450C">
      <w:pPr>
        <w:pStyle w:val="Normalaftertitle"/>
        <w:rPr>
          <w:lang w:val="ru-RU"/>
        </w:rPr>
      </w:pPr>
      <w:r w:rsidRPr="00FE3CC7">
        <w:rPr>
          <w:lang w:val="ru-RU"/>
        </w:rPr>
        <w:t>Совет</w:t>
      </w:r>
      <w:r w:rsidR="00660C78" w:rsidRPr="00FE3CC7">
        <w:rPr>
          <w:lang w:val="ru-RU"/>
        </w:rPr>
        <w:t xml:space="preserve"> МСЭ</w:t>
      </w:r>
      <w:r w:rsidRPr="00FE3CC7">
        <w:rPr>
          <w:lang w:val="ru-RU"/>
        </w:rPr>
        <w:t>,</w:t>
      </w:r>
    </w:p>
    <w:p w14:paraId="745BBD64" w14:textId="77777777" w:rsidR="003A1127" w:rsidRPr="00FE3CC7" w:rsidRDefault="003A1127" w:rsidP="003A1127">
      <w:pPr>
        <w:pStyle w:val="Call"/>
        <w:rPr>
          <w:lang w:val="ru-RU"/>
        </w:rPr>
      </w:pPr>
      <w:r w:rsidRPr="00FE3CC7">
        <w:rPr>
          <w:lang w:val="ru-RU"/>
        </w:rPr>
        <w:t>отмечая</w:t>
      </w:r>
      <w:r w:rsidRPr="00FE3CC7">
        <w:rPr>
          <w:i w:val="0"/>
          <w:iCs/>
          <w:lang w:val="ru-RU"/>
        </w:rPr>
        <w:t>,</w:t>
      </w:r>
    </w:p>
    <w:p w14:paraId="7E7DA035" w14:textId="36510481" w:rsidR="003A1127" w:rsidRPr="00FE3CC7" w:rsidRDefault="003A1127" w:rsidP="003A1127">
      <w:pPr>
        <w:rPr>
          <w:lang w:val="ru-RU"/>
        </w:rPr>
      </w:pPr>
      <w:r w:rsidRPr="00FE3CC7">
        <w:rPr>
          <w:lang w:val="ru-RU"/>
        </w:rPr>
        <w:t>что согласно Резолюции 77 (</w:t>
      </w:r>
      <w:proofErr w:type="spellStart"/>
      <w:r w:rsidRPr="00FE3CC7">
        <w:rPr>
          <w:lang w:val="ru-RU"/>
        </w:rPr>
        <w:t>Пересм</w:t>
      </w:r>
      <w:proofErr w:type="spellEnd"/>
      <w:r w:rsidRPr="00FE3CC7">
        <w:rPr>
          <w:lang w:val="ru-RU"/>
        </w:rPr>
        <w:t>. Бухарест, 2022 г.) Полномочной конференции о графике проведения и продолжительности конференций, форумов, ассамблей и сессий Совета Союза (</w:t>
      </w:r>
      <w:proofErr w:type="gramStart"/>
      <w:r w:rsidRPr="00FE3CC7">
        <w:rPr>
          <w:lang w:val="ru-RU"/>
        </w:rPr>
        <w:t>2023</w:t>
      </w:r>
      <w:r w:rsidR="00C3450C" w:rsidRPr="00FE3CC7">
        <w:rPr>
          <w:lang w:val="ru-RU"/>
        </w:rPr>
        <w:t>−</w:t>
      </w:r>
      <w:r w:rsidRPr="00FE3CC7">
        <w:rPr>
          <w:lang w:val="ru-RU"/>
        </w:rPr>
        <w:t>2027</w:t>
      </w:r>
      <w:proofErr w:type="gramEnd"/>
      <w:r w:rsidR="00C3450C" w:rsidRPr="00FE3CC7">
        <w:rPr>
          <w:lang w:val="ru-RU"/>
        </w:rPr>
        <w:t> </w:t>
      </w:r>
      <w:r w:rsidRPr="00FE3CC7">
        <w:rPr>
          <w:lang w:val="ru-RU"/>
        </w:rPr>
        <w:t>гг.) ВКРЭ-25 должна быть проведена в последнем квартале 2025 года,</w:t>
      </w:r>
    </w:p>
    <w:p w14:paraId="34780D43" w14:textId="77777777" w:rsidR="003A1127" w:rsidRPr="00FE3CC7" w:rsidRDefault="003A1127" w:rsidP="003A1127">
      <w:pPr>
        <w:pStyle w:val="Call"/>
        <w:rPr>
          <w:lang w:val="ru-RU"/>
        </w:rPr>
      </w:pPr>
      <w:r w:rsidRPr="00FE3CC7">
        <w:rPr>
          <w:lang w:val="ru-RU"/>
        </w:rPr>
        <w:t>решает</w:t>
      </w:r>
      <w:r w:rsidRPr="00FE3CC7">
        <w:rPr>
          <w:i w:val="0"/>
          <w:iCs/>
          <w:lang w:val="ru-RU"/>
        </w:rPr>
        <w:t>,</w:t>
      </w:r>
    </w:p>
    <w:p w14:paraId="7CA18E7D" w14:textId="77777777" w:rsidR="003A1127" w:rsidRPr="00FE3CC7" w:rsidRDefault="003A1127" w:rsidP="003A1127">
      <w:pPr>
        <w:rPr>
          <w:highlight w:val="lightGray"/>
          <w:lang w:val="ru-RU"/>
        </w:rPr>
      </w:pPr>
      <w:r w:rsidRPr="00FE3CC7">
        <w:rPr>
          <w:lang w:val="ru-RU"/>
        </w:rPr>
        <w:t>что при условии согласия большинства Государств – Членов Союза следующая Всемирная конференция по развитию электросвязи (ВКРЭ-25) будет проведена в Баку, Азербайджанская Республика, с 17 по 28 ноября 2025 года,</w:t>
      </w:r>
    </w:p>
    <w:p w14:paraId="5CE458BB" w14:textId="77777777" w:rsidR="003A1127" w:rsidRPr="00FE3CC7" w:rsidRDefault="003A1127" w:rsidP="003A1127">
      <w:pPr>
        <w:pStyle w:val="Call"/>
        <w:rPr>
          <w:highlight w:val="lightGray"/>
          <w:lang w:val="ru-RU"/>
        </w:rPr>
      </w:pPr>
      <w:r w:rsidRPr="00FE3CC7">
        <w:rPr>
          <w:lang w:val="ru-RU"/>
        </w:rPr>
        <w:t>поручает Генеральному секретарю</w:t>
      </w:r>
    </w:p>
    <w:p w14:paraId="3F2CD992" w14:textId="77777777" w:rsidR="003A1127" w:rsidRPr="00FE3CC7" w:rsidRDefault="003A1127" w:rsidP="003A1127">
      <w:pPr>
        <w:rPr>
          <w:lang w:val="ru-RU"/>
        </w:rPr>
      </w:pPr>
      <w:r w:rsidRPr="00FE3CC7">
        <w:rPr>
          <w:lang w:val="ru-RU"/>
        </w:rPr>
        <w:t>посетить место проведения и представить отчет сессии Совета 2025 года.</w:t>
      </w:r>
    </w:p>
    <w:p w14:paraId="3EE1D327" w14:textId="1172916F" w:rsidR="00660C78" w:rsidRPr="00FE3CC7" w:rsidRDefault="00660C78" w:rsidP="00C3450C">
      <w:pPr>
        <w:rPr>
          <w:lang w:val="ru-RU"/>
        </w:rPr>
      </w:pPr>
      <w:r w:rsidRPr="00FE3CC7">
        <w:rPr>
          <w:lang w:val="ru-RU"/>
        </w:rPr>
        <w:br w:type="page"/>
      </w:r>
    </w:p>
    <w:bookmarkStart w:id="7" w:name="AnnexC"/>
    <w:p w14:paraId="3C404986" w14:textId="5B63A621" w:rsidR="003A1127" w:rsidRPr="00FE3CC7" w:rsidRDefault="00FF2126" w:rsidP="003A1127">
      <w:pPr>
        <w:pStyle w:val="AnnexNo"/>
        <w:rPr>
          <w:lang w:val="ru-RU"/>
        </w:rPr>
      </w:pPr>
      <w:r>
        <w:lastRenderedPageBreak/>
        <w:fldChar w:fldCharType="begin"/>
      </w:r>
      <w:r w:rsidRPr="00F16A0D">
        <w:rPr>
          <w:lang w:val="ru-RU"/>
        </w:rPr>
        <w:instrText xml:space="preserve"> </w:instrText>
      </w:r>
      <w:r>
        <w:instrText>HYPERLINK</w:instrText>
      </w:r>
      <w:r w:rsidRPr="00F16A0D">
        <w:rPr>
          <w:lang w:val="ru-RU"/>
        </w:rPr>
        <w:instrText xml:space="preserve"> \</w:instrText>
      </w:r>
      <w:r>
        <w:instrText>l</w:instrText>
      </w:r>
      <w:r w:rsidRPr="00F16A0D">
        <w:rPr>
          <w:lang w:val="ru-RU"/>
        </w:rPr>
        <w:instrText xml:space="preserve"> "</w:instrText>
      </w:r>
      <w:r>
        <w:instrText>Annex</w:instrText>
      </w:r>
      <w:r w:rsidRPr="00F16A0D">
        <w:rPr>
          <w:lang w:val="ru-RU"/>
        </w:rPr>
        <w:instrText xml:space="preserve">3" </w:instrText>
      </w:r>
      <w:r>
        <w:fldChar w:fldCharType="separate"/>
      </w:r>
      <w:r w:rsidR="003A1127" w:rsidRPr="00FE3CC7">
        <w:rPr>
          <w:lang w:val="ru-RU"/>
        </w:rPr>
        <w:t>Приложение C</w:t>
      </w:r>
      <w:r>
        <w:rPr>
          <w:lang w:val="ru-RU"/>
        </w:rPr>
        <w:fldChar w:fldCharType="end"/>
      </w:r>
      <w:bookmarkEnd w:id="7"/>
    </w:p>
    <w:p w14:paraId="09516762" w14:textId="77777777" w:rsidR="003A1127" w:rsidRPr="00FE3CC7" w:rsidRDefault="003A1127" w:rsidP="00C3450C">
      <w:pPr>
        <w:pStyle w:val="Annextitle"/>
        <w:rPr>
          <w:highlight w:val="lightGray"/>
          <w:lang w:val="ru-RU"/>
        </w:rPr>
      </w:pPr>
      <w:r w:rsidRPr="00FE3CC7">
        <w:rPr>
          <w:lang w:val="ru-RU"/>
        </w:rPr>
        <w:t>Проект повестки дня Всемирной конференции по развитию электросвязи 2025 года (ВКРЭ-25)</w:t>
      </w:r>
    </w:p>
    <w:p w14:paraId="12F7DBF1" w14:textId="77777777" w:rsidR="003A1127" w:rsidRPr="00FE3CC7" w:rsidRDefault="003A1127" w:rsidP="003A1127">
      <w:pPr>
        <w:pStyle w:val="Headingb"/>
        <w:rPr>
          <w:rFonts w:eastAsia="Calibri"/>
          <w:lang w:val="ru-RU"/>
        </w:rPr>
      </w:pPr>
      <w:r w:rsidRPr="00FE3CC7">
        <w:rPr>
          <w:lang w:val="ru-RU"/>
        </w:rPr>
        <w:t>I</w:t>
      </w:r>
      <w:r w:rsidRPr="00FE3CC7">
        <w:rPr>
          <w:lang w:val="ru-RU"/>
        </w:rPr>
        <w:tab/>
        <w:t>Отчеты о выполнении Планов действий МСЭ-D</w:t>
      </w:r>
    </w:p>
    <w:p w14:paraId="49BD6F03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1</w:t>
      </w:r>
      <w:r w:rsidRPr="00FE3CC7">
        <w:rPr>
          <w:lang w:val="ru-RU"/>
        </w:rPr>
        <w:tab/>
        <w:t xml:space="preserve">Обновленные сведения по глобальной цифровой трансформации и представление отчета о выполнении Плана действий Буэнос-Айреса </w:t>
      </w:r>
      <w:proofErr w:type="spellStart"/>
      <w:r w:rsidRPr="00FE3CC7">
        <w:rPr>
          <w:lang w:val="ru-RU"/>
        </w:rPr>
        <w:t>ВКРЭ</w:t>
      </w:r>
      <w:proofErr w:type="spellEnd"/>
      <w:r w:rsidRPr="00FE3CC7">
        <w:rPr>
          <w:lang w:val="ru-RU"/>
        </w:rPr>
        <w:t xml:space="preserve">-17 и </w:t>
      </w:r>
      <w:proofErr w:type="spellStart"/>
      <w:r w:rsidRPr="00FE3CC7">
        <w:rPr>
          <w:lang w:val="ru-RU"/>
        </w:rPr>
        <w:t>Кигалийского</w:t>
      </w:r>
      <w:proofErr w:type="spellEnd"/>
      <w:r w:rsidRPr="00FE3CC7">
        <w:rPr>
          <w:lang w:val="ru-RU"/>
        </w:rPr>
        <w:t xml:space="preserve"> плана действий </w:t>
      </w:r>
      <w:proofErr w:type="spellStart"/>
      <w:r w:rsidRPr="00FE3CC7">
        <w:rPr>
          <w:lang w:val="ru-RU"/>
        </w:rPr>
        <w:t>ВКРЭ</w:t>
      </w:r>
      <w:proofErr w:type="spellEnd"/>
      <w:r w:rsidRPr="00FE3CC7">
        <w:rPr>
          <w:lang w:val="ru-RU"/>
        </w:rPr>
        <w:t>-22 (включая региональные инициативы), вкладе в выполнение Плана действий ВВУИО и достижении Целей в области устойчивого развития (ЦУР)</w:t>
      </w:r>
    </w:p>
    <w:p w14:paraId="0358A45B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2</w:t>
      </w:r>
      <w:r w:rsidRPr="00FE3CC7">
        <w:rPr>
          <w:lang w:val="ru-RU"/>
        </w:rPr>
        <w:tab/>
        <w:t>Отчет Консультативной группы по развитию электросвязи</w:t>
      </w:r>
    </w:p>
    <w:p w14:paraId="7AA5D780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3</w:t>
      </w:r>
      <w:r w:rsidRPr="00FE3CC7">
        <w:rPr>
          <w:lang w:val="ru-RU"/>
        </w:rPr>
        <w:tab/>
        <w:t>Отчеты исследовательских комиссий</w:t>
      </w:r>
    </w:p>
    <w:p w14:paraId="47493C4A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4</w:t>
      </w:r>
      <w:r w:rsidRPr="00FE3CC7">
        <w:rPr>
          <w:lang w:val="ru-RU"/>
        </w:rPr>
        <w:tab/>
        <w:t>Отчет о выполнении решений других конференций, ассамблей и собраний МСЭ, имеющих отношение к работе МСЭ-D:</w:t>
      </w:r>
    </w:p>
    <w:p w14:paraId="5F9AC736" w14:textId="77777777" w:rsidR="003A1127" w:rsidRPr="00FE3CC7" w:rsidRDefault="003A1127" w:rsidP="003A1127">
      <w:pPr>
        <w:pStyle w:val="enumlev2"/>
        <w:rPr>
          <w:rFonts w:eastAsia="Calibri"/>
          <w:lang w:val="ru-RU"/>
        </w:rPr>
      </w:pPr>
      <w:r w:rsidRPr="00FE3CC7">
        <w:rPr>
          <w:lang w:val="ru-RU"/>
        </w:rPr>
        <w:t>a)</w:t>
      </w:r>
      <w:r w:rsidRPr="00FE3CC7">
        <w:rPr>
          <w:lang w:val="ru-RU"/>
        </w:rPr>
        <w:tab/>
        <w:t>Полномочная конференция (ПК-22)</w:t>
      </w:r>
    </w:p>
    <w:p w14:paraId="4FD944C6" w14:textId="77777777" w:rsidR="003A1127" w:rsidRPr="00FE3CC7" w:rsidRDefault="003A1127" w:rsidP="003A1127">
      <w:pPr>
        <w:pStyle w:val="enumlev2"/>
        <w:rPr>
          <w:rFonts w:eastAsia="Calibri"/>
          <w:lang w:val="ru-RU"/>
        </w:rPr>
      </w:pPr>
      <w:r w:rsidRPr="00FE3CC7">
        <w:rPr>
          <w:lang w:val="ru-RU"/>
        </w:rPr>
        <w:t>b)</w:t>
      </w:r>
      <w:r w:rsidRPr="00FE3CC7">
        <w:rPr>
          <w:lang w:val="ru-RU"/>
        </w:rPr>
        <w:tab/>
        <w:t>Ассамблея радиосвязи (АР-23)/Всемирная конференция радиосвязи (ВКР-23)</w:t>
      </w:r>
    </w:p>
    <w:p w14:paraId="5D3037D2" w14:textId="77777777" w:rsidR="003A1127" w:rsidRPr="00FE3CC7" w:rsidRDefault="003A1127" w:rsidP="003A1127">
      <w:pPr>
        <w:pStyle w:val="enumlev2"/>
        <w:rPr>
          <w:rFonts w:eastAsia="Calibri"/>
          <w:lang w:val="ru-RU"/>
        </w:rPr>
      </w:pPr>
      <w:r w:rsidRPr="00FE3CC7">
        <w:rPr>
          <w:lang w:val="ru-RU"/>
        </w:rPr>
        <w:t>c)</w:t>
      </w:r>
      <w:r w:rsidRPr="00FE3CC7">
        <w:rPr>
          <w:lang w:val="ru-RU"/>
        </w:rPr>
        <w:tab/>
        <w:t>Всемирная ассамблея по стандартизации электросвязи (ВАСЭ-24)</w:t>
      </w:r>
    </w:p>
    <w:p w14:paraId="1DDA4F9A" w14:textId="77777777" w:rsidR="003A1127" w:rsidRPr="00FE3CC7" w:rsidRDefault="003A1127" w:rsidP="003A1127">
      <w:pPr>
        <w:pStyle w:val="Headingb"/>
        <w:rPr>
          <w:b w:val="0"/>
          <w:lang w:val="ru-RU"/>
        </w:rPr>
      </w:pPr>
      <w:r w:rsidRPr="00FE3CC7">
        <w:rPr>
          <w:lang w:val="ru-RU"/>
        </w:rPr>
        <w:t>II</w:t>
      </w:r>
      <w:r w:rsidRPr="00FE3CC7">
        <w:rPr>
          <w:lang w:val="ru-RU"/>
        </w:rPr>
        <w:tab/>
        <w:t>Политика и стратегия цифровой трансформации</w:t>
      </w:r>
    </w:p>
    <w:p w14:paraId="5B2C9864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5</w:t>
      </w:r>
      <w:r w:rsidRPr="00FE3CC7">
        <w:rPr>
          <w:lang w:val="ru-RU"/>
        </w:rPr>
        <w:tab/>
        <w:t>Круглые столы на уровне министров и руководителей отрасли и политические заявления</w:t>
      </w:r>
    </w:p>
    <w:p w14:paraId="58DF1F2D" w14:textId="77777777" w:rsidR="003A1127" w:rsidRPr="00FE3CC7" w:rsidRDefault="003A1127" w:rsidP="003A1127">
      <w:pPr>
        <w:pStyle w:val="Headingb"/>
        <w:rPr>
          <w:b w:val="0"/>
          <w:lang w:val="ru-RU"/>
        </w:rPr>
      </w:pPr>
      <w:r w:rsidRPr="00FE3CC7">
        <w:rPr>
          <w:lang w:val="ru-RU"/>
        </w:rPr>
        <w:t>III</w:t>
      </w:r>
      <w:r w:rsidRPr="00FE3CC7">
        <w:rPr>
          <w:lang w:val="ru-RU"/>
        </w:rPr>
        <w:tab/>
        <w:t xml:space="preserve">План работы МСЭ-D на </w:t>
      </w:r>
      <w:proofErr w:type="gramStart"/>
      <w:r w:rsidRPr="00FE3CC7">
        <w:rPr>
          <w:lang w:val="ru-RU"/>
        </w:rPr>
        <w:t>2026−2029</w:t>
      </w:r>
      <w:proofErr w:type="gramEnd"/>
      <w:r w:rsidRPr="00FE3CC7">
        <w:rPr>
          <w:lang w:val="ru-RU"/>
        </w:rPr>
        <w:t xml:space="preserve"> годы</w:t>
      </w:r>
    </w:p>
    <w:p w14:paraId="02BBDBF1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6</w:t>
      </w:r>
      <w:r w:rsidRPr="00FE3CC7">
        <w:rPr>
          <w:lang w:val="ru-RU"/>
        </w:rPr>
        <w:tab/>
        <w:t>Результаты региональных подготовительных собраний к ВКРЭ</w:t>
      </w:r>
    </w:p>
    <w:p w14:paraId="7BF150D0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7</w:t>
      </w:r>
      <w:r w:rsidRPr="00FE3CC7">
        <w:rPr>
          <w:lang w:val="ru-RU"/>
        </w:rPr>
        <w:tab/>
        <w:t xml:space="preserve">Вклад МСЭ-D в Стратегический план МСЭ на </w:t>
      </w:r>
      <w:proofErr w:type="gramStart"/>
      <w:r w:rsidRPr="00FE3CC7">
        <w:rPr>
          <w:lang w:val="ru-RU"/>
        </w:rPr>
        <w:t>2028−2031</w:t>
      </w:r>
      <w:proofErr w:type="gramEnd"/>
      <w:r w:rsidRPr="00FE3CC7">
        <w:rPr>
          <w:lang w:val="ru-RU"/>
        </w:rPr>
        <w:t xml:space="preserve"> годы</w:t>
      </w:r>
    </w:p>
    <w:p w14:paraId="73B63878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8</w:t>
      </w:r>
      <w:r w:rsidRPr="00FE3CC7">
        <w:rPr>
          <w:lang w:val="ru-RU"/>
        </w:rPr>
        <w:tab/>
        <w:t>Приоритеты МСЭ-D</w:t>
      </w:r>
    </w:p>
    <w:p w14:paraId="30A13C92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9</w:t>
      </w:r>
      <w:r w:rsidRPr="00FE3CC7">
        <w:rPr>
          <w:lang w:val="ru-RU"/>
        </w:rPr>
        <w:tab/>
        <w:t>План действий МСЭ-D на следующий цикл</w:t>
      </w:r>
    </w:p>
    <w:p w14:paraId="349D72F3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10</w:t>
      </w:r>
      <w:r w:rsidRPr="00FE3CC7">
        <w:rPr>
          <w:lang w:val="ru-RU"/>
        </w:rPr>
        <w:tab/>
        <w:t>Декларация ВКРЭ</w:t>
      </w:r>
    </w:p>
    <w:p w14:paraId="174F99D0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11</w:t>
      </w:r>
      <w:r w:rsidRPr="00FE3CC7">
        <w:rPr>
          <w:lang w:val="ru-RU"/>
        </w:rPr>
        <w:tab/>
        <w:t>Консультативная группа по развитию электросвязи</w:t>
      </w:r>
    </w:p>
    <w:p w14:paraId="63CC899E" w14:textId="77777777" w:rsidR="003A1127" w:rsidRPr="00FE3CC7" w:rsidRDefault="003A1127" w:rsidP="003A1127">
      <w:pPr>
        <w:pStyle w:val="enumlev2"/>
        <w:rPr>
          <w:rFonts w:eastAsia="Calibri"/>
          <w:lang w:val="ru-RU"/>
        </w:rPr>
      </w:pPr>
      <w:r w:rsidRPr="00FE3CC7">
        <w:rPr>
          <w:lang w:val="ru-RU"/>
        </w:rPr>
        <w:t>a)</w:t>
      </w:r>
      <w:r w:rsidRPr="00FE3CC7">
        <w:rPr>
          <w:lang w:val="ru-RU"/>
        </w:rPr>
        <w:tab/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(Резолюция 24 (</w:t>
      </w:r>
      <w:proofErr w:type="spellStart"/>
      <w:r w:rsidRPr="00FE3CC7">
        <w:rPr>
          <w:lang w:val="ru-RU"/>
        </w:rPr>
        <w:t>Пересм</w:t>
      </w:r>
      <w:proofErr w:type="spellEnd"/>
      <w:r w:rsidRPr="00FE3CC7">
        <w:rPr>
          <w:lang w:val="ru-RU"/>
        </w:rPr>
        <w:t>. Дубай, 2014 г.))</w:t>
      </w:r>
    </w:p>
    <w:p w14:paraId="38C8500F" w14:textId="77777777" w:rsidR="003A1127" w:rsidRPr="00FE3CC7" w:rsidRDefault="003A1127" w:rsidP="003A1127">
      <w:pPr>
        <w:pStyle w:val="enumlev2"/>
        <w:rPr>
          <w:rFonts w:eastAsia="Calibri"/>
          <w:lang w:val="ru-RU"/>
        </w:rPr>
      </w:pPr>
      <w:r w:rsidRPr="00FE3CC7">
        <w:rPr>
          <w:lang w:val="ru-RU"/>
        </w:rPr>
        <w:t>b)</w:t>
      </w:r>
      <w:r w:rsidRPr="00FE3CC7">
        <w:rPr>
          <w:lang w:val="ru-RU"/>
        </w:rPr>
        <w:tab/>
        <w:t>Структура и методы работы</w:t>
      </w:r>
    </w:p>
    <w:p w14:paraId="77B42B3C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12</w:t>
      </w:r>
      <w:r w:rsidRPr="00FE3CC7">
        <w:rPr>
          <w:lang w:val="ru-RU"/>
        </w:rPr>
        <w:tab/>
        <w:t>Исследовательские комиссии</w:t>
      </w:r>
    </w:p>
    <w:p w14:paraId="55EB8A31" w14:textId="77777777" w:rsidR="003A1127" w:rsidRPr="00FE3CC7" w:rsidRDefault="003A1127" w:rsidP="003A1127">
      <w:pPr>
        <w:pStyle w:val="enumlev2"/>
        <w:rPr>
          <w:rFonts w:eastAsia="Calibri"/>
          <w:lang w:val="ru-RU"/>
        </w:rPr>
      </w:pPr>
      <w:r w:rsidRPr="00FE3CC7">
        <w:rPr>
          <w:lang w:val="ru-RU"/>
        </w:rPr>
        <w:t>a)</w:t>
      </w:r>
      <w:r w:rsidRPr="00FE3CC7">
        <w:rPr>
          <w:lang w:val="ru-RU"/>
        </w:rPr>
        <w:tab/>
        <w:t>Исследуемые Вопросы</w:t>
      </w:r>
    </w:p>
    <w:p w14:paraId="48215B22" w14:textId="77777777" w:rsidR="003A1127" w:rsidRPr="00FE3CC7" w:rsidRDefault="003A1127" w:rsidP="003A1127">
      <w:pPr>
        <w:pStyle w:val="enumlev2"/>
        <w:rPr>
          <w:rFonts w:eastAsia="Calibri"/>
          <w:lang w:val="ru-RU"/>
        </w:rPr>
      </w:pPr>
      <w:r w:rsidRPr="00FE3CC7">
        <w:rPr>
          <w:lang w:val="ru-RU"/>
        </w:rPr>
        <w:t>b)</w:t>
      </w:r>
      <w:r w:rsidRPr="00FE3CC7">
        <w:rPr>
          <w:lang w:val="ru-RU"/>
        </w:rPr>
        <w:tab/>
        <w:t>Структура и методы работы</w:t>
      </w:r>
    </w:p>
    <w:p w14:paraId="42B1FF51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13</w:t>
      </w:r>
      <w:r w:rsidRPr="00FE3CC7">
        <w:rPr>
          <w:lang w:val="ru-RU"/>
        </w:rPr>
        <w:tab/>
        <w:t>Региональные инициативы</w:t>
      </w:r>
    </w:p>
    <w:p w14:paraId="419CA9B5" w14:textId="77777777" w:rsidR="003A1127" w:rsidRPr="00FE3CC7" w:rsidRDefault="003A1127" w:rsidP="003A1127">
      <w:pPr>
        <w:pStyle w:val="enumlev1"/>
        <w:rPr>
          <w:lang w:val="ru-RU"/>
        </w:rPr>
      </w:pPr>
      <w:r w:rsidRPr="00FE3CC7">
        <w:rPr>
          <w:lang w:val="ru-RU"/>
        </w:rPr>
        <w:t>14</w:t>
      </w:r>
      <w:r w:rsidRPr="00FE3CC7">
        <w:rPr>
          <w:lang w:val="ru-RU"/>
        </w:rPr>
        <w:tab/>
        <w:t>Резолюции и Рекомендации</w:t>
      </w:r>
    </w:p>
    <w:p w14:paraId="4BC41401" w14:textId="525B16EE" w:rsidR="00660C78" w:rsidRPr="00FE3CC7" w:rsidRDefault="00660C78" w:rsidP="00C3450C">
      <w:pPr>
        <w:rPr>
          <w:lang w:val="ru-RU"/>
        </w:rPr>
      </w:pPr>
      <w:r w:rsidRPr="00FE3CC7">
        <w:rPr>
          <w:lang w:val="ru-RU"/>
        </w:rPr>
        <w:br w:type="page"/>
      </w:r>
    </w:p>
    <w:bookmarkStart w:id="8" w:name="AnnexD"/>
    <w:p w14:paraId="10116284" w14:textId="1C22640C" w:rsidR="00660C78" w:rsidRPr="00FE3CC7" w:rsidRDefault="00FF2126" w:rsidP="00660C78">
      <w:pPr>
        <w:pStyle w:val="AnnexNo"/>
        <w:rPr>
          <w:lang w:val="ru-RU"/>
        </w:rPr>
      </w:pPr>
      <w:r>
        <w:lastRenderedPageBreak/>
        <w:fldChar w:fldCharType="begin"/>
      </w:r>
      <w:r w:rsidRPr="00F16A0D">
        <w:rPr>
          <w:lang w:val="ru-RU"/>
        </w:rPr>
        <w:instrText xml:space="preserve"> </w:instrText>
      </w:r>
      <w:r>
        <w:instrText>HYPERLINK</w:instrText>
      </w:r>
      <w:r w:rsidRPr="00F16A0D">
        <w:rPr>
          <w:lang w:val="ru-RU"/>
        </w:rPr>
        <w:instrText xml:space="preserve"> \</w:instrText>
      </w:r>
      <w:r>
        <w:instrText>l</w:instrText>
      </w:r>
      <w:r w:rsidRPr="00F16A0D">
        <w:rPr>
          <w:lang w:val="ru-RU"/>
        </w:rPr>
        <w:instrText xml:space="preserve"> "</w:instrText>
      </w:r>
      <w:r>
        <w:instrText>Annex</w:instrText>
      </w:r>
      <w:r w:rsidRPr="00F16A0D">
        <w:rPr>
          <w:lang w:val="ru-RU"/>
        </w:rPr>
        <w:instrText xml:space="preserve">3" </w:instrText>
      </w:r>
      <w:r>
        <w:fldChar w:fldCharType="separate"/>
      </w:r>
      <w:r w:rsidR="00660C78" w:rsidRPr="00FE3CC7">
        <w:rPr>
          <w:lang w:val="ru-RU"/>
        </w:rPr>
        <w:t>Приложение D</w:t>
      </w:r>
      <w:r>
        <w:rPr>
          <w:lang w:val="ru-RU"/>
        </w:rPr>
        <w:fldChar w:fldCharType="end"/>
      </w:r>
      <w:bookmarkEnd w:id="8"/>
    </w:p>
    <w:p w14:paraId="513A8AD6" w14:textId="77777777" w:rsidR="001F39B1" w:rsidRPr="00FE3CC7" w:rsidRDefault="001F39B1" w:rsidP="001F39B1">
      <w:pPr>
        <w:pStyle w:val="ResNo"/>
        <w:rPr>
          <w:lang w:val="ru-RU"/>
        </w:rPr>
      </w:pPr>
      <w:r w:rsidRPr="00FE3CC7">
        <w:rPr>
          <w:lang w:val="ru-RU"/>
        </w:rPr>
        <w:t>РЕЗОЛЮЦИя 1422</w:t>
      </w:r>
    </w:p>
    <w:p w14:paraId="4DED0DA8" w14:textId="77777777" w:rsidR="001F39B1" w:rsidRPr="00FE3CC7" w:rsidRDefault="001F39B1" w:rsidP="001F39B1">
      <w:pPr>
        <w:pStyle w:val="Resref"/>
        <w:rPr>
          <w:b/>
          <w:lang w:val="ru-RU"/>
        </w:rPr>
      </w:pPr>
      <w:r w:rsidRPr="00FE3CC7">
        <w:rPr>
          <w:lang w:val="ru-RU"/>
        </w:rPr>
        <w:t>(принята на пятом пленарном заседании)</w:t>
      </w:r>
    </w:p>
    <w:p w14:paraId="1A31BEAD" w14:textId="77777777" w:rsidR="001F39B1" w:rsidRPr="00FE3CC7" w:rsidRDefault="001F39B1" w:rsidP="001F39B1">
      <w:pPr>
        <w:pStyle w:val="Restitle"/>
        <w:rPr>
          <w:lang w:val="ru-RU"/>
        </w:rPr>
      </w:pPr>
      <w:r w:rsidRPr="00FE3CC7">
        <w:rPr>
          <w:lang w:val="ru-RU"/>
        </w:rPr>
        <w:t>Повестка дня Всемирной конференции радиосвязи 2027 года (ВКР-27)</w:t>
      </w:r>
    </w:p>
    <w:p w14:paraId="016CA1C2" w14:textId="77777777" w:rsidR="001F39B1" w:rsidRPr="00FE3CC7" w:rsidRDefault="001F39B1" w:rsidP="005909AB">
      <w:pPr>
        <w:pStyle w:val="Normalaftertitle"/>
        <w:rPr>
          <w:lang w:val="ru-RU"/>
        </w:rPr>
      </w:pPr>
      <w:r w:rsidRPr="00FE3CC7">
        <w:rPr>
          <w:lang w:val="ru-RU"/>
        </w:rPr>
        <w:t>Совет МСЭ,</w:t>
      </w:r>
    </w:p>
    <w:p w14:paraId="3F8637B7" w14:textId="77777777" w:rsidR="001F39B1" w:rsidRPr="00FE3CC7" w:rsidRDefault="001F39B1" w:rsidP="001F39B1">
      <w:pPr>
        <w:pStyle w:val="Call"/>
        <w:rPr>
          <w:lang w:val="ru-RU"/>
        </w:rPr>
      </w:pPr>
      <w:r w:rsidRPr="00FE3CC7">
        <w:rPr>
          <w:lang w:val="ru-RU"/>
        </w:rPr>
        <w:t>отмечая</w:t>
      </w:r>
      <w:r w:rsidRPr="00FE3CC7">
        <w:rPr>
          <w:i w:val="0"/>
          <w:iCs/>
          <w:lang w:val="ru-RU"/>
        </w:rPr>
        <w:t>,</w:t>
      </w:r>
    </w:p>
    <w:p w14:paraId="1B142FB7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что в Резолюции 813 Всемирной конференции радиосвязи (Дубай, 2023 г.):</w:t>
      </w:r>
    </w:p>
    <w:p w14:paraId="70774250" w14:textId="77777777" w:rsidR="001F39B1" w:rsidRPr="00FE3CC7" w:rsidRDefault="001F39B1" w:rsidP="001F39B1">
      <w:pPr>
        <w:rPr>
          <w:lang w:val="ru-RU"/>
        </w:rPr>
      </w:pPr>
      <w:r w:rsidRPr="00FE3CC7">
        <w:rPr>
          <w:i/>
          <w:iCs/>
          <w:lang w:val="ru-RU"/>
        </w:rPr>
        <w:t>a)</w:t>
      </w:r>
      <w:r w:rsidRPr="00FE3CC7">
        <w:rPr>
          <w:lang w:val="ru-RU"/>
        </w:rPr>
        <w:tab/>
        <w:t>решено рекомендовать Совету провести Всемирную конференцию радиосвязи в 2027 году продолжительностью не более четырех недель;</w:t>
      </w:r>
    </w:p>
    <w:p w14:paraId="2A37F82A" w14:textId="77777777" w:rsidR="001F39B1" w:rsidRPr="00FE3CC7" w:rsidRDefault="001F39B1" w:rsidP="001F39B1">
      <w:pPr>
        <w:rPr>
          <w:lang w:val="ru-RU"/>
        </w:rPr>
      </w:pPr>
      <w:r w:rsidRPr="00FE3CC7">
        <w:rPr>
          <w:i/>
          <w:iCs/>
          <w:lang w:val="ru-RU"/>
        </w:rPr>
        <w:t>b)</w:t>
      </w:r>
      <w:r w:rsidRPr="00FE3CC7">
        <w:rPr>
          <w:lang w:val="ru-RU"/>
        </w:rPr>
        <w:tab/>
        <w:t>рекомендована ее повестка дня и предложено Совету подготовить окончательный вариант повестки дня и провести мероприятия по созыву ВКР-27, а также в кратчайшие сроки начать необходимые консультации с Государствами-Членами,</w:t>
      </w:r>
    </w:p>
    <w:p w14:paraId="40383BE6" w14:textId="77777777" w:rsidR="001F39B1" w:rsidRPr="00FE3CC7" w:rsidRDefault="001F39B1" w:rsidP="001F39B1">
      <w:pPr>
        <w:pStyle w:val="Call"/>
        <w:rPr>
          <w:lang w:val="ru-RU"/>
        </w:rPr>
      </w:pPr>
      <w:r w:rsidRPr="00FE3CC7">
        <w:rPr>
          <w:lang w:val="ru-RU"/>
        </w:rPr>
        <w:t>решает</w:t>
      </w:r>
    </w:p>
    <w:p w14:paraId="485EBBD3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созвать в 2027 году Всемирную конференцию радиосвязи (ВКР-27), которой будет предшествовать проведение Ассамблеи радиосвязи, со следующей повесткой дня</w:t>
      </w:r>
      <w:r w:rsidRPr="00FE3CC7">
        <w:rPr>
          <w:lang w:val="ru-RU"/>
        </w:rPr>
        <w:sym w:font="Symbol" w:char="F03A"/>
      </w:r>
    </w:p>
    <w:p w14:paraId="75585C40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</w:t>
      </w:r>
      <w:r w:rsidRPr="00FE3CC7">
        <w:rPr>
          <w:lang w:val="ru-RU"/>
        </w:rPr>
        <w:tab/>
        <w:t>на основе предложений администраций, принимая во внимание результаты ВКР-23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и предпринять соответствующие действия в отношении следующих пунктов:</w:t>
      </w:r>
    </w:p>
    <w:p w14:paraId="59D7F1D8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</w:t>
      </w:r>
      <w:r w:rsidRPr="00FE3CC7">
        <w:rPr>
          <w:lang w:val="ru-RU"/>
        </w:rPr>
        <w:tab/>
        <w:t xml:space="preserve">в соответствии с Резолюцией </w:t>
      </w:r>
      <w:r w:rsidRPr="00FE3CC7">
        <w:rPr>
          <w:b/>
          <w:bCs/>
          <w:lang w:val="ru-RU"/>
        </w:rPr>
        <w:t>176 (</w:t>
      </w:r>
      <w:proofErr w:type="spellStart"/>
      <w:r w:rsidRPr="00FE3CC7">
        <w:rPr>
          <w:b/>
          <w:bCs/>
          <w:lang w:val="ru-RU"/>
        </w:rPr>
        <w:t>Пересм</w:t>
      </w:r>
      <w:proofErr w:type="spellEnd"/>
      <w:r w:rsidRPr="00FE3CC7">
        <w:rPr>
          <w:b/>
          <w:bCs/>
          <w:lang w:val="ru-RU"/>
        </w:rPr>
        <w:t>. ВКР-23)</w:t>
      </w:r>
      <w:r w:rsidRPr="00FE3CC7">
        <w:rPr>
          <w:lang w:val="ru-RU"/>
        </w:rPr>
        <w:t xml:space="preserve"> рассмотреть технические и эксплуатационные условия для использования полос частот 47,2−50,2 ГГц и 50,4−51,4 ГГц (Земля</w:t>
      </w:r>
      <w:r w:rsidRPr="00FE3CC7">
        <w:rPr>
          <w:lang w:val="ru-RU"/>
        </w:rPr>
        <w:noBreakHyphen/>
        <w:t xml:space="preserve">космос) или их частей воздушными и морскими земными станциями, находящимися в движении, которые взаимодействуют с космическими станциями фиксированной спутниковой службы, и разработать </w:t>
      </w:r>
      <w:proofErr w:type="spellStart"/>
      <w:r w:rsidRPr="00FE3CC7">
        <w:rPr>
          <w:lang w:val="ru-RU"/>
        </w:rPr>
        <w:t>регламентарные</w:t>
      </w:r>
      <w:proofErr w:type="spellEnd"/>
      <w:r w:rsidRPr="00FE3CC7">
        <w:rPr>
          <w:lang w:val="ru-RU"/>
        </w:rPr>
        <w:t xml:space="preserve"> меры, в надлежащем случае, для упрощения использования полос частот 47,2−50,2 ГГц и 50,4−51,4 ГГц (Земля-космос) или их частей воздушными и морскими земными станциями, находящимися в движении, которые взаимодействуют с геостационарными космическими станциями и негеостационарными космическими станциями фиксированной спутниковой службы;</w:t>
      </w:r>
    </w:p>
    <w:p w14:paraId="4C65C934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1.2</w:t>
      </w:r>
      <w:r w:rsidRPr="00FE3CC7">
        <w:rPr>
          <w:lang w:val="ru-RU"/>
        </w:rPr>
        <w:tab/>
        <w:t>в соответствии с Резолюцией </w:t>
      </w:r>
      <w:r w:rsidRPr="00FE3CC7">
        <w:rPr>
          <w:b/>
          <w:bCs/>
          <w:lang w:val="ru-RU"/>
        </w:rPr>
        <w:t>129 (ВКР-23)</w:t>
      </w:r>
      <w:r w:rsidRPr="00FE3CC7">
        <w:rPr>
          <w:lang w:val="ru-RU"/>
        </w:rPr>
        <w:t xml:space="preserve"> рассмотреть </w:t>
      </w:r>
      <w:r w:rsidRPr="00FE3CC7">
        <w:rPr>
          <w:bCs/>
          <w:lang w:val="ru-RU"/>
        </w:rPr>
        <w:t xml:space="preserve">возможность пересмотра условий совместного использования частот в полосе частот </w:t>
      </w:r>
      <w:proofErr w:type="gramStart"/>
      <w:r w:rsidRPr="00FE3CC7">
        <w:rPr>
          <w:bCs/>
          <w:lang w:val="ru-RU"/>
        </w:rPr>
        <w:t>13,75−14</w:t>
      </w:r>
      <w:proofErr w:type="gramEnd"/>
      <w:r w:rsidRPr="00FE3CC7">
        <w:rPr>
          <w:bCs/>
          <w:lang w:val="ru-RU"/>
        </w:rPr>
        <w:t> ГГц, для того чтобы разрешить использование земных станций фиксированной спутниковой службы на линии вверх с антеннами меньшего размера</w:t>
      </w:r>
      <w:r w:rsidRPr="00FE3CC7">
        <w:rPr>
          <w:lang w:val="ru-RU"/>
        </w:rPr>
        <w:t>;</w:t>
      </w:r>
    </w:p>
    <w:p w14:paraId="77E4B2A5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1.3</w:t>
      </w:r>
      <w:r w:rsidRPr="00FE3CC7">
        <w:rPr>
          <w:lang w:val="ru-RU"/>
        </w:rPr>
        <w:tab/>
      </w:r>
      <w:r w:rsidRPr="00FE3CC7">
        <w:rPr>
          <w:rFonts w:eastAsiaTheme="minorHAnsi"/>
          <w:lang w:val="ru-RU"/>
        </w:rPr>
        <w:t>в соответствии с Резолюцией </w:t>
      </w:r>
      <w:r w:rsidRPr="00FE3CC7">
        <w:rPr>
          <w:b/>
          <w:bCs/>
          <w:lang w:val="ru-RU"/>
        </w:rPr>
        <w:t>130 (ВКР</w:t>
      </w:r>
      <w:r w:rsidRPr="00FE3CC7">
        <w:rPr>
          <w:b/>
          <w:bCs/>
          <w:lang w:val="ru-RU"/>
        </w:rPr>
        <w:noBreakHyphen/>
        <w:t>23)</w:t>
      </w:r>
      <w:r w:rsidRPr="00FE3CC7">
        <w:rPr>
          <w:lang w:val="ru-RU"/>
        </w:rPr>
        <w:t xml:space="preserve"> </w:t>
      </w:r>
      <w:r w:rsidRPr="00FE3CC7">
        <w:rPr>
          <w:rFonts w:eastAsiaTheme="minorHAnsi"/>
          <w:lang w:val="ru-RU"/>
        </w:rPr>
        <w:t xml:space="preserve">рассмотреть результаты исследований, касающихся использования полосы частот </w:t>
      </w:r>
      <w:proofErr w:type="gramStart"/>
      <w:r w:rsidRPr="00FE3CC7">
        <w:rPr>
          <w:rFonts w:eastAsiaTheme="minorHAnsi"/>
          <w:lang w:val="ru-RU"/>
        </w:rPr>
        <w:t>51,4−52,4</w:t>
      </w:r>
      <w:proofErr w:type="gramEnd"/>
      <w:r w:rsidRPr="00FE3CC7">
        <w:rPr>
          <w:rFonts w:eastAsiaTheme="minorHAnsi"/>
          <w:lang w:val="ru-RU"/>
        </w:rPr>
        <w:t> ГГц</w:t>
      </w:r>
      <w:r w:rsidRPr="00FE3CC7">
        <w:rPr>
          <w:lang w:val="ru-RU"/>
        </w:rPr>
        <w:t xml:space="preserve"> в целях обеспечения возможности ее использования земными станциями сопряжения, осуществляющими передачу на негеостационарные спутниковые системы</w:t>
      </w:r>
      <w:r w:rsidRPr="00FE3CC7">
        <w:rPr>
          <w:rFonts w:eastAsiaTheme="minorHAnsi"/>
          <w:lang w:val="ru-RU"/>
        </w:rPr>
        <w:t xml:space="preserve"> фиксированной спутниковой службы (Земля</w:t>
      </w:r>
      <w:r w:rsidRPr="00FE3CC7">
        <w:rPr>
          <w:rFonts w:eastAsiaTheme="minorHAnsi"/>
          <w:lang w:val="ru-RU"/>
        </w:rPr>
        <w:noBreakHyphen/>
        <w:t>космос)</w:t>
      </w:r>
      <w:r w:rsidRPr="00FE3CC7">
        <w:rPr>
          <w:lang w:val="ru-RU"/>
        </w:rPr>
        <w:t>;</w:t>
      </w:r>
    </w:p>
    <w:p w14:paraId="1BA64D38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1.4</w:t>
      </w:r>
      <w:r w:rsidRPr="00FE3CC7">
        <w:rPr>
          <w:lang w:val="ru-RU"/>
        </w:rPr>
        <w:tab/>
      </w:r>
      <w:r w:rsidRPr="00FE3CC7">
        <w:rPr>
          <w:lang w:val="ru-RU" w:eastAsia="ko-KR"/>
        </w:rPr>
        <w:t>в соответствии с Резолюцией </w:t>
      </w:r>
      <w:r w:rsidRPr="00FE3CC7">
        <w:rPr>
          <w:b/>
          <w:lang w:val="ru-RU"/>
        </w:rPr>
        <w:t>726 (ВКР</w:t>
      </w:r>
      <w:r w:rsidRPr="00FE3CC7">
        <w:rPr>
          <w:b/>
          <w:lang w:val="ru-RU"/>
        </w:rPr>
        <w:noBreakHyphen/>
        <w:t>23)</w:t>
      </w:r>
      <w:r w:rsidRPr="00FE3CC7">
        <w:rPr>
          <w:lang w:val="ru-RU"/>
        </w:rPr>
        <w:t xml:space="preserve"> рассмотреть вопрос о возможном новом первичном распределении фиксированной спутниковой службе (космос-Земля) в полосе частот 17,3−17,7 ГГц и возможном новом первичном распределении радиовещательной спутниковой службе (космос-Земля) в полосе частот 17,3−17,8 ГГц в Районе 3 при условии обеспечения защиты существующих первичных распределений в тех же и соседних полосах частот; а также рассмотреть пределы эквивалентной плотности потока мощности, которые должны применяться в Районах 1 и 3</w:t>
      </w:r>
      <w:r w:rsidRPr="00FE3CC7">
        <w:rPr>
          <w:rFonts w:eastAsia="SimSun"/>
          <w:bCs/>
          <w:lang w:val="ru-RU" w:eastAsia="zh-CN"/>
        </w:rPr>
        <w:t xml:space="preserve"> к негеостационарным спутниковым системам фиксированной спутниковой службы (космос-Земля) в полосе частот 17,3–17,7 ГГц</w:t>
      </w:r>
      <w:r w:rsidRPr="00FE3CC7">
        <w:rPr>
          <w:lang w:val="ru-RU"/>
        </w:rPr>
        <w:t>;</w:t>
      </w:r>
    </w:p>
    <w:p w14:paraId="55ED18C3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lastRenderedPageBreak/>
        <w:t>1.5</w:t>
      </w:r>
      <w:r w:rsidRPr="00FE3CC7">
        <w:rPr>
          <w:lang w:val="ru-RU"/>
        </w:rPr>
        <w:tab/>
        <w:t>в соответствии с Резолюцией </w:t>
      </w:r>
      <w:r w:rsidRPr="00FE3CC7">
        <w:rPr>
          <w:b/>
          <w:bCs/>
          <w:lang w:val="ru-RU"/>
        </w:rPr>
        <w:t>14 (ВКР-23)</w:t>
      </w:r>
      <w:r w:rsidRPr="00FE3CC7">
        <w:rPr>
          <w:lang w:val="ru-RU"/>
        </w:rPr>
        <w:t xml:space="preserve"> рассмотреть </w:t>
      </w:r>
      <w:proofErr w:type="spellStart"/>
      <w:r w:rsidRPr="00FE3CC7">
        <w:rPr>
          <w:lang w:val="ru-RU"/>
        </w:rPr>
        <w:t>регламентарные</w:t>
      </w:r>
      <w:proofErr w:type="spellEnd"/>
      <w:r w:rsidRPr="00FE3CC7">
        <w:rPr>
          <w:lang w:val="ru-RU"/>
        </w:rPr>
        <w:t xml:space="preserve"> меры и возможность их реализации для ограничения несанкционированной работы земных станций негеостационарных спутниковых систем фиксированной спутниковой и подвижной спутниковой служб и связанные с этим вопросы, касающиеся зоны обслуживания негеостационарных спутниковых систем фиксированной спутниковой и подвижной спутниковой служб;</w:t>
      </w:r>
    </w:p>
    <w:p w14:paraId="03DBCC42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1.6</w:t>
      </w:r>
      <w:r w:rsidRPr="00FE3CC7">
        <w:rPr>
          <w:lang w:val="ru-RU"/>
        </w:rPr>
        <w:tab/>
      </w:r>
      <w:r w:rsidRPr="00FE3CC7">
        <w:rPr>
          <w:rFonts w:eastAsiaTheme="minorHAnsi"/>
          <w:lang w:val="ru-RU"/>
        </w:rPr>
        <w:t>в соответствии с Резолюцией </w:t>
      </w:r>
      <w:r w:rsidRPr="00FE3CC7">
        <w:rPr>
          <w:b/>
          <w:bCs/>
          <w:lang w:val="ru-RU"/>
        </w:rPr>
        <w:t>131</w:t>
      </w:r>
      <w:r w:rsidRPr="00FE3CC7">
        <w:rPr>
          <w:b/>
          <w:lang w:val="ru-RU"/>
        </w:rPr>
        <w:t xml:space="preserve"> (ВКР</w:t>
      </w:r>
      <w:r w:rsidRPr="00FE3CC7">
        <w:rPr>
          <w:b/>
          <w:lang w:val="ru-RU"/>
        </w:rPr>
        <w:noBreakHyphen/>
        <w:t>23)</w:t>
      </w:r>
      <w:r w:rsidRPr="00FE3CC7">
        <w:rPr>
          <w:bCs/>
          <w:lang w:val="ru-RU"/>
        </w:rPr>
        <w:t xml:space="preserve"> </w:t>
      </w:r>
      <w:r w:rsidRPr="00FE3CC7">
        <w:rPr>
          <w:rFonts w:eastAsiaTheme="minorHAnsi"/>
          <w:bCs/>
          <w:lang w:val="ru-RU"/>
        </w:rPr>
        <w:t xml:space="preserve">рассмотреть </w:t>
      </w:r>
      <w:r w:rsidRPr="00FE3CC7">
        <w:rPr>
          <w:rFonts w:eastAsiaTheme="minorHAnsi"/>
          <w:lang w:val="ru-RU"/>
        </w:rPr>
        <w:t xml:space="preserve">технические и </w:t>
      </w:r>
      <w:proofErr w:type="spellStart"/>
      <w:r w:rsidRPr="00FE3CC7">
        <w:rPr>
          <w:rFonts w:eastAsiaTheme="minorHAnsi"/>
          <w:lang w:val="ru-RU"/>
        </w:rPr>
        <w:t>регламентарные</w:t>
      </w:r>
      <w:proofErr w:type="spellEnd"/>
      <w:r w:rsidRPr="00FE3CC7">
        <w:rPr>
          <w:rFonts w:eastAsiaTheme="minorHAnsi"/>
          <w:lang w:val="ru-RU"/>
        </w:rPr>
        <w:t xml:space="preserve"> меры для спутниковых сетей/систем фиксированной спутниковой службы в полосах частот </w:t>
      </w:r>
      <w:r w:rsidRPr="00FE3CC7">
        <w:rPr>
          <w:lang w:val="ru-RU"/>
        </w:rPr>
        <w:t>37,5−42,5 ГГц (космос-Земля), 42,5−43,5 ГГц (Земля-космос), 47,2−50,2 ГГц (Земля-космос) и 50,4−51,4 ГГц (Земля-космос) в целях обеспечения справедливого доступа к этим полосам частот;</w:t>
      </w:r>
    </w:p>
    <w:p w14:paraId="2237A42B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1.7</w:t>
      </w:r>
      <w:r w:rsidRPr="00FE3CC7">
        <w:rPr>
          <w:lang w:val="ru-RU"/>
        </w:rPr>
        <w:tab/>
        <w:t xml:space="preserve">в соответствии с Резолюцией </w:t>
      </w:r>
      <w:r w:rsidRPr="00FE3CC7">
        <w:rPr>
          <w:b/>
          <w:bCs/>
          <w:lang w:val="ru-RU"/>
        </w:rPr>
        <w:t>256 (ВКР</w:t>
      </w:r>
      <w:r w:rsidRPr="00FE3CC7">
        <w:rPr>
          <w:b/>
          <w:bCs/>
          <w:lang w:val="ru-RU"/>
        </w:rPr>
        <w:noBreakHyphen/>
        <w:t>23)</w:t>
      </w:r>
      <w:r w:rsidRPr="00FE3CC7">
        <w:rPr>
          <w:lang w:val="ru-RU"/>
        </w:rPr>
        <w:t xml:space="preserve"> рассмотреть результаты исследований совместного использования частот и совместимости и разработать технические условия для использования Международной подвижной электросвязи (IMT) в полосах частот 4400−4800 МГц и 7125−8400 МГц, или ее частях, а также 14,8−15,35 ГГц с учетом существующих первичных служб, работающих в тех же самых и соседних полосах частот;</w:t>
      </w:r>
    </w:p>
    <w:p w14:paraId="4BA1D532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1.8</w:t>
      </w:r>
      <w:r w:rsidRPr="00FE3CC7">
        <w:rPr>
          <w:lang w:val="ru-RU"/>
        </w:rPr>
        <w:tab/>
        <w:t>в соответствии с Резолюцией </w:t>
      </w:r>
      <w:r w:rsidRPr="00FE3CC7">
        <w:rPr>
          <w:rStyle w:val="Strong"/>
          <w:lang w:val="ru-RU"/>
        </w:rPr>
        <w:t>663 (</w:t>
      </w:r>
      <w:proofErr w:type="spellStart"/>
      <w:r w:rsidRPr="00FE3CC7">
        <w:rPr>
          <w:rStyle w:val="Strong"/>
          <w:lang w:val="ru-RU"/>
        </w:rPr>
        <w:t>Пересм</w:t>
      </w:r>
      <w:proofErr w:type="spellEnd"/>
      <w:r w:rsidRPr="00FE3CC7">
        <w:rPr>
          <w:rStyle w:val="Strong"/>
          <w:lang w:val="ru-RU"/>
        </w:rPr>
        <w:t>. ВКР</w:t>
      </w:r>
      <w:r w:rsidRPr="00FE3CC7">
        <w:rPr>
          <w:rStyle w:val="Strong"/>
          <w:lang w:val="ru-RU"/>
        </w:rPr>
        <w:noBreakHyphen/>
        <w:t>23)</w:t>
      </w:r>
      <w:r w:rsidRPr="00FE3CC7">
        <w:rPr>
          <w:lang w:val="ru-RU"/>
        </w:rPr>
        <w:t xml:space="preserve"> рассмотреть возможные дополнительные распределения спектра радиолокационной службе на первичной основе в диапазоне частот </w:t>
      </w:r>
      <w:proofErr w:type="gramStart"/>
      <w:r w:rsidRPr="00FE3CC7">
        <w:rPr>
          <w:lang w:val="ru-RU"/>
        </w:rPr>
        <w:t>231,5−275</w:t>
      </w:r>
      <w:proofErr w:type="gramEnd"/>
      <w:r w:rsidRPr="00FE3CC7">
        <w:rPr>
          <w:lang w:val="ru-RU"/>
        </w:rPr>
        <w:t> ГГц и возможные новые определения для применений радиолокационной службы в полосах частот в рамках диапазона частот 275−700 ГГц для систем формирования изображений миллиметрового и субмиллиметрового диапазонов;</w:t>
      </w:r>
    </w:p>
    <w:p w14:paraId="1A7CB542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1.9</w:t>
      </w:r>
      <w:r w:rsidRPr="00FE3CC7">
        <w:rPr>
          <w:lang w:val="ru-RU"/>
        </w:rPr>
        <w:tab/>
      </w:r>
      <w:r w:rsidRPr="00FE3CC7">
        <w:rPr>
          <w:szCs w:val="24"/>
          <w:lang w:val="ru-RU"/>
        </w:rPr>
        <w:t>в соответствии с Резолюцией </w:t>
      </w:r>
      <w:r w:rsidRPr="00FE3CC7">
        <w:rPr>
          <w:b/>
          <w:bCs/>
          <w:szCs w:val="24"/>
          <w:lang w:val="ru-RU"/>
        </w:rPr>
        <w:t>411</w:t>
      </w:r>
      <w:r w:rsidRPr="00FE3CC7">
        <w:rPr>
          <w:szCs w:val="24"/>
          <w:lang w:val="ru-RU"/>
        </w:rPr>
        <w:t xml:space="preserve"> (</w:t>
      </w:r>
      <w:r w:rsidRPr="00FE3CC7">
        <w:rPr>
          <w:b/>
          <w:szCs w:val="24"/>
          <w:lang w:val="ru-RU"/>
        </w:rPr>
        <w:t>ВКР</w:t>
      </w:r>
      <w:r w:rsidRPr="00FE3CC7">
        <w:rPr>
          <w:b/>
          <w:szCs w:val="24"/>
          <w:lang w:val="ru-RU"/>
        </w:rPr>
        <w:noBreakHyphen/>
        <w:t xml:space="preserve">23) </w:t>
      </w:r>
      <w:r w:rsidRPr="00FE3CC7">
        <w:rPr>
          <w:szCs w:val="24"/>
          <w:lang w:val="ru-RU"/>
        </w:rPr>
        <w:t xml:space="preserve">рассмотреть соответствующие </w:t>
      </w:r>
      <w:proofErr w:type="spellStart"/>
      <w:r w:rsidRPr="00FE3CC7">
        <w:rPr>
          <w:szCs w:val="24"/>
          <w:lang w:val="ru-RU"/>
        </w:rPr>
        <w:t>регламентарные</w:t>
      </w:r>
      <w:proofErr w:type="spellEnd"/>
      <w:r w:rsidRPr="00FE3CC7">
        <w:rPr>
          <w:szCs w:val="24"/>
          <w:lang w:val="ru-RU"/>
        </w:rPr>
        <w:t xml:space="preserve"> меры по обновлению Приложения </w:t>
      </w:r>
      <w:r w:rsidRPr="00FE3CC7">
        <w:rPr>
          <w:b/>
          <w:bCs/>
          <w:szCs w:val="24"/>
          <w:lang w:val="ru-RU"/>
        </w:rPr>
        <w:t>26</w:t>
      </w:r>
      <w:r w:rsidRPr="00FE3CC7">
        <w:rPr>
          <w:szCs w:val="24"/>
          <w:lang w:val="ru-RU"/>
        </w:rPr>
        <w:t xml:space="preserve"> к Регламенту радиосвязи в поддержку модернизации использования высоких частот в воздушной подвижной (OR) службе;</w:t>
      </w:r>
    </w:p>
    <w:p w14:paraId="3D427380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1.10</w:t>
      </w:r>
      <w:r w:rsidRPr="00FE3CC7">
        <w:rPr>
          <w:lang w:val="ru-RU"/>
        </w:rPr>
        <w:tab/>
        <w:t>в соответствии с Резолюцией </w:t>
      </w:r>
      <w:r w:rsidRPr="00FE3CC7">
        <w:rPr>
          <w:b/>
          <w:lang w:val="ru-RU"/>
        </w:rPr>
        <w:t>775 (</w:t>
      </w:r>
      <w:proofErr w:type="spellStart"/>
      <w:r w:rsidRPr="00FE3CC7">
        <w:rPr>
          <w:b/>
          <w:lang w:val="ru-RU"/>
        </w:rPr>
        <w:t>Пересм</w:t>
      </w:r>
      <w:proofErr w:type="spellEnd"/>
      <w:r w:rsidRPr="00FE3CC7">
        <w:rPr>
          <w:b/>
          <w:lang w:val="ru-RU"/>
        </w:rPr>
        <w:t>. ВКР</w:t>
      </w:r>
      <w:r w:rsidRPr="00FE3CC7">
        <w:rPr>
          <w:b/>
          <w:lang w:val="ru-RU"/>
        </w:rPr>
        <w:noBreakHyphen/>
        <w:t>23)</w:t>
      </w:r>
      <w:r w:rsidRPr="00FE3CC7">
        <w:rPr>
          <w:bCs/>
          <w:lang w:val="ru-RU"/>
        </w:rPr>
        <w:t xml:space="preserve"> рассмотреть возможность </w:t>
      </w:r>
      <w:r w:rsidRPr="00FE3CC7">
        <w:rPr>
          <w:lang w:val="ru-RU"/>
        </w:rPr>
        <w:t>разработки пределов плотности потока мощности и эквивалентной изотропно излучаемой мощности, применимых к фиксированной спутниковой, подвижной спутниковой и радиовещательной спутниковой службам, для включения в Статью </w:t>
      </w:r>
      <w:r w:rsidRPr="00FE3CC7">
        <w:rPr>
          <w:b/>
          <w:bCs/>
          <w:lang w:val="ru-RU"/>
        </w:rPr>
        <w:t>21</w:t>
      </w:r>
      <w:r w:rsidRPr="00FE3CC7">
        <w:rPr>
          <w:lang w:val="ru-RU"/>
        </w:rPr>
        <w:t xml:space="preserve"> Регламента радиосвязи в целях защиты фиксированной и подвижной служб в полосах частот 71−76 ГГц и 81−86 ГГц;</w:t>
      </w:r>
    </w:p>
    <w:p w14:paraId="3955DD20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1.11</w:t>
      </w:r>
      <w:r w:rsidRPr="00FE3CC7">
        <w:rPr>
          <w:lang w:val="ru-RU"/>
        </w:rPr>
        <w:tab/>
        <w:t>в соответствии с Резолюцией </w:t>
      </w:r>
      <w:r w:rsidRPr="00FE3CC7">
        <w:rPr>
          <w:b/>
          <w:bCs/>
          <w:lang w:val="ru-RU"/>
        </w:rPr>
        <w:t>249</w:t>
      </w:r>
      <w:r w:rsidRPr="00FE3CC7">
        <w:rPr>
          <w:lang w:val="ru-RU"/>
        </w:rPr>
        <w:t xml:space="preserve"> (</w:t>
      </w:r>
      <w:proofErr w:type="spellStart"/>
      <w:r w:rsidRPr="00FE3CC7">
        <w:rPr>
          <w:b/>
          <w:bCs/>
          <w:lang w:val="ru-RU"/>
        </w:rPr>
        <w:t>Пересм</w:t>
      </w:r>
      <w:proofErr w:type="spellEnd"/>
      <w:r w:rsidRPr="00FE3CC7">
        <w:rPr>
          <w:b/>
          <w:bCs/>
          <w:lang w:val="ru-RU"/>
        </w:rPr>
        <w:t>. ВКР-23</w:t>
      </w:r>
      <w:r w:rsidRPr="00FE3CC7">
        <w:rPr>
          <w:lang w:val="ru-RU"/>
        </w:rPr>
        <w:t xml:space="preserve">) рассмотреть технические и эксплуатационные вопросы, а также </w:t>
      </w:r>
      <w:proofErr w:type="spellStart"/>
      <w:r w:rsidRPr="00FE3CC7">
        <w:rPr>
          <w:lang w:val="ru-RU"/>
        </w:rPr>
        <w:t>регламентарные</w:t>
      </w:r>
      <w:proofErr w:type="spellEnd"/>
      <w:r w:rsidRPr="00FE3CC7">
        <w:rPr>
          <w:lang w:val="ru-RU"/>
        </w:rPr>
        <w:t xml:space="preserve"> положения, касающиеся линий связи космос</w:t>
      </w:r>
      <w:r w:rsidRPr="00FE3CC7">
        <w:rPr>
          <w:lang w:val="ru-RU"/>
        </w:rPr>
        <w:noBreakHyphen/>
        <w:t>космос между негеостационарными и геостационарными спутниками в полосах частот 1518−1544 МГц, 1545−1559 МГц, 1610−1645,5 МГц, 1646,5−1660 МГц, 1670–1675 МГц и 2483,5−2500 МГц, распределенных подвижной спутниковой службе;</w:t>
      </w:r>
    </w:p>
    <w:p w14:paraId="2E10F67C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1.12</w:t>
      </w:r>
      <w:r w:rsidRPr="00FE3CC7">
        <w:rPr>
          <w:lang w:val="ru-RU"/>
        </w:rPr>
        <w:tab/>
        <w:t>в соответствии с Резолюцией </w:t>
      </w:r>
      <w:r w:rsidRPr="00FE3CC7">
        <w:rPr>
          <w:b/>
          <w:lang w:val="ru-RU"/>
        </w:rPr>
        <w:t>252 (ВКР</w:t>
      </w:r>
      <w:r w:rsidRPr="00FE3CC7">
        <w:rPr>
          <w:b/>
          <w:lang w:val="ru-RU"/>
        </w:rPr>
        <w:noBreakHyphen/>
        <w:t>23)</w:t>
      </w:r>
      <w:r w:rsidRPr="00FE3CC7">
        <w:rPr>
          <w:color w:val="000000"/>
          <w:lang w:val="ru-RU"/>
        </w:rPr>
        <w:t xml:space="preserve"> рассмотреть на основе результатов исследований вопрос о возможных новых распределениях подвижной спутниковой службе и возможных </w:t>
      </w:r>
      <w:proofErr w:type="spellStart"/>
      <w:r w:rsidRPr="00FE3CC7">
        <w:rPr>
          <w:color w:val="000000"/>
          <w:lang w:val="ru-RU"/>
        </w:rPr>
        <w:t>регламентарных</w:t>
      </w:r>
      <w:proofErr w:type="spellEnd"/>
      <w:r w:rsidRPr="00FE3CC7">
        <w:rPr>
          <w:color w:val="000000"/>
          <w:lang w:val="ru-RU"/>
        </w:rPr>
        <w:t xml:space="preserve"> мерах в полосах частот </w:t>
      </w:r>
      <w:r w:rsidRPr="00FE3CC7">
        <w:rPr>
          <w:lang w:val="ru-RU"/>
        </w:rPr>
        <w:t>1427−1432 МГц (космос-Земля), 1645,5−1646,5 МГц (космос</w:t>
      </w:r>
      <w:r w:rsidRPr="00FE3CC7">
        <w:rPr>
          <w:lang w:val="ru-RU"/>
        </w:rPr>
        <w:noBreakHyphen/>
        <w:t>Земля) (Земля-космос), 1880−1920 МГц (космос-Земля) (Земля</w:t>
      </w:r>
      <w:r w:rsidRPr="00FE3CC7">
        <w:rPr>
          <w:lang w:val="ru-RU"/>
        </w:rPr>
        <w:noBreakHyphen/>
        <w:t xml:space="preserve">космос) и 2010−2025 МГц (космос-Земля) (Земля-космос), которые </w:t>
      </w:r>
      <w:r w:rsidRPr="00FE3CC7">
        <w:rPr>
          <w:color w:val="000000"/>
          <w:lang w:val="ru-RU"/>
        </w:rPr>
        <w:t>необходимы для будущего развития негеостационарных систем подвижной спутниковой службы с низкой скоростью передачи данных</w:t>
      </w:r>
      <w:r w:rsidRPr="00FE3CC7">
        <w:rPr>
          <w:lang w:val="ru-RU"/>
        </w:rPr>
        <w:t>;</w:t>
      </w:r>
    </w:p>
    <w:p w14:paraId="5BCCAF10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1.13</w:t>
      </w:r>
      <w:r w:rsidRPr="00FE3CC7">
        <w:rPr>
          <w:lang w:val="ru-RU"/>
        </w:rPr>
        <w:tab/>
        <w:t>в соответствии с Резолюцией </w:t>
      </w:r>
      <w:r w:rsidRPr="00FE3CC7">
        <w:rPr>
          <w:b/>
          <w:bCs/>
          <w:lang w:val="ru-RU"/>
        </w:rPr>
        <w:t>253 (ВКР-23)</w:t>
      </w:r>
      <w:r w:rsidRPr="00FE3CC7">
        <w:rPr>
          <w:lang w:val="ru-RU"/>
        </w:rPr>
        <w:t xml:space="preserve"> рассмотреть результаты исследований возможных новых распределений подвижной спутниковой службе для </w:t>
      </w:r>
      <w:r w:rsidRPr="00FE3CC7">
        <w:rPr>
          <w:rFonts w:eastAsia="Times New Roman Bold"/>
          <w:bCs/>
          <w:szCs w:val="26"/>
          <w:lang w:val="ru-RU"/>
        </w:rPr>
        <w:t>прямого подключения между космическими станциями и пользовательским оборудованием Международной подвижной электросвязи (IMT) в дополнение к покрытию наземных сетей IMT</w:t>
      </w:r>
      <w:r w:rsidRPr="00FE3CC7">
        <w:rPr>
          <w:lang w:val="ru-RU"/>
        </w:rPr>
        <w:t>;</w:t>
      </w:r>
    </w:p>
    <w:p w14:paraId="5664E59B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1.14</w:t>
      </w:r>
      <w:r w:rsidRPr="00FE3CC7">
        <w:rPr>
          <w:lang w:val="ru-RU"/>
        </w:rPr>
        <w:tab/>
      </w:r>
      <w:r w:rsidRPr="00FE3CC7">
        <w:rPr>
          <w:rFonts w:eastAsiaTheme="minorHAnsi"/>
          <w:bCs/>
          <w:lang w:val="ru-RU"/>
        </w:rPr>
        <w:t>в соответствии с Резолюцией</w:t>
      </w:r>
      <w:r w:rsidRPr="00FE3CC7">
        <w:rPr>
          <w:lang w:val="ru-RU"/>
        </w:rPr>
        <w:t> </w:t>
      </w:r>
      <w:r w:rsidRPr="00FE3CC7">
        <w:rPr>
          <w:b/>
          <w:lang w:val="ru-RU"/>
        </w:rPr>
        <w:t>254 (ВКР</w:t>
      </w:r>
      <w:r w:rsidRPr="00FE3CC7">
        <w:rPr>
          <w:b/>
          <w:lang w:val="ru-RU"/>
        </w:rPr>
        <w:noBreakHyphen/>
        <w:t>23)</w:t>
      </w:r>
      <w:r w:rsidRPr="00FE3CC7">
        <w:rPr>
          <w:lang w:val="ru-RU"/>
        </w:rPr>
        <w:t xml:space="preserve"> рассмотреть возможные дополнительные распределения подвижной спутниковой службе;</w:t>
      </w:r>
    </w:p>
    <w:p w14:paraId="77C9619E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1.15</w:t>
      </w:r>
      <w:r w:rsidRPr="00FE3CC7">
        <w:rPr>
          <w:lang w:val="ru-RU"/>
        </w:rPr>
        <w:tab/>
      </w:r>
      <w:r w:rsidRPr="00FE3CC7">
        <w:rPr>
          <w:bCs/>
          <w:lang w:val="ru-RU"/>
        </w:rPr>
        <w:t>в соответствии с Резолюцией </w:t>
      </w:r>
      <w:r w:rsidRPr="00FE3CC7">
        <w:rPr>
          <w:b/>
          <w:bCs/>
          <w:lang w:val="ru-RU"/>
        </w:rPr>
        <w:t>680 (ВКР-23)</w:t>
      </w:r>
      <w:r w:rsidRPr="00FE3CC7">
        <w:rPr>
          <w:lang w:val="ru-RU"/>
        </w:rPr>
        <w:t xml:space="preserve"> рассмотреть результаты исследований связанных с частотами вопросов, включая возможные новые или измененные распределения службе космических исследований (космос-космос), в целях будущего развития связи на лунной поверхности и связи между системами на лунной орбите и лунной поверхности;</w:t>
      </w:r>
    </w:p>
    <w:p w14:paraId="03B2E356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lastRenderedPageBreak/>
        <w:t>1.16</w:t>
      </w:r>
      <w:r w:rsidRPr="00FE3CC7">
        <w:rPr>
          <w:lang w:val="ru-RU"/>
        </w:rPr>
        <w:tab/>
        <w:t>в соответствии с Резолюцией </w:t>
      </w:r>
      <w:r w:rsidRPr="00FE3CC7">
        <w:rPr>
          <w:b/>
          <w:lang w:val="ru-RU"/>
        </w:rPr>
        <w:t>681 (ВКР</w:t>
      </w:r>
      <w:r w:rsidRPr="00FE3CC7">
        <w:rPr>
          <w:b/>
          <w:lang w:val="ru-RU"/>
        </w:rPr>
        <w:noBreakHyphen/>
        <w:t>23)</w:t>
      </w:r>
      <w:r w:rsidRPr="00FE3CC7">
        <w:rPr>
          <w:lang w:val="ru-RU"/>
        </w:rPr>
        <w:t xml:space="preserve"> рассмотреть результаты исследований технических и </w:t>
      </w:r>
      <w:proofErr w:type="spellStart"/>
      <w:r w:rsidRPr="00FE3CC7">
        <w:rPr>
          <w:lang w:val="ru-RU"/>
        </w:rPr>
        <w:t>регламентарных</w:t>
      </w:r>
      <w:proofErr w:type="spellEnd"/>
      <w:r w:rsidRPr="00FE3CC7">
        <w:rPr>
          <w:lang w:val="ru-RU"/>
        </w:rPr>
        <w:t xml:space="preserve"> положений, необходимых для защиты радиоастрономической службы, работающей в конкретных зонах радиомолчания и в полосах частот, распределенных радиоастрономической службе на первичной основе в глобальном масштабе, от суммарных радиочастотных помех, создаваемых спутниковыми системами на негеостационарной спутниковой орбите;</w:t>
      </w:r>
    </w:p>
    <w:p w14:paraId="00C81451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1.17</w:t>
      </w:r>
      <w:r w:rsidRPr="00FE3CC7">
        <w:rPr>
          <w:lang w:val="ru-RU"/>
        </w:rPr>
        <w:tab/>
      </w:r>
      <w:r w:rsidRPr="00FE3CC7">
        <w:rPr>
          <w:lang w:val="ru-RU" w:bidi="ru-RU"/>
        </w:rPr>
        <w:t>в соответствии с Резолюцией </w:t>
      </w:r>
      <w:r w:rsidRPr="00FE3CC7">
        <w:rPr>
          <w:b/>
          <w:lang w:val="ru-RU" w:bidi="ru-RU"/>
        </w:rPr>
        <w:t>682 (ВКР-23)</w:t>
      </w:r>
      <w:r w:rsidRPr="00FE3CC7">
        <w:rPr>
          <w:bCs/>
          <w:lang w:val="ru-RU" w:bidi="ru-RU"/>
        </w:rPr>
        <w:t xml:space="preserve"> </w:t>
      </w:r>
      <w:r w:rsidRPr="00FE3CC7">
        <w:rPr>
          <w:lang w:val="ru-RU" w:bidi="ru-RU"/>
        </w:rPr>
        <w:t xml:space="preserve">рассмотреть </w:t>
      </w:r>
      <w:proofErr w:type="spellStart"/>
      <w:r w:rsidRPr="00FE3CC7">
        <w:rPr>
          <w:lang w:val="ru-RU" w:bidi="ru-RU"/>
        </w:rPr>
        <w:t>регламентарные</w:t>
      </w:r>
      <w:proofErr w:type="spellEnd"/>
      <w:r w:rsidRPr="00FE3CC7">
        <w:rPr>
          <w:lang w:val="ru-RU" w:bidi="ru-RU"/>
        </w:rPr>
        <w:t xml:space="preserve"> положения в отношении датчиков космической погоды, работающих только в режиме приема, и их защиты в Регламенте радиосвязи с учетом результатов исследований Сектора радиосвязи МСЭ</w:t>
      </w:r>
      <w:r w:rsidRPr="00FE3CC7">
        <w:rPr>
          <w:lang w:val="ru-RU"/>
        </w:rPr>
        <w:t>;</w:t>
      </w:r>
    </w:p>
    <w:p w14:paraId="16C01223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1.18</w:t>
      </w:r>
      <w:r w:rsidRPr="00FE3CC7">
        <w:rPr>
          <w:lang w:val="ru-RU"/>
        </w:rPr>
        <w:tab/>
      </w:r>
      <w:r w:rsidRPr="00FE3CC7">
        <w:rPr>
          <w:color w:val="000000"/>
          <w:lang w:val="ru-RU"/>
        </w:rPr>
        <w:t>в соответствии с Резолюцией</w:t>
      </w:r>
      <w:r w:rsidRPr="00FE3CC7">
        <w:rPr>
          <w:lang w:val="ru-RU"/>
        </w:rPr>
        <w:t xml:space="preserve"> </w:t>
      </w:r>
      <w:r w:rsidRPr="00FE3CC7">
        <w:rPr>
          <w:b/>
          <w:lang w:val="ru-RU"/>
        </w:rPr>
        <w:t>712</w:t>
      </w:r>
      <w:r w:rsidRPr="00FE3CC7">
        <w:rPr>
          <w:lang w:val="ru-RU"/>
        </w:rPr>
        <w:t xml:space="preserve"> </w:t>
      </w:r>
      <w:r w:rsidRPr="00FE3CC7">
        <w:rPr>
          <w:b/>
          <w:lang w:val="ru-RU"/>
        </w:rPr>
        <w:t>(ВКР</w:t>
      </w:r>
      <w:r w:rsidRPr="00FE3CC7">
        <w:rPr>
          <w:b/>
          <w:lang w:val="ru-RU"/>
        </w:rPr>
        <w:noBreakHyphen/>
        <w:t>23)</w:t>
      </w:r>
      <w:r w:rsidRPr="00FE3CC7">
        <w:rPr>
          <w:bCs/>
          <w:lang w:val="ru-RU"/>
        </w:rPr>
        <w:t xml:space="preserve"> </w:t>
      </w:r>
      <w:r w:rsidRPr="00FE3CC7">
        <w:rPr>
          <w:color w:val="000000"/>
          <w:lang w:val="ru-RU"/>
        </w:rPr>
        <w:t xml:space="preserve">рассмотреть на основе результатов исследований Сектора радиосвязи </w:t>
      </w:r>
      <w:r w:rsidRPr="00FE3CC7">
        <w:rPr>
          <w:lang w:val="ru-RU"/>
        </w:rPr>
        <w:t xml:space="preserve">МСЭ </w:t>
      </w:r>
      <w:r w:rsidRPr="00FE3CC7">
        <w:rPr>
          <w:color w:val="000000"/>
          <w:lang w:val="ru-RU"/>
        </w:rPr>
        <w:t xml:space="preserve">возможные </w:t>
      </w:r>
      <w:proofErr w:type="spellStart"/>
      <w:r w:rsidRPr="00FE3CC7">
        <w:rPr>
          <w:color w:val="000000"/>
          <w:lang w:val="ru-RU"/>
        </w:rPr>
        <w:t>регламентарные</w:t>
      </w:r>
      <w:proofErr w:type="spellEnd"/>
      <w:r w:rsidRPr="00FE3CC7">
        <w:rPr>
          <w:color w:val="000000"/>
          <w:lang w:val="ru-RU"/>
        </w:rPr>
        <w:t xml:space="preserve"> меры по защите спутниковой службы исследования Земли (пассивной) </w:t>
      </w:r>
      <w:r w:rsidRPr="00FE3CC7">
        <w:rPr>
          <w:lang w:val="ru-RU"/>
        </w:rPr>
        <w:t xml:space="preserve">и </w:t>
      </w:r>
      <w:r w:rsidRPr="00FE3CC7">
        <w:rPr>
          <w:color w:val="000000"/>
          <w:lang w:val="ru-RU"/>
        </w:rPr>
        <w:t>радиоастрономической службы</w:t>
      </w:r>
      <w:r w:rsidRPr="00FE3CC7">
        <w:rPr>
          <w:lang w:val="ru-RU"/>
        </w:rPr>
        <w:t xml:space="preserve"> </w:t>
      </w:r>
      <w:r w:rsidRPr="00FE3CC7">
        <w:rPr>
          <w:color w:val="000000"/>
          <w:lang w:val="ru-RU"/>
        </w:rPr>
        <w:t>в некоторых полосах частот выше 76 ГГц от нежелательных излучений активных служб</w:t>
      </w:r>
      <w:r w:rsidRPr="00FE3CC7">
        <w:rPr>
          <w:lang w:val="ru-RU"/>
        </w:rPr>
        <w:t>;</w:t>
      </w:r>
    </w:p>
    <w:p w14:paraId="618490B8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1.19</w:t>
      </w:r>
      <w:r w:rsidRPr="00FE3CC7">
        <w:rPr>
          <w:lang w:val="ru-RU"/>
        </w:rPr>
        <w:tab/>
        <w:t xml:space="preserve">в соответствии с Резолюцией </w:t>
      </w:r>
      <w:r w:rsidRPr="00FE3CC7">
        <w:rPr>
          <w:b/>
          <w:lang w:val="ru-RU"/>
        </w:rPr>
        <w:t>674</w:t>
      </w:r>
      <w:r w:rsidRPr="00FE3CC7">
        <w:rPr>
          <w:lang w:val="ru-RU"/>
        </w:rPr>
        <w:t xml:space="preserve"> </w:t>
      </w:r>
      <w:r w:rsidRPr="00FE3CC7">
        <w:rPr>
          <w:b/>
          <w:lang w:val="ru-RU"/>
        </w:rPr>
        <w:t>(ВКР</w:t>
      </w:r>
      <w:r w:rsidRPr="00FE3CC7">
        <w:rPr>
          <w:b/>
          <w:lang w:val="ru-RU"/>
        </w:rPr>
        <w:noBreakHyphen/>
        <w:t>23)</w:t>
      </w:r>
      <w:r w:rsidRPr="00FE3CC7">
        <w:rPr>
          <w:bCs/>
          <w:lang w:val="ru-RU"/>
        </w:rPr>
        <w:t xml:space="preserve"> </w:t>
      </w:r>
      <w:r w:rsidRPr="00FE3CC7">
        <w:rPr>
          <w:lang w:val="ru-RU"/>
        </w:rPr>
        <w:t>рассмотреть возможные первичные распределения во всех Районах спутниковой службе исследования Земли (пассивной) в полосах частот 4200–4400 МГц и 8400–8500 МГц,</w:t>
      </w:r>
    </w:p>
    <w:p w14:paraId="35B0DD8A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2</w:t>
      </w:r>
      <w:r w:rsidRPr="00FE3CC7">
        <w:rPr>
          <w:lang w:val="ru-RU"/>
        </w:rPr>
        <w:tab/>
        <w:t xml:space="preserve">в соответствии с разделом </w:t>
      </w:r>
      <w:r w:rsidRPr="00FE3CC7">
        <w:rPr>
          <w:i/>
          <w:iCs/>
          <w:lang w:val="ru-RU"/>
        </w:rPr>
        <w:t>решает далее</w:t>
      </w:r>
      <w:r w:rsidRPr="00FE3CC7">
        <w:rPr>
          <w:lang w:val="ru-RU"/>
        </w:rPr>
        <w:t xml:space="preserve"> Резолюции </w:t>
      </w:r>
      <w:r w:rsidRPr="00FE3CC7">
        <w:rPr>
          <w:b/>
          <w:bCs/>
          <w:lang w:val="ru-RU"/>
        </w:rPr>
        <w:t>27 (</w:t>
      </w:r>
      <w:proofErr w:type="spellStart"/>
      <w:r w:rsidRPr="00FE3CC7">
        <w:rPr>
          <w:b/>
          <w:bCs/>
          <w:lang w:val="ru-RU"/>
        </w:rPr>
        <w:t>Пересм</w:t>
      </w:r>
      <w:proofErr w:type="spellEnd"/>
      <w:r w:rsidRPr="00FE3CC7">
        <w:rPr>
          <w:b/>
          <w:bCs/>
          <w:lang w:val="ru-RU"/>
        </w:rPr>
        <w:t>. ВКР-19)</w:t>
      </w:r>
      <w:r w:rsidRPr="00FE3CC7">
        <w:rPr>
          <w:lang w:val="ru-RU"/>
        </w:rPr>
        <w:t xml:space="preserve"> рассмотреть пересмотренные Рекомендации </w:t>
      </w:r>
      <w:r w:rsidRPr="00FE3CC7">
        <w:rPr>
          <w:color w:val="000000"/>
          <w:lang w:val="ru-RU"/>
        </w:rPr>
        <w:t>Сектора радиосвязи</w:t>
      </w:r>
      <w:r w:rsidRPr="00FE3CC7">
        <w:rPr>
          <w:lang w:val="ru-RU"/>
        </w:rPr>
        <w:t xml:space="preserve"> МСЭ,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</w:t>
      </w:r>
      <w:proofErr w:type="gramStart"/>
      <w:r w:rsidRPr="00FE3CC7">
        <w:rPr>
          <w:lang w:val="ru-RU"/>
        </w:rPr>
        <w:t>в разделе</w:t>
      </w:r>
      <w:proofErr w:type="gramEnd"/>
      <w:r w:rsidRPr="00FE3CC7">
        <w:rPr>
          <w:lang w:val="ru-RU"/>
        </w:rPr>
        <w:t xml:space="preserve"> </w:t>
      </w:r>
      <w:r w:rsidRPr="00FE3CC7">
        <w:rPr>
          <w:i/>
          <w:iCs/>
          <w:lang w:val="ru-RU"/>
        </w:rPr>
        <w:t>решает</w:t>
      </w:r>
      <w:r w:rsidRPr="00FE3CC7">
        <w:rPr>
          <w:lang w:val="ru-RU"/>
        </w:rPr>
        <w:t xml:space="preserve"> этой Резолюции;</w:t>
      </w:r>
    </w:p>
    <w:p w14:paraId="5D2FCE7F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3</w:t>
      </w:r>
      <w:r w:rsidRPr="00FE3CC7">
        <w:rPr>
          <w:lang w:val="ru-RU"/>
        </w:rPr>
        <w:tab/>
        <w:t>рассмотреть логически вытекающие изменения и поправки к Регламенту радиосвязи, которые могут потребоваться в связи с решениями Конференции;</w:t>
      </w:r>
    </w:p>
    <w:p w14:paraId="0E11D666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4</w:t>
      </w:r>
      <w:r w:rsidRPr="00FE3CC7">
        <w:rPr>
          <w:lang w:val="ru-RU"/>
        </w:rPr>
        <w:tab/>
        <w:t>в соответствии с Резолюцией </w:t>
      </w:r>
      <w:r w:rsidRPr="00FE3CC7">
        <w:rPr>
          <w:b/>
          <w:bCs/>
          <w:lang w:val="ru-RU"/>
        </w:rPr>
        <w:t>95 (</w:t>
      </w:r>
      <w:proofErr w:type="spellStart"/>
      <w:r w:rsidRPr="00FE3CC7">
        <w:rPr>
          <w:b/>
          <w:bCs/>
          <w:lang w:val="ru-RU"/>
        </w:rPr>
        <w:t>Пересм</w:t>
      </w:r>
      <w:proofErr w:type="spellEnd"/>
      <w:r w:rsidRPr="00FE3CC7">
        <w:rPr>
          <w:b/>
          <w:bCs/>
          <w:lang w:val="ru-RU"/>
        </w:rPr>
        <w:t>. ВКР-19)</w:t>
      </w:r>
      <w:r w:rsidRPr="00FE3CC7">
        <w:rPr>
          <w:lang w:val="ru-RU"/>
        </w:rPr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14:paraId="5D5ACEFC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5</w:t>
      </w:r>
      <w:r w:rsidRPr="00FE3CC7">
        <w:rPr>
          <w:lang w:val="ru-RU"/>
        </w:rPr>
        <w:tab/>
        <w:t xml:space="preserve">рассмотреть Отчет Ассамблеи радиосвязи, представленный в соответствии с </w:t>
      </w:r>
      <w:proofErr w:type="spellStart"/>
      <w:r w:rsidRPr="00FE3CC7">
        <w:rPr>
          <w:lang w:val="ru-RU"/>
        </w:rPr>
        <w:t>пп</w:t>
      </w:r>
      <w:proofErr w:type="spellEnd"/>
      <w:r w:rsidRPr="00FE3CC7">
        <w:rPr>
          <w:lang w:val="ru-RU"/>
        </w:rPr>
        <w:t>. 135 и 136 Конвенции МСЭ, и принять надлежащие меры;</w:t>
      </w:r>
    </w:p>
    <w:p w14:paraId="7FC381C5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6</w:t>
      </w:r>
      <w:r w:rsidRPr="00FE3CC7">
        <w:rPr>
          <w:lang w:val="ru-RU"/>
        </w:rPr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14:paraId="0A5655CF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7</w:t>
      </w:r>
      <w:r w:rsidRPr="00FE3CC7">
        <w:rPr>
          <w:lang w:val="ru-RU"/>
        </w:rPr>
        <w:tab/>
        <w:t>рассмотреть возможные изменения в связи с Резолюцией 86 (</w:t>
      </w:r>
      <w:proofErr w:type="spellStart"/>
      <w:r w:rsidRPr="00FE3CC7">
        <w:rPr>
          <w:lang w:val="ru-RU"/>
        </w:rPr>
        <w:t>Пересм</w:t>
      </w:r>
      <w:proofErr w:type="spellEnd"/>
      <w:r w:rsidRPr="00FE3CC7">
        <w:rPr>
          <w:lang w:val="ru-RU"/>
        </w:rPr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FE3CC7">
        <w:rPr>
          <w:b/>
          <w:bCs/>
          <w:lang w:val="ru-RU"/>
        </w:rPr>
        <w:t>86 (</w:t>
      </w:r>
      <w:proofErr w:type="spellStart"/>
      <w:r w:rsidRPr="00FE3CC7">
        <w:rPr>
          <w:b/>
          <w:bCs/>
          <w:lang w:val="ru-RU"/>
        </w:rPr>
        <w:t>Пересм</w:t>
      </w:r>
      <w:proofErr w:type="spellEnd"/>
      <w:r w:rsidRPr="00FE3CC7">
        <w:rPr>
          <w:b/>
          <w:bCs/>
          <w:lang w:val="ru-RU"/>
        </w:rPr>
        <w:t>. ВКР-07)</w:t>
      </w:r>
      <w:r w:rsidRPr="00FE3CC7">
        <w:rPr>
          <w:lang w:val="ru-RU"/>
        </w:rPr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D26A7C3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8</w:t>
      </w:r>
      <w:r w:rsidRPr="00FE3CC7">
        <w:rPr>
          <w:lang w:val="ru-RU"/>
        </w:rPr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FE3CC7">
        <w:rPr>
          <w:b/>
          <w:bCs/>
          <w:lang w:val="ru-RU"/>
        </w:rPr>
        <w:t>26 (</w:t>
      </w:r>
      <w:proofErr w:type="spellStart"/>
      <w:r w:rsidRPr="00FE3CC7">
        <w:rPr>
          <w:b/>
          <w:bCs/>
          <w:lang w:val="ru-RU"/>
        </w:rPr>
        <w:t>Пересм</w:t>
      </w:r>
      <w:proofErr w:type="spellEnd"/>
      <w:r w:rsidRPr="00FE3CC7">
        <w:rPr>
          <w:b/>
          <w:bCs/>
          <w:lang w:val="ru-RU"/>
        </w:rPr>
        <w:t>. ВКР-23)</w:t>
      </w:r>
      <w:r w:rsidRPr="00FE3CC7">
        <w:rPr>
          <w:lang w:val="ru-RU"/>
        </w:rPr>
        <w:t>, и принять по ним надлежащие меры;</w:t>
      </w:r>
    </w:p>
    <w:p w14:paraId="3EFEBB35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9</w:t>
      </w:r>
      <w:r w:rsidRPr="00FE3CC7">
        <w:rPr>
          <w:lang w:val="ru-RU"/>
        </w:rPr>
        <w:tab/>
        <w:t>рассмотреть и утвердить Отчет Директора Бюро радиосвязи в соответствии со Статьей 7 Конвенции МСЭ;</w:t>
      </w:r>
    </w:p>
    <w:p w14:paraId="4D60B226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9.1</w:t>
      </w:r>
      <w:r w:rsidRPr="00FE3CC7">
        <w:rPr>
          <w:lang w:val="ru-RU"/>
        </w:rPr>
        <w:tab/>
        <w:t>о деятельности Сектора радиосвязи МСЭ в период после ВКР</w:t>
      </w:r>
      <w:r w:rsidRPr="00FE3CC7">
        <w:rPr>
          <w:lang w:val="ru-RU"/>
        </w:rPr>
        <w:noBreakHyphen/>
        <w:t>23</w:t>
      </w:r>
      <w:r w:rsidRPr="00FE3CC7">
        <w:rPr>
          <w:rStyle w:val="FootnoteReference"/>
          <w:lang w:val="ru-RU"/>
        </w:rPr>
        <w:footnoteReference w:customMarkFollows="1" w:id="2"/>
        <w:t>1</w:t>
      </w:r>
      <w:r w:rsidRPr="00FE3CC7">
        <w:rPr>
          <w:lang w:val="ru-RU"/>
        </w:rPr>
        <w:t>;</w:t>
      </w:r>
    </w:p>
    <w:p w14:paraId="119F4A1A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lastRenderedPageBreak/>
        <w:t>9.2</w:t>
      </w:r>
      <w:r w:rsidRPr="00FE3CC7">
        <w:rPr>
          <w:lang w:val="ru-RU"/>
        </w:rPr>
        <w:tab/>
        <w:t>о наличии любых трудностей или противоречий, встречающихся при применении Регламента радиосвязи</w:t>
      </w:r>
      <w:r w:rsidRPr="00FE3CC7">
        <w:rPr>
          <w:rStyle w:val="FootnoteReference"/>
          <w:lang w:val="ru-RU"/>
        </w:rPr>
        <w:footnoteReference w:customMarkFollows="1" w:id="3"/>
        <w:t>2</w:t>
      </w:r>
      <w:r w:rsidRPr="00FE3CC7">
        <w:rPr>
          <w:lang w:val="ru-RU"/>
        </w:rPr>
        <w:t>; и</w:t>
      </w:r>
    </w:p>
    <w:p w14:paraId="26EA894F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9.3</w:t>
      </w:r>
      <w:r w:rsidRPr="00FE3CC7">
        <w:rPr>
          <w:lang w:val="ru-RU"/>
        </w:rPr>
        <w:tab/>
        <w:t>о мерах, принятых во исполнение Резолюции </w:t>
      </w:r>
      <w:r w:rsidRPr="00FE3CC7">
        <w:rPr>
          <w:b/>
          <w:bCs/>
          <w:lang w:val="ru-RU"/>
        </w:rPr>
        <w:t>80 (</w:t>
      </w:r>
      <w:proofErr w:type="spellStart"/>
      <w:r w:rsidRPr="00FE3CC7">
        <w:rPr>
          <w:b/>
          <w:bCs/>
          <w:lang w:val="ru-RU"/>
        </w:rPr>
        <w:t>Пересм</w:t>
      </w:r>
      <w:proofErr w:type="spellEnd"/>
      <w:r w:rsidRPr="00FE3CC7">
        <w:rPr>
          <w:b/>
          <w:bCs/>
          <w:lang w:val="ru-RU"/>
        </w:rPr>
        <w:t>. ВКР-07)</w:t>
      </w:r>
      <w:r w:rsidRPr="00FE3CC7">
        <w:rPr>
          <w:lang w:val="ru-RU"/>
        </w:rPr>
        <w:t>;</w:t>
      </w:r>
    </w:p>
    <w:p w14:paraId="0EA26894" w14:textId="77777777" w:rsidR="001F39B1" w:rsidRPr="00FE3CC7" w:rsidRDefault="001F39B1" w:rsidP="001F39B1">
      <w:pPr>
        <w:rPr>
          <w:lang w:val="ru-RU"/>
        </w:rPr>
      </w:pPr>
      <w:r w:rsidRPr="00FE3CC7">
        <w:rPr>
          <w:lang w:val="ru-RU"/>
        </w:rPr>
        <w:t>10</w:t>
      </w:r>
      <w:r w:rsidRPr="00FE3CC7">
        <w:rPr>
          <w:lang w:val="ru-RU"/>
        </w:rPr>
        <w:tab/>
        <w:t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 7 Конвенции МСЭ и Резолюцией </w:t>
      </w:r>
      <w:r w:rsidRPr="00FE3CC7">
        <w:rPr>
          <w:b/>
          <w:bCs/>
          <w:iCs/>
          <w:lang w:val="ru-RU"/>
        </w:rPr>
        <w:t>804 (</w:t>
      </w:r>
      <w:proofErr w:type="spellStart"/>
      <w:r w:rsidRPr="00FE3CC7">
        <w:rPr>
          <w:b/>
          <w:bCs/>
          <w:lang w:val="ru-RU"/>
        </w:rPr>
        <w:t>Пересм</w:t>
      </w:r>
      <w:proofErr w:type="spellEnd"/>
      <w:r w:rsidRPr="00FE3CC7">
        <w:rPr>
          <w:b/>
          <w:bCs/>
          <w:lang w:val="ru-RU"/>
        </w:rPr>
        <w:t>. ВКР-23</w:t>
      </w:r>
      <w:r w:rsidRPr="00FE3CC7">
        <w:rPr>
          <w:b/>
          <w:bCs/>
          <w:iCs/>
          <w:lang w:val="ru-RU"/>
        </w:rPr>
        <w:t>)</w:t>
      </w:r>
      <w:r w:rsidRPr="00FE3CC7">
        <w:rPr>
          <w:lang w:val="ru-RU"/>
        </w:rPr>
        <w:t>.</w:t>
      </w:r>
    </w:p>
    <w:p w14:paraId="0B8B9735" w14:textId="0417D4BC" w:rsidR="00FD1931" w:rsidRPr="00FE3CC7" w:rsidRDefault="00FD1931" w:rsidP="005909AB">
      <w:pPr>
        <w:rPr>
          <w:lang w:val="ru-RU"/>
        </w:rPr>
      </w:pPr>
      <w:r w:rsidRPr="00FE3CC7">
        <w:rPr>
          <w:lang w:val="ru-RU"/>
        </w:rPr>
        <w:br w:type="page"/>
      </w:r>
    </w:p>
    <w:bookmarkStart w:id="9" w:name="AnnexE"/>
    <w:p w14:paraId="65B52CA9" w14:textId="050CF5E0" w:rsidR="00FD1931" w:rsidRPr="00FE3CC7" w:rsidRDefault="00FF2126" w:rsidP="00FD1931">
      <w:pPr>
        <w:pStyle w:val="AnnexNo"/>
        <w:rPr>
          <w:lang w:val="ru-RU"/>
        </w:rPr>
      </w:pPr>
      <w:r>
        <w:lastRenderedPageBreak/>
        <w:fldChar w:fldCharType="begin"/>
      </w:r>
      <w:r w:rsidRPr="00F16A0D">
        <w:rPr>
          <w:lang w:val="ru-RU"/>
        </w:rPr>
        <w:instrText xml:space="preserve"> </w:instrText>
      </w:r>
      <w:r>
        <w:instrText>HYPERLINK</w:instrText>
      </w:r>
      <w:r w:rsidRPr="00F16A0D">
        <w:rPr>
          <w:lang w:val="ru-RU"/>
        </w:rPr>
        <w:instrText xml:space="preserve"> \</w:instrText>
      </w:r>
      <w:r>
        <w:instrText>l</w:instrText>
      </w:r>
      <w:r w:rsidRPr="00F16A0D">
        <w:rPr>
          <w:lang w:val="ru-RU"/>
        </w:rPr>
        <w:instrText xml:space="preserve"> "</w:instrText>
      </w:r>
      <w:r>
        <w:instrText>Annex</w:instrText>
      </w:r>
      <w:r w:rsidRPr="00F16A0D">
        <w:rPr>
          <w:lang w:val="ru-RU"/>
        </w:rPr>
        <w:instrText xml:space="preserve">3" </w:instrText>
      </w:r>
      <w:r>
        <w:fldChar w:fldCharType="separate"/>
      </w:r>
      <w:r w:rsidR="00FD1931" w:rsidRPr="00FE3CC7">
        <w:rPr>
          <w:lang w:val="ru-RU"/>
        </w:rPr>
        <w:t>Приложение E</w:t>
      </w:r>
      <w:r>
        <w:rPr>
          <w:lang w:val="ru-RU"/>
        </w:rPr>
        <w:fldChar w:fldCharType="end"/>
      </w:r>
      <w:bookmarkEnd w:id="9"/>
    </w:p>
    <w:p w14:paraId="63E87FFF" w14:textId="77777777" w:rsidR="00FD1931" w:rsidRPr="00FE3CC7" w:rsidRDefault="00FD1931" w:rsidP="00FD1931">
      <w:pPr>
        <w:pStyle w:val="ResNo"/>
        <w:rPr>
          <w:lang w:val="ru-RU"/>
        </w:rPr>
      </w:pPr>
      <w:r w:rsidRPr="00FE3CC7">
        <w:rPr>
          <w:lang w:val="ru-RU"/>
        </w:rPr>
        <w:t>РЕШЕНИе 640</w:t>
      </w:r>
    </w:p>
    <w:p w14:paraId="6983441C" w14:textId="77777777" w:rsidR="00FD1931" w:rsidRPr="00FE3CC7" w:rsidRDefault="00FD1931" w:rsidP="00FD1931">
      <w:pPr>
        <w:pStyle w:val="Resref"/>
        <w:rPr>
          <w:b/>
          <w:lang w:val="ru-RU"/>
        </w:rPr>
      </w:pPr>
      <w:r w:rsidRPr="00FE3CC7">
        <w:rPr>
          <w:lang w:val="ru-RU"/>
        </w:rPr>
        <w:t>(принято на десятом пленарном заседании)</w:t>
      </w:r>
    </w:p>
    <w:p w14:paraId="6BD8C448" w14:textId="77777777" w:rsidR="00FD1931" w:rsidRPr="00FE3CC7" w:rsidRDefault="00FD1931" w:rsidP="00FD1931">
      <w:pPr>
        <w:pStyle w:val="Restitle"/>
        <w:rPr>
          <w:lang w:val="ru-RU"/>
        </w:rPr>
      </w:pPr>
      <w:r w:rsidRPr="00FE3CC7">
        <w:rPr>
          <w:lang w:val="ru-RU"/>
        </w:rPr>
        <w:t>Альтернативный проект помещений штаб-квартиры МСЭ с переоценкой</w:t>
      </w:r>
    </w:p>
    <w:p w14:paraId="75EEDD63" w14:textId="77777777" w:rsidR="00FD1931" w:rsidRPr="00FE3CC7" w:rsidRDefault="00FD1931" w:rsidP="005909AB">
      <w:pPr>
        <w:pStyle w:val="Normalaftertitle"/>
        <w:rPr>
          <w:lang w:val="ru-RU"/>
        </w:rPr>
      </w:pPr>
      <w:r w:rsidRPr="00FE3CC7">
        <w:rPr>
          <w:lang w:val="ru-RU"/>
        </w:rPr>
        <w:t>Совет МСЭ,</w:t>
      </w:r>
    </w:p>
    <w:p w14:paraId="67B01A12" w14:textId="77777777" w:rsidR="00FD1931" w:rsidRPr="00FE3CC7" w:rsidRDefault="00FD1931" w:rsidP="00FD1931">
      <w:pPr>
        <w:pStyle w:val="Call"/>
        <w:rPr>
          <w:lang w:val="ru-RU"/>
        </w:rPr>
      </w:pPr>
      <w:r w:rsidRPr="00FE3CC7">
        <w:rPr>
          <w:lang w:val="ru-RU"/>
        </w:rPr>
        <w:t>напоминая</w:t>
      </w:r>
    </w:p>
    <w:p w14:paraId="69E50F29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Резолюцию 212 (</w:t>
      </w:r>
      <w:proofErr w:type="spellStart"/>
      <w:r w:rsidRPr="00FE3CC7">
        <w:rPr>
          <w:lang w:val="ru-RU"/>
        </w:rPr>
        <w:t>Пересм</w:t>
      </w:r>
      <w:proofErr w:type="spellEnd"/>
      <w:r w:rsidRPr="00FE3CC7">
        <w:rPr>
          <w:lang w:val="ru-RU"/>
        </w:rPr>
        <w:t>. Бухарест, 2022 г.) Полномочной конференции о будущих помещениях штаб-квартиры Союза и Решения 588 и 619 Совета о помещениях штаб-квартиры,</w:t>
      </w:r>
    </w:p>
    <w:p w14:paraId="138383F2" w14:textId="77777777" w:rsidR="00FD1931" w:rsidRPr="00FE3CC7" w:rsidRDefault="00FD1931" w:rsidP="00FD1931">
      <w:pPr>
        <w:pStyle w:val="Call"/>
        <w:rPr>
          <w:i w:val="0"/>
          <w:iCs/>
          <w:lang w:val="ru-RU"/>
        </w:rPr>
      </w:pPr>
      <w:r w:rsidRPr="00FE3CC7">
        <w:rPr>
          <w:lang w:val="ru-RU"/>
        </w:rPr>
        <w:t>признавая</w:t>
      </w:r>
      <w:r w:rsidRPr="00FE3CC7">
        <w:rPr>
          <w:i w:val="0"/>
          <w:iCs/>
          <w:lang w:val="ru-RU"/>
        </w:rPr>
        <w:t>,</w:t>
      </w:r>
    </w:p>
    <w:p w14:paraId="37698B8B" w14:textId="77777777" w:rsidR="00FD1931" w:rsidRPr="00FE3CC7" w:rsidRDefault="00FD1931" w:rsidP="00FD1931">
      <w:pPr>
        <w:rPr>
          <w:lang w:val="ru-RU"/>
        </w:rPr>
      </w:pPr>
      <w:r w:rsidRPr="00FE3CC7">
        <w:rPr>
          <w:i/>
          <w:iCs/>
          <w:lang w:val="ru-RU"/>
        </w:rPr>
        <w:t>a)</w:t>
      </w:r>
      <w:r w:rsidRPr="00FE3CC7">
        <w:rPr>
          <w:lang w:val="ru-RU"/>
        </w:rPr>
        <w:tab/>
        <w:t>что предложения, представленные в отношении назначения генерального подрядчика для проекта по помещениям штаб-квартиры, значительно превышают утвержденный бюджет в размере 172,69 </w:t>
      </w:r>
      <w:proofErr w:type="gramStart"/>
      <w:r w:rsidRPr="00FE3CC7">
        <w:rPr>
          <w:lang w:val="ru-RU"/>
        </w:rPr>
        <w:t>млн.</w:t>
      </w:r>
      <w:proofErr w:type="gramEnd"/>
      <w:r w:rsidRPr="00FE3CC7">
        <w:rPr>
          <w:lang w:val="ru-RU"/>
        </w:rPr>
        <w:t xml:space="preserve"> швейцарских франков;</w:t>
      </w:r>
    </w:p>
    <w:p w14:paraId="671B28EA" w14:textId="77777777" w:rsidR="00FD1931" w:rsidRPr="00FE3CC7" w:rsidRDefault="00FD1931" w:rsidP="00FD1931">
      <w:pPr>
        <w:rPr>
          <w:lang w:val="ru-RU"/>
        </w:rPr>
      </w:pPr>
      <w:r w:rsidRPr="00FE3CC7">
        <w:rPr>
          <w:i/>
          <w:iCs/>
          <w:lang w:val="ru-RU"/>
        </w:rPr>
        <w:t>b)</w:t>
      </w:r>
      <w:r w:rsidRPr="00FE3CC7">
        <w:rPr>
          <w:lang w:val="ru-RU"/>
        </w:rPr>
        <w:tab/>
        <w:t>что два призыва о добровольных взносах и дополнительной спонсорской поддержке не вызвали какой-либо заинтересованности;</w:t>
      </w:r>
    </w:p>
    <w:p w14:paraId="17FD758C" w14:textId="77777777" w:rsidR="00FD1931" w:rsidRPr="00FE3CC7" w:rsidRDefault="00FD1931" w:rsidP="00FD1931">
      <w:pPr>
        <w:rPr>
          <w:lang w:val="ru-RU"/>
        </w:rPr>
      </w:pPr>
      <w:r w:rsidRPr="00FE3CC7">
        <w:rPr>
          <w:i/>
          <w:iCs/>
          <w:lang w:val="ru-RU"/>
        </w:rPr>
        <w:t>c)</w:t>
      </w:r>
      <w:r w:rsidRPr="00FE3CC7">
        <w:rPr>
          <w:lang w:val="ru-RU"/>
        </w:rPr>
        <w:tab/>
        <w:t>настоятельную необходимость принять решение о замене здания "</w:t>
      </w:r>
      <w:proofErr w:type="spellStart"/>
      <w:r w:rsidRPr="00FE3CC7">
        <w:rPr>
          <w:lang w:val="ru-RU"/>
        </w:rPr>
        <w:t>Варембе</w:t>
      </w:r>
      <w:proofErr w:type="spellEnd"/>
      <w:r w:rsidRPr="00FE3CC7">
        <w:rPr>
          <w:lang w:val="ru-RU"/>
        </w:rPr>
        <w:t>", срок службы которого подходит к концу,</w:t>
      </w:r>
    </w:p>
    <w:p w14:paraId="71933BD8" w14:textId="77777777" w:rsidR="00FD1931" w:rsidRPr="00FE3CC7" w:rsidRDefault="00FD1931" w:rsidP="00FD1931">
      <w:pPr>
        <w:pStyle w:val="Call"/>
        <w:rPr>
          <w:lang w:val="ru-RU"/>
        </w:rPr>
      </w:pPr>
      <w:r w:rsidRPr="00FE3CC7">
        <w:rPr>
          <w:lang w:val="ru-RU"/>
        </w:rPr>
        <w:t>отмечая</w:t>
      </w:r>
    </w:p>
    <w:p w14:paraId="386BD251" w14:textId="77777777" w:rsidR="00FD1931" w:rsidRPr="00FE3CC7" w:rsidRDefault="00FD1931" w:rsidP="00FD1931">
      <w:pPr>
        <w:rPr>
          <w:lang w:val="ru-RU"/>
        </w:rPr>
      </w:pPr>
      <w:r w:rsidRPr="00FE3CC7">
        <w:rPr>
          <w:i/>
          <w:iCs/>
          <w:lang w:val="ru-RU"/>
        </w:rPr>
        <w:t>a)</w:t>
      </w:r>
      <w:r w:rsidRPr="00FE3CC7">
        <w:rPr>
          <w:lang w:val="ru-RU"/>
        </w:rPr>
        <w:tab/>
        <w:t>предложение Генерального секретаря об альтернативном проекте с переоценкой, в котором учитываются потребности Членов и сотрудников МСЭ в рамках текущего бюджета, как это отражено в Таблице 4 Документа </w:t>
      </w:r>
      <w:proofErr w:type="spellStart"/>
      <w:r w:rsidR="005759E8">
        <w:fldChar w:fldCharType="begin"/>
      </w:r>
      <w:r w:rsidR="005759E8" w:rsidRPr="005759E8">
        <w:rPr>
          <w:lang w:val="ru-RU"/>
        </w:rPr>
        <w:instrText xml:space="preserve"> </w:instrText>
      </w:r>
      <w:r w:rsidR="005759E8">
        <w:instrText>HYPERLINK</w:instrText>
      </w:r>
      <w:r w:rsidR="005759E8" w:rsidRPr="005759E8">
        <w:rPr>
          <w:lang w:val="ru-RU"/>
        </w:rPr>
        <w:instrText xml:space="preserve"> "</w:instrText>
      </w:r>
      <w:r w:rsidR="005759E8">
        <w:instrText>https</w:instrText>
      </w:r>
      <w:r w:rsidR="005759E8" w:rsidRPr="005759E8">
        <w:rPr>
          <w:lang w:val="ru-RU"/>
        </w:rPr>
        <w:instrText>://</w:instrText>
      </w:r>
      <w:r w:rsidR="005759E8">
        <w:instrText>www</w:instrText>
      </w:r>
      <w:r w:rsidR="005759E8" w:rsidRPr="005759E8">
        <w:rPr>
          <w:lang w:val="ru-RU"/>
        </w:rPr>
        <w:instrText>.</w:instrText>
      </w:r>
      <w:r w:rsidR="005759E8">
        <w:instrText>itu</w:instrText>
      </w:r>
      <w:r w:rsidR="005759E8" w:rsidRPr="005759E8">
        <w:rPr>
          <w:lang w:val="ru-RU"/>
        </w:rPr>
        <w:instrText>.</w:instrText>
      </w:r>
      <w:r w:rsidR="005759E8">
        <w:instrText>int</w:instrText>
      </w:r>
      <w:r w:rsidR="005759E8" w:rsidRPr="005759E8">
        <w:rPr>
          <w:lang w:val="ru-RU"/>
        </w:rPr>
        <w:instrText>/</w:instrText>
      </w:r>
      <w:r w:rsidR="005759E8">
        <w:instrText>md</w:instrText>
      </w:r>
      <w:r w:rsidR="005759E8" w:rsidRPr="005759E8">
        <w:rPr>
          <w:lang w:val="ru-RU"/>
        </w:rPr>
        <w:instrText>/</w:instrText>
      </w:r>
      <w:r w:rsidR="005759E8">
        <w:instrText>S</w:instrText>
      </w:r>
      <w:r w:rsidR="005759E8" w:rsidRPr="005759E8">
        <w:rPr>
          <w:lang w:val="ru-RU"/>
        </w:rPr>
        <w:instrText>24-</w:instrText>
      </w:r>
      <w:r w:rsidR="005759E8">
        <w:instrText>CL</w:instrText>
      </w:r>
      <w:r w:rsidR="005759E8" w:rsidRPr="005759E8">
        <w:rPr>
          <w:lang w:val="ru-RU"/>
        </w:rPr>
        <w:instrText>-</w:instrText>
      </w:r>
      <w:r w:rsidR="005759E8">
        <w:instrText>C</w:instrText>
      </w:r>
      <w:r w:rsidR="005759E8" w:rsidRPr="005759E8">
        <w:rPr>
          <w:lang w:val="ru-RU"/>
        </w:rPr>
        <w:instrText>-0007/</w:instrText>
      </w:r>
      <w:r w:rsidR="005759E8">
        <w:instrText>en</w:instrText>
      </w:r>
      <w:r w:rsidR="005759E8" w:rsidRPr="005759E8">
        <w:rPr>
          <w:lang w:val="ru-RU"/>
        </w:rPr>
        <w:instrText xml:space="preserve">" </w:instrText>
      </w:r>
      <w:r w:rsidR="005759E8">
        <w:fldChar w:fldCharType="separate"/>
      </w:r>
      <w:r w:rsidRPr="00FE3CC7">
        <w:rPr>
          <w:rStyle w:val="Hyperlink"/>
          <w:lang w:val="ru-RU"/>
        </w:rPr>
        <w:t>C24</w:t>
      </w:r>
      <w:proofErr w:type="spellEnd"/>
      <w:r w:rsidRPr="00FE3CC7">
        <w:rPr>
          <w:rStyle w:val="Hyperlink"/>
          <w:lang w:val="ru-RU"/>
        </w:rPr>
        <w:t>/7</w:t>
      </w:r>
      <w:r w:rsidR="005759E8">
        <w:rPr>
          <w:rStyle w:val="Hyperlink"/>
          <w:lang w:val="ru-RU"/>
        </w:rPr>
        <w:fldChar w:fldCharType="end"/>
      </w:r>
      <w:r w:rsidRPr="00FE3CC7">
        <w:rPr>
          <w:lang w:val="ru-RU"/>
        </w:rPr>
        <w:t xml:space="preserve"> Совета;</w:t>
      </w:r>
    </w:p>
    <w:p w14:paraId="1B704937" w14:textId="77777777" w:rsidR="00FD1931" w:rsidRPr="00FE3CC7" w:rsidRDefault="00FD1931" w:rsidP="00FD1931">
      <w:pPr>
        <w:rPr>
          <w:lang w:val="ru-RU"/>
        </w:rPr>
      </w:pPr>
      <w:r w:rsidRPr="00FE3CC7">
        <w:rPr>
          <w:i/>
          <w:iCs/>
          <w:lang w:val="ru-RU"/>
        </w:rPr>
        <w:t>b)</w:t>
      </w:r>
      <w:r w:rsidRPr="00FE3CC7">
        <w:rPr>
          <w:lang w:val="ru-RU"/>
        </w:rPr>
        <w:tab/>
        <w:t>отчеты Консультативной группы Государств-Членов (КГГЧ) и Председателя Рабочей группы Совета по финансовым и людским ресурсам (РГС-ФЛР) сессии Совета 2024 года в поддержку предложенного Генеральным секретарем альтернативного проекта с переоценкой,</w:t>
      </w:r>
    </w:p>
    <w:p w14:paraId="3DB58A03" w14:textId="77777777" w:rsidR="00FD1931" w:rsidRPr="00FE3CC7" w:rsidRDefault="00FD1931" w:rsidP="00FD1931">
      <w:pPr>
        <w:pStyle w:val="Call"/>
        <w:rPr>
          <w:i w:val="0"/>
          <w:iCs/>
          <w:lang w:val="ru-RU"/>
        </w:rPr>
      </w:pPr>
      <w:r w:rsidRPr="00FE3CC7">
        <w:rPr>
          <w:lang w:val="ru-RU"/>
        </w:rPr>
        <w:t>решает</w:t>
      </w:r>
    </w:p>
    <w:p w14:paraId="787C766B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утвердить, при условии согласия большинства Государств – Членов МСЭ в соответствии с п. 79 Конвенции, альтернативный проект с переоценкой, бюджет которого не должен превышать 172,69 </w:t>
      </w:r>
      <w:proofErr w:type="gramStart"/>
      <w:r w:rsidRPr="00FE3CC7">
        <w:rPr>
          <w:lang w:val="ru-RU"/>
        </w:rPr>
        <w:t>млн.</w:t>
      </w:r>
      <w:proofErr w:type="gramEnd"/>
      <w:r w:rsidRPr="00FE3CC7">
        <w:rPr>
          <w:lang w:val="ru-RU"/>
        </w:rPr>
        <w:t xml:space="preserve"> швейцарских франков,</w:t>
      </w:r>
    </w:p>
    <w:p w14:paraId="59D7E533" w14:textId="77777777" w:rsidR="00FD1931" w:rsidRPr="00FE3CC7" w:rsidRDefault="00FD1931" w:rsidP="00FD1931">
      <w:pPr>
        <w:pStyle w:val="Call"/>
        <w:rPr>
          <w:lang w:val="ru-RU"/>
        </w:rPr>
      </w:pPr>
      <w:r w:rsidRPr="00FE3CC7">
        <w:rPr>
          <w:lang w:val="ru-RU"/>
        </w:rPr>
        <w:t>поручает Генеральному секретарю при условии вышеуказанного согласия большинства Государств – Членов МСЭ</w:t>
      </w:r>
    </w:p>
    <w:p w14:paraId="4A80B8F5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1</w:t>
      </w:r>
      <w:r w:rsidRPr="00FE3CC7">
        <w:rPr>
          <w:lang w:val="ru-RU"/>
        </w:rPr>
        <w:tab/>
        <w:t>предпринять все необходимые шаги для реализации альтернативного проекта с переоценкой, чтобы удовлетворить потребности Членов и сотрудников МСЭ, как это отражено в Приложении;</w:t>
      </w:r>
    </w:p>
    <w:p w14:paraId="47446A44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2</w:t>
      </w:r>
      <w:r w:rsidRPr="00FE3CC7">
        <w:rPr>
          <w:lang w:val="ru-RU"/>
        </w:rPr>
        <w:tab/>
        <w:t>обратиться к стране пребывания и принять необходимые меры для перепрофилирования ссуды в размере 150 </w:t>
      </w:r>
      <w:proofErr w:type="gramStart"/>
      <w:r w:rsidRPr="00FE3CC7">
        <w:rPr>
          <w:lang w:val="ru-RU"/>
        </w:rPr>
        <w:t>млн.</w:t>
      </w:r>
      <w:proofErr w:type="gramEnd"/>
      <w:r w:rsidRPr="00FE3CC7">
        <w:rPr>
          <w:lang w:val="ru-RU"/>
        </w:rPr>
        <w:t xml:space="preserve"> швейцарских франков для альтернативного проекта с переоценкой;</w:t>
      </w:r>
    </w:p>
    <w:p w14:paraId="26AD95AF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3</w:t>
      </w:r>
      <w:r w:rsidRPr="00FE3CC7">
        <w:rPr>
          <w:lang w:val="ru-RU"/>
        </w:rPr>
        <w:tab/>
        <w:t>взаимодействовать со спонсорами и заинтересованными сторонами с целью сохранения обязательств по предоставлению спонсорской поддержки и других договоренностей, как указано в Резолюции 212 (</w:t>
      </w:r>
      <w:proofErr w:type="spellStart"/>
      <w:r w:rsidRPr="00FE3CC7">
        <w:rPr>
          <w:lang w:val="ru-RU"/>
        </w:rPr>
        <w:t>Пересм</w:t>
      </w:r>
      <w:proofErr w:type="spellEnd"/>
      <w:r w:rsidRPr="00FE3CC7">
        <w:rPr>
          <w:lang w:val="ru-RU"/>
        </w:rPr>
        <w:t>. Бухарест, 2022 г.), и поиска взаимоприемлемых решений для выполнения обязательств, которые могут оказаться невыполнимыми в рамках альтернативного проекта с переоценкой;</w:t>
      </w:r>
    </w:p>
    <w:p w14:paraId="6C543263" w14:textId="77777777" w:rsidR="00FD1931" w:rsidRPr="00FE3CC7" w:rsidRDefault="00FD1931" w:rsidP="00FD1931">
      <w:pPr>
        <w:keepNext/>
        <w:keepLines/>
        <w:rPr>
          <w:lang w:val="ru-RU"/>
        </w:rPr>
      </w:pPr>
      <w:r w:rsidRPr="00FE3CC7">
        <w:rPr>
          <w:lang w:val="ru-RU"/>
        </w:rPr>
        <w:lastRenderedPageBreak/>
        <w:t>4</w:t>
      </w:r>
      <w:r w:rsidRPr="00FE3CC7">
        <w:rPr>
          <w:lang w:val="ru-RU"/>
        </w:rPr>
        <w:tab/>
        <w:t>обеспечить, чтобы концепция и реализация альтернативного проекта с переоценкой соответствовала потребностям Союза, путем проведения консультаций с КГГЧ и предоставления КГГЧ информации, необходимой для того, чтобы:</w:t>
      </w:r>
    </w:p>
    <w:p w14:paraId="751DFBAB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a)</w:t>
      </w:r>
      <w:r w:rsidRPr="00FE3CC7">
        <w:rPr>
          <w:lang w:val="ru-RU"/>
        </w:rPr>
        <w:tab/>
        <w:t>представлять консультации и рекомендации общего характера относительно реализации проекта, с тем чтобы обеспечивать соблюдение сроков и исполнение бюджета (не выходить за рамки 172,69 </w:t>
      </w:r>
      <w:proofErr w:type="gramStart"/>
      <w:r w:rsidRPr="00FE3CC7">
        <w:rPr>
          <w:lang w:val="ru-RU"/>
        </w:rPr>
        <w:t>млн.</w:t>
      </w:r>
      <w:proofErr w:type="gramEnd"/>
      <w:r w:rsidRPr="00FE3CC7">
        <w:rPr>
          <w:lang w:val="ru-RU"/>
        </w:rPr>
        <w:t xml:space="preserve"> швейцарских франков);</w:t>
      </w:r>
    </w:p>
    <w:p w14:paraId="1A4CCB21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b)</w:t>
      </w:r>
      <w:r w:rsidRPr="00FE3CC7">
        <w:rPr>
          <w:lang w:val="ru-RU"/>
        </w:rPr>
        <w:tab/>
        <w:t>предоставлять руководящие указания относительно любых изменений в финансировании в результате экономии или любых возможных изменений спонсорской поддержки или пожертвований;</w:t>
      </w:r>
    </w:p>
    <w:p w14:paraId="0F197C25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c)</w:t>
      </w:r>
      <w:r w:rsidRPr="00FE3CC7">
        <w:rPr>
          <w:lang w:val="ru-RU"/>
        </w:rPr>
        <w:tab/>
        <w:t>предоставить руководящие указания по взаимодействию со спонсорами и заинтересованными сторонами;</w:t>
      </w:r>
    </w:p>
    <w:p w14:paraId="5FBC5209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5</w:t>
      </w:r>
      <w:r w:rsidRPr="00FE3CC7">
        <w:rPr>
          <w:lang w:val="ru-RU"/>
        </w:rPr>
        <w:tab/>
        <w:t>регулярно представлять КГГЧ, РГС-ФЛР и Совету обновленную информацию о ходе выполнения мероприятий, указанных в Приложении, соблюдая при этом правила закупок;</w:t>
      </w:r>
    </w:p>
    <w:p w14:paraId="56A3FEC2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6</w:t>
      </w:r>
      <w:r w:rsidRPr="00FE3CC7">
        <w:rPr>
          <w:lang w:val="ru-RU"/>
        </w:rPr>
        <w:tab/>
        <w:t>продолжать консультации с КГГЧ на протяжении всего процесса проектирования и строительства, соблюдая при этом правила закупок;</w:t>
      </w:r>
    </w:p>
    <w:p w14:paraId="6C7129FF" w14:textId="77777777" w:rsidR="00FD1931" w:rsidRPr="00FE3CC7" w:rsidRDefault="00FD1931" w:rsidP="00FD1931">
      <w:pPr>
        <w:keepNext/>
        <w:keepLines/>
        <w:rPr>
          <w:lang w:val="ru-RU"/>
        </w:rPr>
      </w:pPr>
      <w:r w:rsidRPr="00FE3CC7">
        <w:rPr>
          <w:lang w:val="ru-RU"/>
        </w:rPr>
        <w:t>7</w:t>
      </w:r>
      <w:r w:rsidRPr="00FE3CC7">
        <w:rPr>
          <w:lang w:val="ru-RU"/>
        </w:rPr>
        <w:tab/>
        <w:t>подготовить оценку и стратегический план на основе консультаций с соответствующими внутренними заинтересованными сторонами, включая Совет персонала МСЭ, а также представить на сессии РГС-ФЛР в январе 2025 года первоначальный проект долгосрочной концепции всего комплекса зданий МСЭ в Женеве, учитывая, как минимум, следующие факторы:</w:t>
      </w:r>
    </w:p>
    <w:p w14:paraId="4C650D74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a)</w:t>
      </w:r>
      <w:r w:rsidRPr="00FE3CC7">
        <w:rPr>
          <w:lang w:val="ru-RU"/>
        </w:rPr>
        <w:tab/>
        <w:t>общее финансовое воздействие и устойчивость комплекса зданий МСЭ в Женеве;</w:t>
      </w:r>
    </w:p>
    <w:p w14:paraId="5BC1F1AE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b)</w:t>
      </w:r>
      <w:r w:rsidRPr="00FE3CC7">
        <w:rPr>
          <w:lang w:val="ru-RU"/>
        </w:rPr>
        <w:tab/>
        <w:t>требования к безопасности и защите;</w:t>
      </w:r>
    </w:p>
    <w:p w14:paraId="3A61988C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c)</w:t>
      </w:r>
      <w:r w:rsidRPr="00FE3CC7">
        <w:rPr>
          <w:lang w:val="ru-RU"/>
        </w:rPr>
        <w:tab/>
        <w:t>требования к управлению и эксплуатационные требования;</w:t>
      </w:r>
    </w:p>
    <w:p w14:paraId="4D2601C2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d)</w:t>
      </w:r>
      <w:r w:rsidRPr="00FE3CC7">
        <w:rPr>
          <w:lang w:val="ru-RU"/>
        </w:rPr>
        <w:tab/>
        <w:t>оптимизация использования всех помещений;</w:t>
      </w:r>
    </w:p>
    <w:p w14:paraId="461E5395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e)</w:t>
      </w:r>
      <w:r w:rsidRPr="00FE3CC7">
        <w:rPr>
          <w:lang w:val="ru-RU"/>
        </w:rPr>
        <w:tab/>
        <w:t>обеспечение непрерывности ведения деятельности;</w:t>
      </w:r>
    </w:p>
    <w:p w14:paraId="14794862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f)</w:t>
      </w:r>
      <w:r w:rsidRPr="00FE3CC7">
        <w:rPr>
          <w:lang w:val="ru-RU"/>
        </w:rPr>
        <w:tab/>
        <w:t>обеспечение выделения средств из регулярного бюджета на техническое обслуживание всего комплекса зданий МСЭ в Женеве;</w:t>
      </w:r>
    </w:p>
    <w:p w14:paraId="0BDA957F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g)</w:t>
      </w:r>
      <w:r w:rsidRPr="00FE3CC7">
        <w:rPr>
          <w:lang w:val="ru-RU"/>
        </w:rPr>
        <w:tab/>
        <w:t>гибкость работы сотрудников (например, смешанные режимы работы);</w:t>
      </w:r>
    </w:p>
    <w:p w14:paraId="5BA5DDF6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h)</w:t>
      </w:r>
      <w:r w:rsidRPr="00FE3CC7">
        <w:rPr>
          <w:lang w:val="ru-RU"/>
        </w:rPr>
        <w:tab/>
        <w:t>варианты альтернативных мест проведения собраний МСЭ за пределами комплекса зданий МСЭ в Женеве;</w:t>
      </w:r>
    </w:p>
    <w:p w14:paraId="05410262" w14:textId="77777777" w:rsidR="00FD1931" w:rsidRPr="00FE3CC7" w:rsidRDefault="00FD1931" w:rsidP="00FD1931">
      <w:pPr>
        <w:pStyle w:val="enumlev1"/>
        <w:rPr>
          <w:lang w:val="ru-RU"/>
        </w:rPr>
      </w:pPr>
      <w:r w:rsidRPr="00FE3CC7">
        <w:rPr>
          <w:lang w:val="ru-RU"/>
        </w:rPr>
        <w:t>i)</w:t>
      </w:r>
      <w:r w:rsidRPr="00FE3CC7">
        <w:rPr>
          <w:lang w:val="ru-RU"/>
        </w:rPr>
        <w:tab/>
        <w:t>взаимодействие при необходимости с Рабочей группой по разработке Стратегического и Финансового планов;</w:t>
      </w:r>
    </w:p>
    <w:p w14:paraId="2A051F2D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8</w:t>
      </w:r>
      <w:r w:rsidRPr="00FE3CC7">
        <w:rPr>
          <w:lang w:val="ru-RU"/>
        </w:rPr>
        <w:tab/>
        <w:t xml:space="preserve">представлять Совету МСЭ для рассмотрения все отчеты о выполнении пункта 7 раздела </w:t>
      </w:r>
      <w:r w:rsidRPr="00FE3CC7">
        <w:rPr>
          <w:i/>
          <w:iCs/>
          <w:lang w:val="ru-RU"/>
        </w:rPr>
        <w:t>поручает Генеральному секретарю</w:t>
      </w:r>
      <w:r w:rsidRPr="00FE3CC7">
        <w:rPr>
          <w:lang w:val="ru-RU"/>
        </w:rPr>
        <w:t>,</w:t>
      </w:r>
    </w:p>
    <w:p w14:paraId="2189D652" w14:textId="77777777" w:rsidR="00FD1931" w:rsidRPr="00FE3CC7" w:rsidRDefault="00FD1931" w:rsidP="00FD1931">
      <w:pPr>
        <w:pStyle w:val="Call"/>
        <w:rPr>
          <w:lang w:val="ru-RU"/>
        </w:rPr>
      </w:pPr>
      <w:r w:rsidRPr="00FE3CC7">
        <w:rPr>
          <w:lang w:val="ru-RU"/>
        </w:rPr>
        <w:t>далее поручает Генеральному секретарю</w:t>
      </w:r>
    </w:p>
    <w:p w14:paraId="3FEFBA84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провести консультации со всеми Государствами – Членами Союза по настоящему Решению в соответствии с п. 79 Конвенции,</w:t>
      </w:r>
    </w:p>
    <w:p w14:paraId="6AD332AA" w14:textId="77777777" w:rsidR="00FD1931" w:rsidRPr="00FE3CC7" w:rsidRDefault="00FD1931" w:rsidP="00FD1931">
      <w:pPr>
        <w:pStyle w:val="Call"/>
        <w:rPr>
          <w:lang w:val="ru-RU"/>
        </w:rPr>
      </w:pPr>
      <w:r w:rsidRPr="00FE3CC7">
        <w:rPr>
          <w:lang w:val="ru-RU"/>
        </w:rPr>
        <w:t>поручает Консультативной группе Государств-Членов</w:t>
      </w:r>
    </w:p>
    <w:p w14:paraId="434BA65C" w14:textId="77777777" w:rsidR="00FD1931" w:rsidRPr="00FE3CC7" w:rsidRDefault="00FD1931" w:rsidP="00FD1931">
      <w:pPr>
        <w:rPr>
          <w:lang w:val="ru-RU"/>
        </w:rPr>
      </w:pPr>
      <w:r w:rsidRPr="00FE3CC7">
        <w:rPr>
          <w:lang w:val="ru-RU"/>
        </w:rPr>
        <w:t>привести свой круг ведения в соответствие с настоящим Решением и регулярно представлять обновленные сведения и отчеты РГС-ФЛР.</w:t>
      </w:r>
    </w:p>
    <w:p w14:paraId="6F9F0364" w14:textId="79A34D6C" w:rsidR="00FD1931" w:rsidRPr="00FE3CC7" w:rsidRDefault="00FD1931" w:rsidP="00526053">
      <w:pPr>
        <w:spacing w:before="1440"/>
        <w:rPr>
          <w:lang w:val="ru-RU"/>
        </w:rPr>
      </w:pPr>
      <w:r w:rsidRPr="00FE3CC7">
        <w:rPr>
          <w:b/>
          <w:bCs/>
          <w:lang w:val="ru-RU"/>
        </w:rPr>
        <w:t>Приложение</w:t>
      </w:r>
      <w:r w:rsidRPr="00FE3CC7">
        <w:rPr>
          <w:lang w:val="ru-RU"/>
        </w:rPr>
        <w:t>: 1</w:t>
      </w:r>
      <w:r w:rsidR="00526053" w:rsidRPr="00FE3CC7">
        <w:rPr>
          <w:lang w:val="ru-RU"/>
        </w:rPr>
        <w:t xml:space="preserve"> </w:t>
      </w:r>
      <w:r w:rsidRPr="00FE3CC7">
        <w:rPr>
          <w:lang w:val="ru-RU"/>
        </w:rPr>
        <w:br w:type="page"/>
      </w:r>
    </w:p>
    <w:p w14:paraId="42520FC9" w14:textId="195733FB" w:rsidR="00FD1931" w:rsidRPr="00FE3CC7" w:rsidRDefault="00FD1931" w:rsidP="00FD1931">
      <w:pPr>
        <w:pStyle w:val="AnnexNo"/>
        <w:spacing w:after="240"/>
        <w:rPr>
          <w:lang w:val="ru-RU"/>
        </w:rPr>
      </w:pPr>
      <w:bookmarkStart w:id="10" w:name="Annex1"/>
      <w:r w:rsidRPr="00FE3CC7">
        <w:rPr>
          <w:lang w:val="ru-RU"/>
        </w:rPr>
        <w:lastRenderedPageBreak/>
        <w:t>Приложение 1</w:t>
      </w:r>
      <w:bookmarkEnd w:id="10"/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FD1931" w:rsidRPr="00A71B52" w14:paraId="316B7BFE" w14:textId="77777777" w:rsidTr="00F6374F">
        <w:trPr>
          <w:trHeight w:val="381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609E" w14:textId="77777777" w:rsidR="00FD1931" w:rsidRPr="00FE3CC7" w:rsidRDefault="00FD1931" w:rsidP="005909AB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Объем работ по альтернативному проекту с переоценкой</w:t>
            </w:r>
          </w:p>
        </w:tc>
      </w:tr>
      <w:tr w:rsidR="00FD1931" w:rsidRPr="00A71B52" w14:paraId="19B62BCA" w14:textId="77777777" w:rsidTr="00F6374F">
        <w:trPr>
          <w:trHeight w:val="8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9D03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Помещения для проведения конференций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387B" w14:textId="77777777" w:rsidR="00FD1931" w:rsidRPr="00FE3CC7" w:rsidRDefault="00FD1931" w:rsidP="005909AB">
            <w:pPr>
              <w:pStyle w:val="Tabletext"/>
              <w:rPr>
                <w:lang w:val="ru-RU"/>
              </w:rPr>
            </w:pPr>
            <w:r w:rsidRPr="00FE3CC7">
              <w:rPr>
                <w:b/>
                <w:bCs/>
                <w:lang w:val="ru-RU"/>
              </w:rPr>
              <w:t xml:space="preserve">Большой конференц-зал (спонсируется Саудовской Аравией) </w:t>
            </w:r>
            <w:r w:rsidRPr="00FE3CC7">
              <w:rPr>
                <w:b/>
                <w:bCs/>
                <w:lang w:val="ru-RU"/>
              </w:rPr>
              <w:br/>
            </w:r>
            <w:r w:rsidRPr="00FE3CC7">
              <w:rPr>
                <w:lang w:val="ru-RU"/>
              </w:rPr>
              <w:t>Приблизительно 500 мест</w:t>
            </w:r>
          </w:p>
          <w:p w14:paraId="3AC7AFF5" w14:textId="77777777" w:rsidR="00FD1931" w:rsidRPr="00FE3CC7" w:rsidRDefault="00FD1931" w:rsidP="005909AB">
            <w:pPr>
              <w:pStyle w:val="Tabletext"/>
              <w:rPr>
                <w:lang w:val="ru-RU"/>
              </w:rPr>
            </w:pPr>
            <w:r w:rsidRPr="00FE3CC7">
              <w:rPr>
                <w:b/>
                <w:bCs/>
                <w:lang w:val="ru-RU"/>
              </w:rPr>
              <w:t xml:space="preserve">Прилегающая зона конференц-зала </w:t>
            </w:r>
            <w:r w:rsidRPr="00FE3CC7">
              <w:rPr>
                <w:b/>
                <w:bCs/>
                <w:lang w:val="ru-RU"/>
              </w:rPr>
              <w:br/>
            </w:r>
            <w:r w:rsidRPr="00FE3CC7">
              <w:rPr>
                <w:lang w:val="ru-RU"/>
              </w:rPr>
              <w:t>Пропорциональный размер</w:t>
            </w:r>
          </w:p>
        </w:tc>
      </w:tr>
      <w:tr w:rsidR="00FD1931" w:rsidRPr="00A71B52" w14:paraId="4C0F8706" w14:textId="77777777" w:rsidTr="00F6374F">
        <w:trPr>
          <w:trHeight w:val="74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996E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Обеспечение питания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01E1" w14:textId="77777777" w:rsidR="00FD1931" w:rsidRPr="00FE3CC7" w:rsidRDefault="00FD1931" w:rsidP="005909AB">
            <w:pPr>
              <w:pStyle w:val="Tabletext"/>
              <w:rPr>
                <w:lang w:val="ru-RU"/>
              </w:rPr>
            </w:pPr>
            <w:r w:rsidRPr="00FE3CC7">
              <w:rPr>
                <w:b/>
                <w:bCs/>
                <w:lang w:val="ru-RU"/>
              </w:rPr>
              <w:t>Кафетерий</w:t>
            </w:r>
            <w:r w:rsidRPr="00FE3CC7">
              <w:rPr>
                <w:b/>
                <w:bCs/>
                <w:lang w:val="ru-RU"/>
              </w:rPr>
              <w:br/>
            </w:r>
            <w:r w:rsidRPr="00FE3CC7">
              <w:rPr>
                <w:lang w:val="ru-RU"/>
              </w:rPr>
              <w:t>Обеденный зал приблизительно на 150 мест</w:t>
            </w:r>
          </w:p>
          <w:p w14:paraId="2B5DE463" w14:textId="77777777" w:rsidR="00FD1931" w:rsidRPr="00FE3CC7" w:rsidRDefault="00FD1931" w:rsidP="005909AB">
            <w:pPr>
              <w:pStyle w:val="Tabletext"/>
              <w:rPr>
                <w:lang w:val="ru-RU"/>
              </w:rPr>
            </w:pPr>
            <w:r w:rsidRPr="00FE3CC7">
              <w:rPr>
                <w:b/>
                <w:bCs/>
                <w:lang w:val="ru-RU"/>
              </w:rPr>
              <w:t xml:space="preserve">Зона отдыха для делегатов </w:t>
            </w:r>
            <w:r w:rsidRPr="00FE3CC7">
              <w:rPr>
                <w:b/>
                <w:bCs/>
                <w:lang w:val="ru-RU"/>
              </w:rPr>
              <w:br/>
            </w:r>
            <w:r w:rsidRPr="00FE3CC7">
              <w:rPr>
                <w:lang w:val="ru-RU"/>
              </w:rPr>
              <w:t>Приблизительно 120 мест</w:t>
            </w:r>
          </w:p>
        </w:tc>
      </w:tr>
      <w:tr w:rsidR="00FD1931" w:rsidRPr="00FE3CC7" w14:paraId="4A0F3758" w14:textId="77777777" w:rsidTr="00F6374F">
        <w:trPr>
          <w:trHeight w:val="18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E1F3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Залы заседаний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E8EA" w14:textId="77777777" w:rsidR="00FD1931" w:rsidRPr="00FE3CC7" w:rsidRDefault="00FD1931" w:rsidP="005909AB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Приблизительно 23 зала</w:t>
            </w:r>
          </w:p>
        </w:tc>
      </w:tr>
      <w:tr w:rsidR="00FD1931" w:rsidRPr="00FE3CC7" w14:paraId="02F08E02" w14:textId="77777777" w:rsidTr="00F6374F">
        <w:trPr>
          <w:trHeight w:val="4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F8BF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Рабочие места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FB1" w14:textId="77777777" w:rsidR="00FD1931" w:rsidRPr="00FE3CC7" w:rsidRDefault="00FD1931" w:rsidP="005909AB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Приблизительно 200 мест</w:t>
            </w:r>
          </w:p>
        </w:tc>
      </w:tr>
      <w:tr w:rsidR="00FD1931" w:rsidRPr="00A71B52" w14:paraId="70396FB4" w14:textId="77777777" w:rsidTr="00F6374F">
        <w:trPr>
          <w:trHeight w:val="4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AFF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Необходимые вспомогательные помещения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124A" w14:textId="77777777" w:rsidR="00FD1931" w:rsidRPr="00FE3CC7" w:rsidRDefault="00FD1931" w:rsidP="005909AB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Достаточное количество для поддержки функционирования этих объектов</w:t>
            </w:r>
          </w:p>
        </w:tc>
      </w:tr>
      <w:tr w:rsidR="00FD1931" w:rsidRPr="00A71B52" w14:paraId="5CD8FB47" w14:textId="77777777" w:rsidTr="00F6374F">
        <w:trPr>
          <w:trHeight w:val="4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4FE3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Проектный размер здания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AF47" w14:textId="77777777" w:rsidR="00FD1931" w:rsidRPr="00FE3CC7" w:rsidRDefault="00FD1931" w:rsidP="005909AB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>Приблизительно 15 000 кв. м (аналогично проекту, который будет заменен)</w:t>
            </w:r>
          </w:p>
        </w:tc>
      </w:tr>
    </w:tbl>
    <w:p w14:paraId="0B2CAD63" w14:textId="77777777" w:rsidR="00FD1931" w:rsidRPr="00FE3CC7" w:rsidRDefault="00FD1931" w:rsidP="00FD1931">
      <w:pPr>
        <w:rPr>
          <w:lang w:val="ru-RU"/>
        </w:rPr>
      </w:pPr>
    </w:p>
    <w:tbl>
      <w:tblPr>
        <w:tblStyle w:val="TableGrid"/>
        <w:tblW w:w="9214" w:type="dxa"/>
        <w:jc w:val="center"/>
        <w:tblLayout w:type="fixed"/>
        <w:tblLook w:val="0420" w:firstRow="1" w:lastRow="0" w:firstColumn="0" w:lastColumn="0" w:noHBand="0" w:noVBand="1"/>
      </w:tblPr>
      <w:tblGrid>
        <w:gridCol w:w="4531"/>
        <w:gridCol w:w="4683"/>
      </w:tblGrid>
      <w:tr w:rsidR="00FD1931" w:rsidRPr="00A71B52" w14:paraId="5CF9D4F9" w14:textId="77777777" w:rsidTr="00F6374F">
        <w:trPr>
          <w:trHeight w:val="47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533B" w14:textId="77777777" w:rsidR="00FD1931" w:rsidRPr="00FE3CC7" w:rsidRDefault="00FD1931" w:rsidP="005909AB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Основные этапы альтернативного проекта с переоценкой,</w:t>
            </w:r>
            <w:r w:rsidRPr="00FE3CC7">
              <w:rPr>
                <w:b/>
                <w:bCs/>
                <w:lang w:val="ru-RU"/>
              </w:rPr>
              <w:br/>
              <w:t>которые должны соблюдаться Секретариатом</w:t>
            </w:r>
          </w:p>
        </w:tc>
      </w:tr>
      <w:tr w:rsidR="00FD1931" w:rsidRPr="00FE3CC7" w14:paraId="50995C1F" w14:textId="77777777" w:rsidTr="00F6374F">
        <w:trPr>
          <w:trHeight w:val="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CCA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Процесс консультаций для принятия решения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6A6" w14:textId="77777777" w:rsidR="00FD1931" w:rsidRPr="00FE3CC7" w:rsidRDefault="00FD1931" w:rsidP="005909AB">
            <w:pPr>
              <w:pStyle w:val="Tabletext"/>
              <w:jc w:val="center"/>
              <w:rPr>
                <w:lang w:val="ru-RU"/>
              </w:rPr>
            </w:pPr>
            <w:r w:rsidRPr="00FE3CC7">
              <w:rPr>
                <w:lang w:val="ru-RU"/>
              </w:rPr>
              <w:t>3-й квартал 2024 г.</w:t>
            </w:r>
          </w:p>
        </w:tc>
      </w:tr>
      <w:tr w:rsidR="00FD1931" w:rsidRPr="00FE3CC7" w14:paraId="400B507D" w14:textId="77777777" w:rsidTr="00F6374F">
        <w:trPr>
          <w:trHeight w:val="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E57C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Планирование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7FD1" w14:textId="77777777" w:rsidR="00FD1931" w:rsidRPr="00FE3CC7" w:rsidRDefault="00FD1931" w:rsidP="005909AB">
            <w:pPr>
              <w:pStyle w:val="Tabletext"/>
              <w:jc w:val="center"/>
              <w:rPr>
                <w:lang w:val="ru-RU"/>
              </w:rPr>
            </w:pPr>
            <w:proofErr w:type="gramStart"/>
            <w:r w:rsidRPr="00FE3CC7">
              <w:rPr>
                <w:lang w:val="ru-RU"/>
              </w:rPr>
              <w:t>2024−2025</w:t>
            </w:r>
            <w:proofErr w:type="gramEnd"/>
            <w:r w:rsidRPr="00FE3CC7">
              <w:rPr>
                <w:lang w:val="ru-RU"/>
              </w:rPr>
              <w:t xml:space="preserve"> гг.</w:t>
            </w:r>
          </w:p>
        </w:tc>
      </w:tr>
      <w:tr w:rsidR="00FD1931" w:rsidRPr="00FE3CC7" w14:paraId="53561A17" w14:textId="77777777" w:rsidTr="00F6374F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A3E7" w14:textId="7B589070" w:rsidR="00FD1931" w:rsidRPr="00FE3CC7" w:rsidRDefault="005909AB" w:rsidP="005909AB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ab/>
            </w:r>
            <w:r w:rsidR="00FD1931" w:rsidRPr="00FE3CC7">
              <w:rPr>
                <w:lang w:val="ru-RU"/>
              </w:rPr>
              <w:t>Предварительный отбор архитекторов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C3F" w14:textId="77777777" w:rsidR="00FD1931" w:rsidRPr="00FE3CC7" w:rsidRDefault="00FD1931" w:rsidP="005909AB">
            <w:pPr>
              <w:pStyle w:val="Tabletext"/>
              <w:jc w:val="center"/>
              <w:rPr>
                <w:lang w:val="ru-RU"/>
              </w:rPr>
            </w:pPr>
            <w:r w:rsidRPr="00FE3CC7">
              <w:rPr>
                <w:lang w:val="ru-RU"/>
              </w:rPr>
              <w:t>4-й квартал 2024 г.</w:t>
            </w:r>
          </w:p>
        </w:tc>
      </w:tr>
      <w:tr w:rsidR="00FD1931" w:rsidRPr="00FE3CC7" w14:paraId="35E4A6D5" w14:textId="77777777" w:rsidTr="00F6374F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D247" w14:textId="4BE2188F" w:rsidR="00FD1931" w:rsidRPr="00FE3CC7" w:rsidRDefault="005909AB" w:rsidP="005909AB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ab/>
            </w:r>
            <w:r w:rsidR="00FD1931" w:rsidRPr="00FE3CC7">
              <w:rPr>
                <w:lang w:val="ru-RU"/>
              </w:rPr>
              <w:t>Выбор архитектора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32D" w14:textId="77777777" w:rsidR="00FD1931" w:rsidRPr="00FE3CC7" w:rsidRDefault="00FD1931" w:rsidP="005909AB">
            <w:pPr>
              <w:pStyle w:val="Tabletext"/>
              <w:jc w:val="center"/>
              <w:rPr>
                <w:lang w:val="ru-RU"/>
              </w:rPr>
            </w:pPr>
            <w:r w:rsidRPr="00FE3CC7">
              <w:rPr>
                <w:lang w:val="ru-RU"/>
              </w:rPr>
              <w:t>1-й квартал 2025 г.</w:t>
            </w:r>
          </w:p>
        </w:tc>
      </w:tr>
      <w:tr w:rsidR="00FD1931" w:rsidRPr="00FE3CC7" w14:paraId="44F9CC38" w14:textId="77777777" w:rsidTr="00F6374F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F8EC" w14:textId="1A9E7C46" w:rsidR="00FD1931" w:rsidRPr="00FE3CC7" w:rsidRDefault="005909AB" w:rsidP="005909AB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ab/>
            </w:r>
            <w:r w:rsidR="00FD1931" w:rsidRPr="00FE3CC7">
              <w:rPr>
                <w:lang w:val="ru-RU"/>
              </w:rPr>
              <w:t>Технико-экономическое обоснование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A69" w14:textId="77777777" w:rsidR="00FD1931" w:rsidRPr="00FE3CC7" w:rsidRDefault="00FD1931" w:rsidP="005909AB">
            <w:pPr>
              <w:pStyle w:val="Tabletext"/>
              <w:jc w:val="center"/>
              <w:rPr>
                <w:lang w:val="ru-RU"/>
              </w:rPr>
            </w:pPr>
            <w:r w:rsidRPr="00FE3CC7">
              <w:rPr>
                <w:lang w:val="ru-RU"/>
              </w:rPr>
              <w:t>2-й квартал 2025 г.</w:t>
            </w:r>
          </w:p>
        </w:tc>
      </w:tr>
      <w:tr w:rsidR="00FD1931" w:rsidRPr="00FE3CC7" w14:paraId="2EB223B0" w14:textId="77777777" w:rsidTr="00F6374F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486" w14:textId="57F3F172" w:rsidR="00FD1931" w:rsidRPr="00FE3CC7" w:rsidRDefault="005909AB" w:rsidP="005909AB">
            <w:pPr>
              <w:pStyle w:val="Tabletext"/>
              <w:rPr>
                <w:lang w:val="ru-RU"/>
              </w:rPr>
            </w:pPr>
            <w:r w:rsidRPr="00FE3CC7">
              <w:rPr>
                <w:lang w:val="ru-RU"/>
              </w:rPr>
              <w:tab/>
            </w:r>
            <w:r w:rsidR="00FD1931" w:rsidRPr="00FE3CC7">
              <w:rPr>
                <w:lang w:val="ru-RU"/>
              </w:rPr>
              <w:t>Концептуальный проект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CE6" w14:textId="77777777" w:rsidR="00FD1931" w:rsidRPr="00FE3CC7" w:rsidRDefault="00FD1931" w:rsidP="005909AB">
            <w:pPr>
              <w:pStyle w:val="Tabletext"/>
              <w:jc w:val="center"/>
              <w:rPr>
                <w:lang w:val="ru-RU"/>
              </w:rPr>
            </w:pPr>
            <w:r w:rsidRPr="00FE3CC7">
              <w:rPr>
                <w:lang w:val="ru-RU"/>
              </w:rPr>
              <w:t>4-й квартал 2025 г.</w:t>
            </w:r>
          </w:p>
        </w:tc>
      </w:tr>
      <w:tr w:rsidR="00FD1931" w:rsidRPr="00FE3CC7" w14:paraId="71E8079B" w14:textId="77777777" w:rsidTr="00F6374F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281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Проектная документация/тендер/контракт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0FE" w14:textId="77777777" w:rsidR="00FD1931" w:rsidRPr="00FE3CC7" w:rsidRDefault="00FD1931" w:rsidP="005909AB">
            <w:pPr>
              <w:pStyle w:val="Tabletext"/>
              <w:jc w:val="center"/>
              <w:rPr>
                <w:lang w:val="ru-RU"/>
              </w:rPr>
            </w:pPr>
            <w:proofErr w:type="gramStart"/>
            <w:r w:rsidRPr="00FE3CC7">
              <w:rPr>
                <w:lang w:val="ru-RU"/>
              </w:rPr>
              <w:t>2026−2027</w:t>
            </w:r>
            <w:proofErr w:type="gramEnd"/>
            <w:r w:rsidRPr="00FE3CC7">
              <w:rPr>
                <w:lang w:val="ru-RU"/>
              </w:rPr>
              <w:t xml:space="preserve"> гг.</w:t>
            </w:r>
          </w:p>
        </w:tc>
      </w:tr>
      <w:tr w:rsidR="00FD1931" w:rsidRPr="00FE3CC7" w14:paraId="55D8C055" w14:textId="77777777" w:rsidTr="00F6374F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327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Реализация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C419" w14:textId="77777777" w:rsidR="00FD1931" w:rsidRPr="00FE3CC7" w:rsidRDefault="00FD1931" w:rsidP="005909AB">
            <w:pPr>
              <w:pStyle w:val="Tabletext"/>
              <w:jc w:val="center"/>
              <w:rPr>
                <w:lang w:val="ru-RU"/>
              </w:rPr>
            </w:pPr>
            <w:proofErr w:type="gramStart"/>
            <w:r w:rsidRPr="00FE3CC7">
              <w:rPr>
                <w:lang w:val="ru-RU"/>
              </w:rPr>
              <w:t>2028−2031</w:t>
            </w:r>
            <w:proofErr w:type="gramEnd"/>
            <w:r w:rsidRPr="00FE3CC7">
              <w:rPr>
                <w:lang w:val="ru-RU"/>
              </w:rPr>
              <w:t xml:space="preserve"> гг.</w:t>
            </w:r>
          </w:p>
        </w:tc>
      </w:tr>
      <w:tr w:rsidR="00FD1931" w:rsidRPr="00FE3CC7" w14:paraId="2FF0FA39" w14:textId="77777777" w:rsidTr="00F6374F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6121" w14:textId="77777777" w:rsidR="00FD1931" w:rsidRPr="00FE3CC7" w:rsidRDefault="00FD1931" w:rsidP="005909AB">
            <w:pPr>
              <w:pStyle w:val="Tabletext"/>
              <w:rPr>
                <w:b/>
                <w:bCs/>
                <w:lang w:val="ru-RU"/>
              </w:rPr>
            </w:pPr>
            <w:r w:rsidRPr="00FE3CC7">
              <w:rPr>
                <w:b/>
                <w:bCs/>
                <w:lang w:val="ru-RU"/>
              </w:rPr>
              <w:t>Передача объекта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3089" w14:textId="77777777" w:rsidR="00FD1931" w:rsidRPr="00FE3CC7" w:rsidRDefault="00FD1931" w:rsidP="005909AB">
            <w:pPr>
              <w:pStyle w:val="Tabletext"/>
              <w:jc w:val="center"/>
              <w:rPr>
                <w:lang w:val="ru-RU"/>
              </w:rPr>
            </w:pPr>
            <w:r w:rsidRPr="00FE3CC7">
              <w:rPr>
                <w:lang w:val="ru-RU"/>
              </w:rPr>
              <w:t>2031 г.</w:t>
            </w:r>
          </w:p>
        </w:tc>
      </w:tr>
    </w:tbl>
    <w:p w14:paraId="4ABC1953" w14:textId="77777777" w:rsidR="00FD1931" w:rsidRPr="00FE3CC7" w:rsidRDefault="00FD1931" w:rsidP="00FD1931">
      <w:pPr>
        <w:spacing w:before="720"/>
        <w:jc w:val="center"/>
        <w:rPr>
          <w:lang w:val="ru-RU"/>
        </w:rPr>
      </w:pPr>
      <w:r w:rsidRPr="00FE3CC7">
        <w:rPr>
          <w:lang w:val="ru-RU"/>
        </w:rPr>
        <w:t>______________</w:t>
      </w:r>
    </w:p>
    <w:sectPr w:rsidR="00FD1931" w:rsidRPr="00FE3CC7" w:rsidSect="00235A29">
      <w:headerReference w:type="even" r:id="rId24"/>
      <w:headerReference w:type="default" r:id="rId25"/>
      <w:headerReference w:type="first" r:id="rId26"/>
      <w:footerReference w:type="first" r:id="rId27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C674" w14:textId="77777777" w:rsidR="00830A73" w:rsidRDefault="00830A73">
      <w:r>
        <w:separator/>
      </w:r>
    </w:p>
  </w:endnote>
  <w:endnote w:type="continuationSeparator" w:id="0">
    <w:p w14:paraId="14D4C2AD" w14:textId="77777777" w:rsidR="00830A73" w:rsidRDefault="00830A73">
      <w:r>
        <w:continuationSeparator/>
      </w:r>
    </w:p>
  </w:endnote>
  <w:endnote w:type="continuationNotice" w:id="1">
    <w:p w14:paraId="5F6FC79A" w14:textId="77777777" w:rsidR="00830A73" w:rsidRDefault="00830A7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EAF2" w14:textId="645E37CC" w:rsidR="00C47646" w:rsidRPr="00C47646" w:rsidRDefault="00C47646" w:rsidP="00C47646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C47646">
      <w:rPr>
        <w:color w:val="3E8EDE"/>
        <w:sz w:val="18"/>
        <w:szCs w:val="18"/>
        <w:lang w:val="fr-CH"/>
      </w:rPr>
      <w:t xml:space="preserve">International </w:t>
    </w:r>
    <w:proofErr w:type="spellStart"/>
    <w:r w:rsidRPr="00C47646">
      <w:rPr>
        <w:color w:val="3E8EDE"/>
        <w:sz w:val="18"/>
        <w:szCs w:val="18"/>
        <w:lang w:val="fr-CH"/>
      </w:rPr>
      <w:t>Telecommunication</w:t>
    </w:r>
    <w:proofErr w:type="spellEnd"/>
    <w:r w:rsidRPr="00C47646">
      <w:rPr>
        <w:color w:val="3E8EDE"/>
        <w:sz w:val="18"/>
        <w:szCs w:val="18"/>
        <w:lang w:val="fr-CH"/>
      </w:rPr>
      <w:t xml:space="preserve"> Union • Place des Nations, CH</w:t>
    </w:r>
    <w:r w:rsidRPr="00C47646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C47646">
      <w:rPr>
        <w:color w:val="3E8EDE"/>
        <w:sz w:val="18"/>
        <w:szCs w:val="18"/>
        <w:lang w:val="fr-CH"/>
      </w:rPr>
      <w:t>Switzerland</w:t>
    </w:r>
    <w:proofErr w:type="spellEnd"/>
    <w:r w:rsidRPr="00C47646">
      <w:rPr>
        <w:color w:val="3E8EDE"/>
        <w:sz w:val="18"/>
        <w:szCs w:val="18"/>
        <w:lang w:val="fr-CH"/>
      </w:rPr>
      <w:t xml:space="preserve"> </w:t>
    </w:r>
    <w:r w:rsidRPr="00C47646">
      <w:rPr>
        <w:color w:val="3E8EDE"/>
        <w:sz w:val="18"/>
        <w:szCs w:val="18"/>
        <w:lang w:val="fr-CH"/>
      </w:rPr>
      <w:br/>
    </w:r>
    <w:proofErr w:type="gramStart"/>
    <w:r>
      <w:rPr>
        <w:color w:val="3E8EDE"/>
        <w:sz w:val="18"/>
        <w:szCs w:val="18"/>
        <w:lang w:val="ru-RU"/>
      </w:rPr>
      <w:t>Тел.</w:t>
    </w:r>
    <w:r w:rsidRPr="00C47646">
      <w:rPr>
        <w:color w:val="3E8EDE"/>
        <w:sz w:val="18"/>
        <w:szCs w:val="18"/>
        <w:lang w:val="fr-CH"/>
      </w:rPr>
      <w:t>:</w:t>
    </w:r>
    <w:proofErr w:type="gramEnd"/>
    <w:r w:rsidRPr="00C47646">
      <w:rPr>
        <w:color w:val="3E8EDE"/>
        <w:sz w:val="18"/>
        <w:szCs w:val="18"/>
        <w:lang w:val="fr-CH"/>
      </w:rPr>
      <w:t xml:space="preserve"> +41 22 730 5111 • </w:t>
    </w:r>
    <w:r>
      <w:rPr>
        <w:color w:val="3E8EDE"/>
        <w:sz w:val="18"/>
        <w:szCs w:val="18"/>
        <w:lang w:val="ru-RU"/>
      </w:rPr>
      <w:t>Факс</w:t>
    </w:r>
    <w:r w:rsidRPr="00C47646">
      <w:rPr>
        <w:color w:val="3E8EDE"/>
        <w:sz w:val="18"/>
        <w:szCs w:val="18"/>
        <w:lang w:val="fr-CH"/>
      </w:rPr>
      <w:t xml:space="preserve">: +41 22 733 7256 • </w:t>
    </w:r>
    <w:r>
      <w:rPr>
        <w:color w:val="3E8EDE"/>
        <w:sz w:val="18"/>
        <w:szCs w:val="18"/>
        <w:lang w:val="ru-RU"/>
      </w:rPr>
      <w:t>Эл. почта</w:t>
    </w:r>
    <w:r w:rsidRPr="00C47646">
      <w:rPr>
        <w:color w:val="3E8EDE"/>
        <w:sz w:val="18"/>
        <w:szCs w:val="18"/>
        <w:lang w:val="fr-CH"/>
      </w:rPr>
      <w:t xml:space="preserve">: </w:t>
    </w:r>
    <w:hyperlink r:id="rId1" w:history="1">
      <w:r w:rsidRPr="00C47646">
        <w:rPr>
          <w:color w:val="3E8EDE"/>
          <w:sz w:val="18"/>
          <w:szCs w:val="18"/>
          <w:lang w:val="fr-CH"/>
        </w:rPr>
        <w:t>itumail@itu.int</w:t>
      </w:r>
    </w:hyperlink>
    <w:r w:rsidRPr="00C47646">
      <w:rPr>
        <w:color w:val="3E8EDE"/>
        <w:sz w:val="18"/>
        <w:szCs w:val="18"/>
        <w:lang w:val="fr-CH"/>
      </w:rPr>
      <w:t xml:space="preserve"> • </w:t>
    </w:r>
    <w:hyperlink r:id="rId2" w:history="1">
      <w:r w:rsidRPr="00C47646">
        <w:rPr>
          <w:color w:val="3E8EDE"/>
          <w:sz w:val="18"/>
          <w:szCs w:val="18"/>
          <w:lang w:val="fr-CH"/>
        </w:rPr>
        <w:t>www.itu.int</w:t>
      </w:r>
    </w:hyperlink>
    <w:r w:rsidRPr="00C47646">
      <w:rPr>
        <w:color w:val="3E8EDE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CCD4" w14:textId="77777777" w:rsidR="00830A73" w:rsidRDefault="00830A73">
      <w:r>
        <w:t>____________________</w:t>
      </w:r>
    </w:p>
  </w:footnote>
  <w:footnote w:type="continuationSeparator" w:id="0">
    <w:p w14:paraId="065C5760" w14:textId="77777777" w:rsidR="00830A73" w:rsidRDefault="00830A73">
      <w:r>
        <w:continuationSeparator/>
      </w:r>
    </w:p>
  </w:footnote>
  <w:footnote w:type="continuationNotice" w:id="1">
    <w:p w14:paraId="0EF0445A" w14:textId="77777777" w:rsidR="00830A73" w:rsidRDefault="00830A73">
      <w:pPr>
        <w:spacing w:before="0"/>
      </w:pPr>
    </w:p>
  </w:footnote>
  <w:footnote w:id="2">
    <w:p w14:paraId="228A2925" w14:textId="77777777" w:rsidR="001F39B1" w:rsidRPr="000A6564" w:rsidRDefault="001F39B1" w:rsidP="001F39B1">
      <w:pPr>
        <w:pStyle w:val="FootnoteText"/>
        <w:rPr>
          <w:lang w:val="ru-RU"/>
        </w:rPr>
      </w:pPr>
      <w:r w:rsidRPr="000A6564">
        <w:rPr>
          <w:rStyle w:val="FootnoteReference"/>
          <w:lang w:val="ru-RU"/>
        </w:rPr>
        <w:t>1</w:t>
      </w:r>
      <w:r w:rsidRPr="000A6564">
        <w:rPr>
          <w:lang w:val="ru-RU"/>
        </w:rPr>
        <w:tab/>
        <w:t>Данный постоянный подпункт повестки дня ВКР строго ограничен Отчетом Директора о</w:t>
      </w:r>
      <w:r>
        <w:rPr>
          <w:lang w:val="ru-RU"/>
        </w:rPr>
        <w:t> </w:t>
      </w:r>
      <w:r w:rsidRPr="000A6564">
        <w:rPr>
          <w:lang w:val="ru-RU"/>
        </w:rPr>
        <w:t>деятельности МСЭ-</w:t>
      </w:r>
      <w:r w:rsidRPr="000A6564">
        <w:t>R</w:t>
      </w:r>
      <w:r w:rsidRPr="000A6564">
        <w:rPr>
          <w:lang w:val="ru-RU"/>
        </w:rPr>
        <w:t xml:space="preserve"> со времени последней ВКР; </w:t>
      </w:r>
      <w:r w:rsidRPr="00FC5218">
        <w:rPr>
          <w:lang w:val="ru-RU"/>
        </w:rPr>
        <w:t xml:space="preserve">при этом следует </w:t>
      </w:r>
      <w:r>
        <w:rPr>
          <w:lang w:val="ru-RU"/>
        </w:rPr>
        <w:t>строго</w:t>
      </w:r>
      <w:r w:rsidRPr="00FC5218">
        <w:rPr>
          <w:lang w:val="ru-RU"/>
        </w:rPr>
        <w:t xml:space="preserve"> избегать любых тем</w:t>
      </w:r>
      <w:r>
        <w:rPr>
          <w:lang w:val="ru-RU"/>
        </w:rPr>
        <w:t>, которые не указаны в пп. 1</w:t>
      </w:r>
      <w:r w:rsidRPr="00FC5218">
        <w:rPr>
          <w:lang w:val="ru-RU"/>
        </w:rPr>
        <w:t>.1</w:t>
      </w:r>
      <w:r>
        <w:rPr>
          <w:lang w:val="ru-RU"/>
        </w:rPr>
        <w:t>−1</w:t>
      </w:r>
      <w:r w:rsidRPr="00FC5218">
        <w:rPr>
          <w:lang w:val="ru-RU"/>
        </w:rPr>
        <w:t>.</w:t>
      </w:r>
      <w:r>
        <w:rPr>
          <w:lang w:val="ru-RU"/>
        </w:rPr>
        <w:t>1</w:t>
      </w:r>
      <w:r w:rsidRPr="009F5308">
        <w:rPr>
          <w:lang w:val="ru-RU"/>
        </w:rPr>
        <w:t>9</w:t>
      </w:r>
      <w:r>
        <w:rPr>
          <w:lang w:val="ru-RU"/>
        </w:rPr>
        <w:t>, выше</w:t>
      </w:r>
      <w:r w:rsidRPr="00FC5218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Pr="00FC5218">
        <w:rPr>
          <w:lang w:val="ru-RU"/>
        </w:rPr>
        <w:t>особенно</w:t>
      </w:r>
      <w:r>
        <w:rPr>
          <w:lang w:val="ru-RU"/>
        </w:rPr>
        <w:t>сти</w:t>
      </w:r>
      <w:r w:rsidRPr="00FC5218">
        <w:rPr>
          <w:lang w:val="ru-RU"/>
        </w:rPr>
        <w:t xml:space="preserve"> тех тем,</w:t>
      </w:r>
      <w:r w:rsidRPr="000A6564">
        <w:rPr>
          <w:lang w:val="ru-RU"/>
        </w:rPr>
        <w:t xml:space="preserve"> которые требуют внесения каких</w:t>
      </w:r>
      <w:r>
        <w:rPr>
          <w:lang w:val="ru-RU"/>
        </w:rPr>
        <w:noBreakHyphen/>
      </w:r>
      <w:r w:rsidRPr="000A6564">
        <w:rPr>
          <w:lang w:val="ru-RU"/>
        </w:rPr>
        <w:t>либо изменений/поправок в Регламент радиосвязи.</w:t>
      </w:r>
    </w:p>
  </w:footnote>
  <w:footnote w:id="3">
    <w:p w14:paraId="29592438" w14:textId="77777777" w:rsidR="001F39B1" w:rsidRPr="00D5106C" w:rsidRDefault="001F39B1" w:rsidP="001F39B1">
      <w:pPr>
        <w:pStyle w:val="FootnoteText"/>
        <w:rPr>
          <w:lang w:val="ru-RU"/>
        </w:rPr>
      </w:pPr>
      <w:r w:rsidRPr="000A6564">
        <w:rPr>
          <w:rStyle w:val="FootnoteReference"/>
          <w:lang w:val="ru-RU"/>
        </w:rPr>
        <w:t>2</w:t>
      </w:r>
      <w:r w:rsidRPr="000A6564">
        <w:rPr>
          <w:lang w:val="ru-RU"/>
        </w:rPr>
        <w:tab/>
        <w:t>Данный постоянный подпункт повестки дня ВКР строго ограничен Отчетом Директора о наличии любых трудностей или противоречий, встречающихся при применении Регламента радиосвязи, и замечаниями администраций. Администрациям предлагается сообщать Директору Бюро радиосвязи о</w:t>
      </w:r>
      <w:r>
        <w:rPr>
          <w:lang w:val="ru-RU"/>
        </w:rPr>
        <w:t> </w:t>
      </w:r>
      <w:r w:rsidRPr="000A6564">
        <w:rPr>
          <w:lang w:val="ru-RU"/>
        </w:rPr>
        <w:t>наличии любых трудностей или противоречий, встречающихся в Регламенте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971152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14:paraId="5F91AD52" w14:textId="7C2A8CE2" w:rsidR="00726CC6" w:rsidRPr="00C47646" w:rsidRDefault="00E35524" w:rsidP="00E35524">
        <w:pPr>
          <w:pStyle w:val="Header"/>
          <w:rPr>
            <w:szCs w:val="18"/>
          </w:rPr>
        </w:pPr>
        <w:r w:rsidRPr="00C47646">
          <w:rPr>
            <w:szCs w:val="18"/>
          </w:rPr>
          <w:fldChar w:fldCharType="begin"/>
        </w:r>
        <w:r w:rsidRPr="00C47646">
          <w:rPr>
            <w:szCs w:val="18"/>
          </w:rPr>
          <w:instrText xml:space="preserve"> PAGE   \* MERGEFORMAT </w:instrText>
        </w:r>
        <w:r w:rsidRPr="00C47646">
          <w:rPr>
            <w:szCs w:val="18"/>
          </w:rPr>
          <w:fldChar w:fldCharType="separate"/>
        </w:r>
        <w:r w:rsidRPr="00C47646">
          <w:rPr>
            <w:szCs w:val="18"/>
          </w:rPr>
          <w:t>2</w:t>
        </w:r>
        <w:r w:rsidRPr="00C47646">
          <w:rPr>
            <w:noProof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11320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14:paraId="094DBB66" w14:textId="77777777" w:rsidR="00C47646" w:rsidRPr="00C47646" w:rsidRDefault="00C47646" w:rsidP="00C47646">
        <w:pPr>
          <w:pStyle w:val="Header"/>
          <w:rPr>
            <w:szCs w:val="18"/>
          </w:rPr>
        </w:pPr>
        <w:r w:rsidRPr="00C47646">
          <w:rPr>
            <w:szCs w:val="18"/>
          </w:rPr>
          <w:fldChar w:fldCharType="begin"/>
        </w:r>
        <w:r w:rsidRPr="00C47646">
          <w:rPr>
            <w:szCs w:val="18"/>
          </w:rPr>
          <w:instrText xml:space="preserve"> PAGE   \* MERGEFORMAT </w:instrText>
        </w:r>
        <w:r w:rsidRPr="00C47646">
          <w:rPr>
            <w:szCs w:val="18"/>
          </w:rPr>
          <w:fldChar w:fldCharType="separate"/>
        </w:r>
        <w:r>
          <w:rPr>
            <w:szCs w:val="18"/>
          </w:rPr>
          <w:t>2</w:t>
        </w:r>
        <w:r w:rsidRPr="00C47646">
          <w:rPr>
            <w:noProof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8A1BA1" w14:paraId="1B4F3F29" w14:textId="77777777" w:rsidTr="00895CEB">
      <w:tc>
        <w:tcPr>
          <w:tcW w:w="9923" w:type="dxa"/>
        </w:tcPr>
        <w:p w14:paraId="465739BF" w14:textId="5E4D1ADA" w:rsidR="008A1BA1" w:rsidRDefault="004171B3" w:rsidP="00895CEB">
          <w:pPr>
            <w:pStyle w:val="Header"/>
            <w:spacing w:before="120" w:line="360" w:lineRule="auto"/>
          </w:pPr>
          <w:r>
            <w:rPr>
              <w:noProof/>
            </w:rPr>
            <w:drawing>
              <wp:inline distT="0" distB="0" distL="0" distR="0" wp14:anchorId="4F0C111C" wp14:editId="1CF938F0">
                <wp:extent cx="682406" cy="720000"/>
                <wp:effectExtent l="0" t="0" r="381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36DB84" w14:textId="77777777" w:rsidR="00726CC6" w:rsidRPr="00EA0E7A" w:rsidRDefault="00726CC6" w:rsidP="00BA2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368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788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F44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345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C7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529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0F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AE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823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607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1C5"/>
    <w:multiLevelType w:val="hybridMultilevel"/>
    <w:tmpl w:val="38A2EF5C"/>
    <w:lvl w:ilvl="0" w:tplc="AFC470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D18D5"/>
    <w:multiLevelType w:val="hybridMultilevel"/>
    <w:tmpl w:val="47620F2E"/>
    <w:lvl w:ilvl="0" w:tplc="431ABDE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55D81"/>
    <w:multiLevelType w:val="hybridMultilevel"/>
    <w:tmpl w:val="3DF677A4"/>
    <w:lvl w:ilvl="0" w:tplc="72AA615A">
      <w:start w:val="3"/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F845B8F"/>
    <w:multiLevelType w:val="hybridMultilevel"/>
    <w:tmpl w:val="7ED6465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04E5"/>
    <w:multiLevelType w:val="hybridMultilevel"/>
    <w:tmpl w:val="E3164FD6"/>
    <w:lvl w:ilvl="0" w:tplc="7354EB8E">
      <w:start w:val="150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33457">
    <w:abstractNumId w:val="15"/>
  </w:num>
  <w:num w:numId="2" w16cid:durableId="1063219593">
    <w:abstractNumId w:val="17"/>
  </w:num>
  <w:num w:numId="3" w16cid:durableId="761729958">
    <w:abstractNumId w:val="14"/>
  </w:num>
  <w:num w:numId="4" w16cid:durableId="1973173653">
    <w:abstractNumId w:val="18"/>
  </w:num>
  <w:num w:numId="5" w16cid:durableId="1704355262">
    <w:abstractNumId w:val="9"/>
  </w:num>
  <w:num w:numId="6" w16cid:durableId="1669284881">
    <w:abstractNumId w:val="7"/>
  </w:num>
  <w:num w:numId="7" w16cid:durableId="1398629286">
    <w:abstractNumId w:val="6"/>
  </w:num>
  <w:num w:numId="8" w16cid:durableId="1055474641">
    <w:abstractNumId w:val="5"/>
  </w:num>
  <w:num w:numId="9" w16cid:durableId="616563488">
    <w:abstractNumId w:val="4"/>
  </w:num>
  <w:num w:numId="10" w16cid:durableId="2107923264">
    <w:abstractNumId w:val="8"/>
  </w:num>
  <w:num w:numId="11" w16cid:durableId="2060544622">
    <w:abstractNumId w:val="3"/>
  </w:num>
  <w:num w:numId="12" w16cid:durableId="1588536232">
    <w:abstractNumId w:val="2"/>
  </w:num>
  <w:num w:numId="13" w16cid:durableId="1198011813">
    <w:abstractNumId w:val="1"/>
  </w:num>
  <w:num w:numId="14" w16cid:durableId="1226144965">
    <w:abstractNumId w:val="0"/>
  </w:num>
  <w:num w:numId="15" w16cid:durableId="1540849460">
    <w:abstractNumId w:val="19"/>
  </w:num>
  <w:num w:numId="16" w16cid:durableId="9059944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NzMzMLO0MLEwMTBX0lEKTi0uzszPAykwrAUAyD5OjCwAAAA="/>
    <w:docVar w:name="BuildingBlockITU" w:val="Building Blocks ITU.dotx"/>
  </w:docVars>
  <w:rsids>
    <w:rsidRoot w:val="00364015"/>
    <w:rsid w:val="00003B1C"/>
    <w:rsid w:val="00006C82"/>
    <w:rsid w:val="00010E30"/>
    <w:rsid w:val="00026640"/>
    <w:rsid w:val="00026CF8"/>
    <w:rsid w:val="000303F1"/>
    <w:rsid w:val="00037DC0"/>
    <w:rsid w:val="0004590F"/>
    <w:rsid w:val="00050AD4"/>
    <w:rsid w:val="000617BA"/>
    <w:rsid w:val="000618B1"/>
    <w:rsid w:val="0006580D"/>
    <w:rsid w:val="00070258"/>
    <w:rsid w:val="0007323C"/>
    <w:rsid w:val="0007464F"/>
    <w:rsid w:val="000768A1"/>
    <w:rsid w:val="00076A88"/>
    <w:rsid w:val="00080069"/>
    <w:rsid w:val="000810CE"/>
    <w:rsid w:val="00083585"/>
    <w:rsid w:val="00084936"/>
    <w:rsid w:val="00086D03"/>
    <w:rsid w:val="00090D76"/>
    <w:rsid w:val="000965DC"/>
    <w:rsid w:val="000A7051"/>
    <w:rsid w:val="000B304F"/>
    <w:rsid w:val="000B3BAC"/>
    <w:rsid w:val="000B52E1"/>
    <w:rsid w:val="000C03C7"/>
    <w:rsid w:val="000C083B"/>
    <w:rsid w:val="000C7608"/>
    <w:rsid w:val="000D115E"/>
    <w:rsid w:val="000D1DA1"/>
    <w:rsid w:val="000E3DEE"/>
    <w:rsid w:val="000E74E8"/>
    <w:rsid w:val="000F1F92"/>
    <w:rsid w:val="00100B72"/>
    <w:rsid w:val="00103C76"/>
    <w:rsid w:val="00107414"/>
    <w:rsid w:val="001114B4"/>
    <w:rsid w:val="0011265F"/>
    <w:rsid w:val="00113E8A"/>
    <w:rsid w:val="00122A45"/>
    <w:rsid w:val="00123973"/>
    <w:rsid w:val="00124FCF"/>
    <w:rsid w:val="00132155"/>
    <w:rsid w:val="00134404"/>
    <w:rsid w:val="00141630"/>
    <w:rsid w:val="00144DFB"/>
    <w:rsid w:val="00154F20"/>
    <w:rsid w:val="00155CA8"/>
    <w:rsid w:val="001572DF"/>
    <w:rsid w:val="001702A3"/>
    <w:rsid w:val="00183012"/>
    <w:rsid w:val="00187CA3"/>
    <w:rsid w:val="00193716"/>
    <w:rsid w:val="00196710"/>
    <w:rsid w:val="00197324"/>
    <w:rsid w:val="001A1EFD"/>
    <w:rsid w:val="001A79CA"/>
    <w:rsid w:val="001B0581"/>
    <w:rsid w:val="001B65EA"/>
    <w:rsid w:val="001B729B"/>
    <w:rsid w:val="001C06DB"/>
    <w:rsid w:val="001C6859"/>
    <w:rsid w:val="001D0158"/>
    <w:rsid w:val="001D7070"/>
    <w:rsid w:val="001F1594"/>
    <w:rsid w:val="001F39B1"/>
    <w:rsid w:val="001F5A49"/>
    <w:rsid w:val="00201097"/>
    <w:rsid w:val="00201B6E"/>
    <w:rsid w:val="00203251"/>
    <w:rsid w:val="002166D1"/>
    <w:rsid w:val="002302B3"/>
    <w:rsid w:val="00231835"/>
    <w:rsid w:val="00232CF5"/>
    <w:rsid w:val="00235A29"/>
    <w:rsid w:val="00235CC2"/>
    <w:rsid w:val="002443A2"/>
    <w:rsid w:val="00246201"/>
    <w:rsid w:val="0024699C"/>
    <w:rsid w:val="002507F3"/>
    <w:rsid w:val="00252CD0"/>
    <w:rsid w:val="0026156E"/>
    <w:rsid w:val="002753C1"/>
    <w:rsid w:val="002861E6"/>
    <w:rsid w:val="00287D18"/>
    <w:rsid w:val="0029446E"/>
    <w:rsid w:val="0029572C"/>
    <w:rsid w:val="002A0B8D"/>
    <w:rsid w:val="002B0535"/>
    <w:rsid w:val="002C76E2"/>
    <w:rsid w:val="002D170B"/>
    <w:rsid w:val="002D3484"/>
    <w:rsid w:val="002D58A8"/>
    <w:rsid w:val="002D5A15"/>
    <w:rsid w:val="002D5BDD"/>
    <w:rsid w:val="002E1838"/>
    <w:rsid w:val="002E2708"/>
    <w:rsid w:val="002E3E26"/>
    <w:rsid w:val="002E50C5"/>
    <w:rsid w:val="002E55E7"/>
    <w:rsid w:val="002F0108"/>
    <w:rsid w:val="002F0890"/>
    <w:rsid w:val="002F2531"/>
    <w:rsid w:val="002F2D9A"/>
    <w:rsid w:val="002F4967"/>
    <w:rsid w:val="002F5D73"/>
    <w:rsid w:val="00307EC3"/>
    <w:rsid w:val="00316935"/>
    <w:rsid w:val="00321122"/>
    <w:rsid w:val="003223B7"/>
    <w:rsid w:val="003370B8"/>
    <w:rsid w:val="00350F9A"/>
    <w:rsid w:val="0035474A"/>
    <w:rsid w:val="00364015"/>
    <w:rsid w:val="003666FF"/>
    <w:rsid w:val="003733A1"/>
    <w:rsid w:val="0037479D"/>
    <w:rsid w:val="00377E6C"/>
    <w:rsid w:val="00377FC0"/>
    <w:rsid w:val="00391755"/>
    <w:rsid w:val="0039602A"/>
    <w:rsid w:val="003A1127"/>
    <w:rsid w:val="003A6901"/>
    <w:rsid w:val="003B2BDA"/>
    <w:rsid w:val="003B55EC"/>
    <w:rsid w:val="003C4471"/>
    <w:rsid w:val="003E504F"/>
    <w:rsid w:val="003E78D6"/>
    <w:rsid w:val="003F26D2"/>
    <w:rsid w:val="003F671F"/>
    <w:rsid w:val="003F6B9C"/>
    <w:rsid w:val="00400A02"/>
    <w:rsid w:val="0040153A"/>
    <w:rsid w:val="0040496E"/>
    <w:rsid w:val="004171B3"/>
    <w:rsid w:val="00423BFD"/>
    <w:rsid w:val="0043150B"/>
    <w:rsid w:val="004326DB"/>
    <w:rsid w:val="0043682E"/>
    <w:rsid w:val="00447D24"/>
    <w:rsid w:val="00447ECB"/>
    <w:rsid w:val="004514FF"/>
    <w:rsid w:val="004623F7"/>
    <w:rsid w:val="00470C8D"/>
    <w:rsid w:val="004767D5"/>
    <w:rsid w:val="00480F51"/>
    <w:rsid w:val="004810D0"/>
    <w:rsid w:val="00481124"/>
    <w:rsid w:val="004815EB"/>
    <w:rsid w:val="004818D4"/>
    <w:rsid w:val="00487569"/>
    <w:rsid w:val="00491F6B"/>
    <w:rsid w:val="00494EFD"/>
    <w:rsid w:val="00496864"/>
    <w:rsid w:val="00496920"/>
    <w:rsid w:val="004A0BBE"/>
    <w:rsid w:val="004A31D7"/>
    <w:rsid w:val="004A5302"/>
    <w:rsid w:val="004A7C64"/>
    <w:rsid w:val="004B7C9A"/>
    <w:rsid w:val="004C26D5"/>
    <w:rsid w:val="004C46AC"/>
    <w:rsid w:val="004C6779"/>
    <w:rsid w:val="004E0DC4"/>
    <w:rsid w:val="004E0FB5"/>
    <w:rsid w:val="004E43BB"/>
    <w:rsid w:val="004E4D7C"/>
    <w:rsid w:val="004E720B"/>
    <w:rsid w:val="004F178E"/>
    <w:rsid w:val="004F71A9"/>
    <w:rsid w:val="00505309"/>
    <w:rsid w:val="00506C78"/>
    <w:rsid w:val="0050789B"/>
    <w:rsid w:val="005139C7"/>
    <w:rsid w:val="005151B6"/>
    <w:rsid w:val="00522B58"/>
    <w:rsid w:val="00525340"/>
    <w:rsid w:val="00525672"/>
    <w:rsid w:val="00526053"/>
    <w:rsid w:val="005312B5"/>
    <w:rsid w:val="0053130D"/>
    <w:rsid w:val="00534372"/>
    <w:rsid w:val="00535730"/>
    <w:rsid w:val="0053670A"/>
    <w:rsid w:val="00541858"/>
    <w:rsid w:val="00543CD4"/>
    <w:rsid w:val="00543DF8"/>
    <w:rsid w:val="00546101"/>
    <w:rsid w:val="00553DD7"/>
    <w:rsid w:val="0056335D"/>
    <w:rsid w:val="005638CF"/>
    <w:rsid w:val="005659F4"/>
    <w:rsid w:val="0056741E"/>
    <w:rsid w:val="00567C40"/>
    <w:rsid w:val="0057325A"/>
    <w:rsid w:val="0057469A"/>
    <w:rsid w:val="005756B6"/>
    <w:rsid w:val="005759E8"/>
    <w:rsid w:val="00580814"/>
    <w:rsid w:val="005829EF"/>
    <w:rsid w:val="00582DE1"/>
    <w:rsid w:val="00587025"/>
    <w:rsid w:val="005909AB"/>
    <w:rsid w:val="00592F85"/>
    <w:rsid w:val="0059669E"/>
    <w:rsid w:val="005A03A3"/>
    <w:rsid w:val="005A29B8"/>
    <w:rsid w:val="005A79E9"/>
    <w:rsid w:val="005B214C"/>
    <w:rsid w:val="005B6E52"/>
    <w:rsid w:val="005C588F"/>
    <w:rsid w:val="005C75FD"/>
    <w:rsid w:val="005D3669"/>
    <w:rsid w:val="005F2081"/>
    <w:rsid w:val="00602D53"/>
    <w:rsid w:val="0060589F"/>
    <w:rsid w:val="00605947"/>
    <w:rsid w:val="006075DA"/>
    <w:rsid w:val="0061271D"/>
    <w:rsid w:val="0061330B"/>
    <w:rsid w:val="00620B14"/>
    <w:rsid w:val="00623261"/>
    <w:rsid w:val="00623CFB"/>
    <w:rsid w:val="0062624D"/>
    <w:rsid w:val="00641687"/>
    <w:rsid w:val="00643E00"/>
    <w:rsid w:val="00650B2A"/>
    <w:rsid w:val="00651777"/>
    <w:rsid w:val="00652732"/>
    <w:rsid w:val="00653BAE"/>
    <w:rsid w:val="00654684"/>
    <w:rsid w:val="006562DE"/>
    <w:rsid w:val="00660071"/>
    <w:rsid w:val="00660C78"/>
    <w:rsid w:val="00661DA2"/>
    <w:rsid w:val="00672566"/>
    <w:rsid w:val="0067395C"/>
    <w:rsid w:val="006874E9"/>
    <w:rsid w:val="00692A1E"/>
    <w:rsid w:val="00694C71"/>
    <w:rsid w:val="006A0289"/>
    <w:rsid w:val="006A21EE"/>
    <w:rsid w:val="006A247F"/>
    <w:rsid w:val="006A518B"/>
    <w:rsid w:val="006A78A1"/>
    <w:rsid w:val="006B0590"/>
    <w:rsid w:val="006B32B2"/>
    <w:rsid w:val="006B49DA"/>
    <w:rsid w:val="006C7376"/>
    <w:rsid w:val="006C7CDE"/>
    <w:rsid w:val="006F0FCB"/>
    <w:rsid w:val="006F4873"/>
    <w:rsid w:val="00722334"/>
    <w:rsid w:val="0072298D"/>
    <w:rsid w:val="007234B1"/>
    <w:rsid w:val="00726CC6"/>
    <w:rsid w:val="00727816"/>
    <w:rsid w:val="00730B9A"/>
    <w:rsid w:val="00735926"/>
    <w:rsid w:val="00742E3B"/>
    <w:rsid w:val="00750CFA"/>
    <w:rsid w:val="00752030"/>
    <w:rsid w:val="0075339E"/>
    <w:rsid w:val="007539FD"/>
    <w:rsid w:val="00755235"/>
    <w:rsid w:val="007553DA"/>
    <w:rsid w:val="00757675"/>
    <w:rsid w:val="00775193"/>
    <w:rsid w:val="0077753F"/>
    <w:rsid w:val="007813BD"/>
    <w:rsid w:val="00785545"/>
    <w:rsid w:val="007921A7"/>
    <w:rsid w:val="00792797"/>
    <w:rsid w:val="007A35B8"/>
    <w:rsid w:val="007A3E24"/>
    <w:rsid w:val="007B124D"/>
    <w:rsid w:val="007B3081"/>
    <w:rsid w:val="007B3DB1"/>
    <w:rsid w:val="007C0978"/>
    <w:rsid w:val="007C4F84"/>
    <w:rsid w:val="007C542E"/>
    <w:rsid w:val="007D183E"/>
    <w:rsid w:val="007D5FB5"/>
    <w:rsid w:val="007E1781"/>
    <w:rsid w:val="007E1833"/>
    <w:rsid w:val="007E3F13"/>
    <w:rsid w:val="007E6FAB"/>
    <w:rsid w:val="007F4AC8"/>
    <w:rsid w:val="007F535A"/>
    <w:rsid w:val="007F686B"/>
    <w:rsid w:val="007F751A"/>
    <w:rsid w:val="00800012"/>
    <w:rsid w:val="008062B1"/>
    <w:rsid w:val="00807656"/>
    <w:rsid w:val="00810A14"/>
    <w:rsid w:val="00814980"/>
    <w:rsid w:val="0081513E"/>
    <w:rsid w:val="00830A73"/>
    <w:rsid w:val="0085107D"/>
    <w:rsid w:val="008514E1"/>
    <w:rsid w:val="00853839"/>
    <w:rsid w:val="0085406E"/>
    <w:rsid w:val="00854131"/>
    <w:rsid w:val="0085652D"/>
    <w:rsid w:val="00857F35"/>
    <w:rsid w:val="00864F7D"/>
    <w:rsid w:val="0087694B"/>
    <w:rsid w:val="00877995"/>
    <w:rsid w:val="00882A55"/>
    <w:rsid w:val="00887C76"/>
    <w:rsid w:val="00895CEB"/>
    <w:rsid w:val="008A1BA1"/>
    <w:rsid w:val="008A661E"/>
    <w:rsid w:val="008B6D75"/>
    <w:rsid w:val="008C2E74"/>
    <w:rsid w:val="008D2882"/>
    <w:rsid w:val="008D465C"/>
    <w:rsid w:val="008E55E0"/>
    <w:rsid w:val="008E7A0B"/>
    <w:rsid w:val="008F2C51"/>
    <w:rsid w:val="008F3B0E"/>
    <w:rsid w:val="008F4F21"/>
    <w:rsid w:val="008F749C"/>
    <w:rsid w:val="00904D4A"/>
    <w:rsid w:val="009078AE"/>
    <w:rsid w:val="009128DE"/>
    <w:rsid w:val="009151BA"/>
    <w:rsid w:val="00915575"/>
    <w:rsid w:val="00925023"/>
    <w:rsid w:val="00926406"/>
    <w:rsid w:val="009277BC"/>
    <w:rsid w:val="00927D57"/>
    <w:rsid w:val="009311D1"/>
    <w:rsid w:val="00931A51"/>
    <w:rsid w:val="0093628D"/>
    <w:rsid w:val="00947185"/>
    <w:rsid w:val="00947353"/>
    <w:rsid w:val="009600BA"/>
    <w:rsid w:val="00963D9D"/>
    <w:rsid w:val="009716CC"/>
    <w:rsid w:val="0098013E"/>
    <w:rsid w:val="00981B54"/>
    <w:rsid w:val="0098322A"/>
    <w:rsid w:val="009842C3"/>
    <w:rsid w:val="00991C86"/>
    <w:rsid w:val="00993353"/>
    <w:rsid w:val="009A009A"/>
    <w:rsid w:val="009A5B07"/>
    <w:rsid w:val="009A6BB6"/>
    <w:rsid w:val="009B4F6D"/>
    <w:rsid w:val="009C161F"/>
    <w:rsid w:val="009C56B4"/>
    <w:rsid w:val="009D07EA"/>
    <w:rsid w:val="009D69C1"/>
    <w:rsid w:val="009D7D4C"/>
    <w:rsid w:val="009E1556"/>
    <w:rsid w:val="009E4AEC"/>
    <w:rsid w:val="009E5BD8"/>
    <w:rsid w:val="009E681E"/>
    <w:rsid w:val="009E7784"/>
    <w:rsid w:val="009F78E3"/>
    <w:rsid w:val="00A025B0"/>
    <w:rsid w:val="00A030EF"/>
    <w:rsid w:val="00A07778"/>
    <w:rsid w:val="00A211F1"/>
    <w:rsid w:val="00A24C20"/>
    <w:rsid w:val="00A32C52"/>
    <w:rsid w:val="00A34D6F"/>
    <w:rsid w:val="00A41F91"/>
    <w:rsid w:val="00A46B10"/>
    <w:rsid w:val="00A63626"/>
    <w:rsid w:val="00A637C7"/>
    <w:rsid w:val="00A641B8"/>
    <w:rsid w:val="00A64F3B"/>
    <w:rsid w:val="00A71B52"/>
    <w:rsid w:val="00A73A8D"/>
    <w:rsid w:val="00A75FF5"/>
    <w:rsid w:val="00A80198"/>
    <w:rsid w:val="00A80B9A"/>
    <w:rsid w:val="00A83B90"/>
    <w:rsid w:val="00A84D25"/>
    <w:rsid w:val="00A93D2F"/>
    <w:rsid w:val="00A963DF"/>
    <w:rsid w:val="00AA1868"/>
    <w:rsid w:val="00AA7C6B"/>
    <w:rsid w:val="00AB04EE"/>
    <w:rsid w:val="00AB2CA4"/>
    <w:rsid w:val="00AB50E3"/>
    <w:rsid w:val="00AC3896"/>
    <w:rsid w:val="00AC4D0A"/>
    <w:rsid w:val="00AC4E02"/>
    <w:rsid w:val="00AD4649"/>
    <w:rsid w:val="00AD4EC3"/>
    <w:rsid w:val="00AE4EA0"/>
    <w:rsid w:val="00AF3325"/>
    <w:rsid w:val="00B019D3"/>
    <w:rsid w:val="00B160C0"/>
    <w:rsid w:val="00B22625"/>
    <w:rsid w:val="00B234B2"/>
    <w:rsid w:val="00B23E85"/>
    <w:rsid w:val="00B24A15"/>
    <w:rsid w:val="00B3393A"/>
    <w:rsid w:val="00B34CF9"/>
    <w:rsid w:val="00B36451"/>
    <w:rsid w:val="00B41EDF"/>
    <w:rsid w:val="00B50D8C"/>
    <w:rsid w:val="00B51ADD"/>
    <w:rsid w:val="00B6339A"/>
    <w:rsid w:val="00B63C0E"/>
    <w:rsid w:val="00B760E8"/>
    <w:rsid w:val="00B82CD7"/>
    <w:rsid w:val="00B82FDA"/>
    <w:rsid w:val="00B85E43"/>
    <w:rsid w:val="00B90C45"/>
    <w:rsid w:val="00B9211C"/>
    <w:rsid w:val="00B933BE"/>
    <w:rsid w:val="00BA0BF3"/>
    <w:rsid w:val="00BA1793"/>
    <w:rsid w:val="00BA21A7"/>
    <w:rsid w:val="00BA284D"/>
    <w:rsid w:val="00BB1A9C"/>
    <w:rsid w:val="00BC49F9"/>
    <w:rsid w:val="00BD2B27"/>
    <w:rsid w:val="00BD55C7"/>
    <w:rsid w:val="00BD5CC1"/>
    <w:rsid w:val="00BD5D10"/>
    <w:rsid w:val="00BD6738"/>
    <w:rsid w:val="00BD7E5E"/>
    <w:rsid w:val="00BE0AF9"/>
    <w:rsid w:val="00BE601A"/>
    <w:rsid w:val="00BE6574"/>
    <w:rsid w:val="00C06C54"/>
    <w:rsid w:val="00C07A25"/>
    <w:rsid w:val="00C1349A"/>
    <w:rsid w:val="00C14004"/>
    <w:rsid w:val="00C14D98"/>
    <w:rsid w:val="00C16FD2"/>
    <w:rsid w:val="00C20E14"/>
    <w:rsid w:val="00C21807"/>
    <w:rsid w:val="00C267B1"/>
    <w:rsid w:val="00C3450C"/>
    <w:rsid w:val="00C35807"/>
    <w:rsid w:val="00C40D33"/>
    <w:rsid w:val="00C42B24"/>
    <w:rsid w:val="00C43517"/>
    <w:rsid w:val="00C471CD"/>
    <w:rsid w:val="00C47646"/>
    <w:rsid w:val="00C57E2C"/>
    <w:rsid w:val="00C608B7"/>
    <w:rsid w:val="00C6338E"/>
    <w:rsid w:val="00C66819"/>
    <w:rsid w:val="00C66F24"/>
    <w:rsid w:val="00C75095"/>
    <w:rsid w:val="00C7779D"/>
    <w:rsid w:val="00C813AA"/>
    <w:rsid w:val="00C90792"/>
    <w:rsid w:val="00C9291E"/>
    <w:rsid w:val="00CA3F44"/>
    <w:rsid w:val="00CA4E58"/>
    <w:rsid w:val="00CB29DE"/>
    <w:rsid w:val="00CB3771"/>
    <w:rsid w:val="00CB5153"/>
    <w:rsid w:val="00CB608E"/>
    <w:rsid w:val="00CB7345"/>
    <w:rsid w:val="00CB7A18"/>
    <w:rsid w:val="00CC26CF"/>
    <w:rsid w:val="00CC42A8"/>
    <w:rsid w:val="00CC52CA"/>
    <w:rsid w:val="00CC64B5"/>
    <w:rsid w:val="00CE076A"/>
    <w:rsid w:val="00CE6AAA"/>
    <w:rsid w:val="00CF0FBD"/>
    <w:rsid w:val="00CF7A7D"/>
    <w:rsid w:val="00CF7C07"/>
    <w:rsid w:val="00D10BA0"/>
    <w:rsid w:val="00D11D7C"/>
    <w:rsid w:val="00D16C57"/>
    <w:rsid w:val="00D2493A"/>
    <w:rsid w:val="00D24EB5"/>
    <w:rsid w:val="00D31B70"/>
    <w:rsid w:val="00D324CD"/>
    <w:rsid w:val="00D33E65"/>
    <w:rsid w:val="00D35710"/>
    <w:rsid w:val="00D37D05"/>
    <w:rsid w:val="00D41571"/>
    <w:rsid w:val="00D416A0"/>
    <w:rsid w:val="00D47672"/>
    <w:rsid w:val="00D5123C"/>
    <w:rsid w:val="00D55560"/>
    <w:rsid w:val="00D61C5A"/>
    <w:rsid w:val="00D62BDC"/>
    <w:rsid w:val="00D76689"/>
    <w:rsid w:val="00D76713"/>
    <w:rsid w:val="00D80D90"/>
    <w:rsid w:val="00D835BF"/>
    <w:rsid w:val="00D84D0B"/>
    <w:rsid w:val="00D87E20"/>
    <w:rsid w:val="00D92F41"/>
    <w:rsid w:val="00D9542E"/>
    <w:rsid w:val="00DA6FE4"/>
    <w:rsid w:val="00DA783D"/>
    <w:rsid w:val="00DC2B8C"/>
    <w:rsid w:val="00DC332B"/>
    <w:rsid w:val="00DC38F7"/>
    <w:rsid w:val="00DC5C62"/>
    <w:rsid w:val="00DC7B0B"/>
    <w:rsid w:val="00DE10A3"/>
    <w:rsid w:val="00DE569D"/>
    <w:rsid w:val="00DE66A5"/>
    <w:rsid w:val="00DE6A53"/>
    <w:rsid w:val="00DE6D7D"/>
    <w:rsid w:val="00DE7D95"/>
    <w:rsid w:val="00DF2B50"/>
    <w:rsid w:val="00DF3EF7"/>
    <w:rsid w:val="00E04AAD"/>
    <w:rsid w:val="00E04C86"/>
    <w:rsid w:val="00E04CAF"/>
    <w:rsid w:val="00E132E8"/>
    <w:rsid w:val="00E133FC"/>
    <w:rsid w:val="00E137B7"/>
    <w:rsid w:val="00E15493"/>
    <w:rsid w:val="00E15ED5"/>
    <w:rsid w:val="00E20F30"/>
    <w:rsid w:val="00E2189C"/>
    <w:rsid w:val="00E23461"/>
    <w:rsid w:val="00E252C7"/>
    <w:rsid w:val="00E25BB1"/>
    <w:rsid w:val="00E27BBA"/>
    <w:rsid w:val="00E35524"/>
    <w:rsid w:val="00E35E8F"/>
    <w:rsid w:val="00E37AB7"/>
    <w:rsid w:val="00E428AB"/>
    <w:rsid w:val="00E430D7"/>
    <w:rsid w:val="00E438E8"/>
    <w:rsid w:val="00E44240"/>
    <w:rsid w:val="00E4755D"/>
    <w:rsid w:val="00E51551"/>
    <w:rsid w:val="00E520E2"/>
    <w:rsid w:val="00E56227"/>
    <w:rsid w:val="00E64254"/>
    <w:rsid w:val="00E821E7"/>
    <w:rsid w:val="00E844A5"/>
    <w:rsid w:val="00E905FA"/>
    <w:rsid w:val="00E92C14"/>
    <w:rsid w:val="00E9648C"/>
    <w:rsid w:val="00EA0E7A"/>
    <w:rsid w:val="00EA15B3"/>
    <w:rsid w:val="00EA42E0"/>
    <w:rsid w:val="00EA6B84"/>
    <w:rsid w:val="00EB0DC9"/>
    <w:rsid w:val="00EB2358"/>
    <w:rsid w:val="00EB2D9A"/>
    <w:rsid w:val="00EB3EB8"/>
    <w:rsid w:val="00EC1DD7"/>
    <w:rsid w:val="00EC3A68"/>
    <w:rsid w:val="00ED5A66"/>
    <w:rsid w:val="00EE1A7A"/>
    <w:rsid w:val="00EE1E54"/>
    <w:rsid w:val="00EE41CD"/>
    <w:rsid w:val="00EE4CE2"/>
    <w:rsid w:val="00EE5B93"/>
    <w:rsid w:val="00EE74BC"/>
    <w:rsid w:val="00EE7F13"/>
    <w:rsid w:val="00EF4162"/>
    <w:rsid w:val="00EF500E"/>
    <w:rsid w:val="00F15795"/>
    <w:rsid w:val="00F16A0D"/>
    <w:rsid w:val="00F23C01"/>
    <w:rsid w:val="00F2626D"/>
    <w:rsid w:val="00F3224B"/>
    <w:rsid w:val="00F4613A"/>
    <w:rsid w:val="00F468C5"/>
    <w:rsid w:val="00F478A8"/>
    <w:rsid w:val="00F50080"/>
    <w:rsid w:val="00F52F39"/>
    <w:rsid w:val="00F56CAF"/>
    <w:rsid w:val="00F6078C"/>
    <w:rsid w:val="00F640A6"/>
    <w:rsid w:val="00F81963"/>
    <w:rsid w:val="00F82F07"/>
    <w:rsid w:val="00F872F4"/>
    <w:rsid w:val="00F914DD"/>
    <w:rsid w:val="00F91E3E"/>
    <w:rsid w:val="00F91EF1"/>
    <w:rsid w:val="00F96C59"/>
    <w:rsid w:val="00FA1975"/>
    <w:rsid w:val="00FA2358"/>
    <w:rsid w:val="00FA2381"/>
    <w:rsid w:val="00FA291B"/>
    <w:rsid w:val="00FA3E42"/>
    <w:rsid w:val="00FB1BB8"/>
    <w:rsid w:val="00FB2592"/>
    <w:rsid w:val="00FB2810"/>
    <w:rsid w:val="00FB2F7D"/>
    <w:rsid w:val="00FB5A51"/>
    <w:rsid w:val="00FC1F2D"/>
    <w:rsid w:val="00FC2947"/>
    <w:rsid w:val="00FC2E7A"/>
    <w:rsid w:val="00FC4F7B"/>
    <w:rsid w:val="00FC6236"/>
    <w:rsid w:val="00FD1931"/>
    <w:rsid w:val="00FE0818"/>
    <w:rsid w:val="00FE3CC7"/>
    <w:rsid w:val="00FE5528"/>
    <w:rsid w:val="00FE7182"/>
    <w:rsid w:val="00FF2126"/>
    <w:rsid w:val="00FF76F8"/>
    <w:rsid w:val="029D5CC6"/>
    <w:rsid w:val="02B22E0A"/>
    <w:rsid w:val="046A124B"/>
    <w:rsid w:val="0539702C"/>
    <w:rsid w:val="06920F0B"/>
    <w:rsid w:val="07086432"/>
    <w:rsid w:val="0725E2AD"/>
    <w:rsid w:val="07694605"/>
    <w:rsid w:val="07FB644B"/>
    <w:rsid w:val="081C0D1D"/>
    <w:rsid w:val="083C8A8D"/>
    <w:rsid w:val="08ABEF48"/>
    <w:rsid w:val="0B3D4904"/>
    <w:rsid w:val="0B6B0FD4"/>
    <w:rsid w:val="0BAFD3F2"/>
    <w:rsid w:val="0CCB3792"/>
    <w:rsid w:val="0E549E2C"/>
    <w:rsid w:val="0F804084"/>
    <w:rsid w:val="0FC43B54"/>
    <w:rsid w:val="10E580D0"/>
    <w:rsid w:val="1358FE48"/>
    <w:rsid w:val="13768660"/>
    <w:rsid w:val="15AA9C2B"/>
    <w:rsid w:val="165CC868"/>
    <w:rsid w:val="186223C1"/>
    <w:rsid w:val="1964C3AB"/>
    <w:rsid w:val="1B32BC8D"/>
    <w:rsid w:val="1B8046DE"/>
    <w:rsid w:val="1C745F19"/>
    <w:rsid w:val="1C9BCCF5"/>
    <w:rsid w:val="1DE0D418"/>
    <w:rsid w:val="1E1562D5"/>
    <w:rsid w:val="1F0C7670"/>
    <w:rsid w:val="20075CA0"/>
    <w:rsid w:val="2122BF45"/>
    <w:rsid w:val="21B991DC"/>
    <w:rsid w:val="2223024A"/>
    <w:rsid w:val="226E08E1"/>
    <w:rsid w:val="228FFE8D"/>
    <w:rsid w:val="234EA4A2"/>
    <w:rsid w:val="2400005C"/>
    <w:rsid w:val="2962BC32"/>
    <w:rsid w:val="29E42512"/>
    <w:rsid w:val="2A9F7128"/>
    <w:rsid w:val="2BBDFBF6"/>
    <w:rsid w:val="2C47B703"/>
    <w:rsid w:val="2C47E9D4"/>
    <w:rsid w:val="2DAF01FE"/>
    <w:rsid w:val="2E00DB3F"/>
    <w:rsid w:val="2E67F034"/>
    <w:rsid w:val="2F4ECE6E"/>
    <w:rsid w:val="2F6B5A67"/>
    <w:rsid w:val="37C34FC6"/>
    <w:rsid w:val="37FA0136"/>
    <w:rsid w:val="38FB7230"/>
    <w:rsid w:val="39E21D99"/>
    <w:rsid w:val="3E8D8968"/>
    <w:rsid w:val="3FF55A1F"/>
    <w:rsid w:val="404F66DF"/>
    <w:rsid w:val="41CC4D67"/>
    <w:rsid w:val="429F91EF"/>
    <w:rsid w:val="42B3C21E"/>
    <w:rsid w:val="4373C8F9"/>
    <w:rsid w:val="43FA3709"/>
    <w:rsid w:val="4438635B"/>
    <w:rsid w:val="451B501E"/>
    <w:rsid w:val="45588C58"/>
    <w:rsid w:val="46907BF1"/>
    <w:rsid w:val="479C9CF8"/>
    <w:rsid w:val="48A89D6F"/>
    <w:rsid w:val="49C52021"/>
    <w:rsid w:val="4B3EC7E4"/>
    <w:rsid w:val="4BBA1EDA"/>
    <w:rsid w:val="4EFFBCD7"/>
    <w:rsid w:val="4FCB5E13"/>
    <w:rsid w:val="5189724C"/>
    <w:rsid w:val="538C226A"/>
    <w:rsid w:val="53FBF9E3"/>
    <w:rsid w:val="5780A2D9"/>
    <w:rsid w:val="5A21A3D5"/>
    <w:rsid w:val="5C104BFD"/>
    <w:rsid w:val="5C6E05A7"/>
    <w:rsid w:val="5EB5DF85"/>
    <w:rsid w:val="6519CFE7"/>
    <w:rsid w:val="664ACF14"/>
    <w:rsid w:val="668FC603"/>
    <w:rsid w:val="67094258"/>
    <w:rsid w:val="67BD9E02"/>
    <w:rsid w:val="68FE119E"/>
    <w:rsid w:val="6985A19C"/>
    <w:rsid w:val="6995E054"/>
    <w:rsid w:val="6ABD9135"/>
    <w:rsid w:val="6B0B0C27"/>
    <w:rsid w:val="6D50DDE5"/>
    <w:rsid w:val="6F7015A9"/>
    <w:rsid w:val="72096753"/>
    <w:rsid w:val="739AAF15"/>
    <w:rsid w:val="73DBE75E"/>
    <w:rsid w:val="745C06BB"/>
    <w:rsid w:val="76C49427"/>
    <w:rsid w:val="76C63F04"/>
    <w:rsid w:val="784AE041"/>
    <w:rsid w:val="78681403"/>
    <w:rsid w:val="7C0F960F"/>
    <w:rsid w:val="7E8BF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771DC"/>
  <w15:docId w15:val="{D5AC4920-E0CF-44B8-BE8E-419D4C82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57F3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57F3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57F3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857F3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57F35"/>
    <w:pPr>
      <w:outlineLvl w:val="4"/>
    </w:pPr>
  </w:style>
  <w:style w:type="paragraph" w:styleId="Heading6">
    <w:name w:val="heading 6"/>
    <w:basedOn w:val="Heading4"/>
    <w:next w:val="Normal"/>
    <w:qFormat/>
    <w:rsid w:val="00857F35"/>
    <w:pPr>
      <w:outlineLvl w:val="5"/>
    </w:pPr>
  </w:style>
  <w:style w:type="paragraph" w:styleId="Heading7">
    <w:name w:val="heading 7"/>
    <w:basedOn w:val="Heading6"/>
    <w:next w:val="Normal"/>
    <w:qFormat/>
    <w:rsid w:val="00857F35"/>
    <w:pPr>
      <w:outlineLvl w:val="6"/>
    </w:pPr>
  </w:style>
  <w:style w:type="paragraph" w:styleId="Heading8">
    <w:name w:val="heading 8"/>
    <w:basedOn w:val="Heading6"/>
    <w:next w:val="Normal"/>
    <w:qFormat/>
    <w:rsid w:val="00857F35"/>
    <w:pPr>
      <w:outlineLvl w:val="7"/>
    </w:pPr>
  </w:style>
  <w:style w:type="paragraph" w:styleId="Heading9">
    <w:name w:val="heading 9"/>
    <w:basedOn w:val="Heading6"/>
    <w:next w:val="Normal"/>
    <w:qFormat/>
    <w:rsid w:val="00857F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57F35"/>
  </w:style>
  <w:style w:type="paragraph" w:styleId="TOC4">
    <w:name w:val="toc 4"/>
    <w:basedOn w:val="TOC3"/>
    <w:rsid w:val="00857F35"/>
    <w:pPr>
      <w:spacing w:before="80"/>
    </w:pPr>
  </w:style>
  <w:style w:type="paragraph" w:styleId="TOC3">
    <w:name w:val="toc 3"/>
    <w:basedOn w:val="TOC2"/>
    <w:rsid w:val="00857F35"/>
  </w:style>
  <w:style w:type="paragraph" w:styleId="TOC2">
    <w:name w:val="toc 2"/>
    <w:basedOn w:val="TOC1"/>
    <w:rsid w:val="00857F35"/>
    <w:pPr>
      <w:spacing w:before="160"/>
    </w:pPr>
  </w:style>
  <w:style w:type="paragraph" w:styleId="TOC1">
    <w:name w:val="toc 1"/>
    <w:basedOn w:val="Normal"/>
    <w:rsid w:val="00857F3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57F35"/>
  </w:style>
  <w:style w:type="paragraph" w:styleId="TOC6">
    <w:name w:val="toc 6"/>
    <w:basedOn w:val="TOC4"/>
    <w:rsid w:val="00857F35"/>
  </w:style>
  <w:style w:type="paragraph" w:styleId="TOC5">
    <w:name w:val="toc 5"/>
    <w:basedOn w:val="TOC4"/>
    <w:rsid w:val="00857F35"/>
  </w:style>
  <w:style w:type="paragraph" w:styleId="Footer">
    <w:name w:val="footer"/>
    <w:basedOn w:val="Normal"/>
    <w:link w:val="FooterChar"/>
    <w:rsid w:val="00857F3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857F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57F3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909AB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857F3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rsid w:val="00857F3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57F35"/>
    <w:pPr>
      <w:ind w:left="1191" w:hanging="397"/>
    </w:pPr>
  </w:style>
  <w:style w:type="paragraph" w:customStyle="1" w:styleId="enumlev3">
    <w:name w:val="enumlev3"/>
    <w:basedOn w:val="enumlev2"/>
    <w:rsid w:val="00857F35"/>
    <w:pPr>
      <w:ind w:left="1588"/>
    </w:pPr>
  </w:style>
  <w:style w:type="paragraph" w:customStyle="1" w:styleId="Equation">
    <w:name w:val="Equation"/>
    <w:basedOn w:val="Normal"/>
    <w:rsid w:val="00857F3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57F3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857F35"/>
  </w:style>
  <w:style w:type="paragraph" w:customStyle="1" w:styleId="Chaptitle">
    <w:name w:val="Chap_title"/>
    <w:basedOn w:val="Arttitle"/>
    <w:next w:val="Normalaftertitle"/>
    <w:rsid w:val="00857F35"/>
  </w:style>
  <w:style w:type="paragraph" w:customStyle="1" w:styleId="Normalaftertitle0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857F35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857F3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57F35"/>
    <w:pPr>
      <w:ind w:left="794" w:hanging="794"/>
    </w:pPr>
  </w:style>
  <w:style w:type="paragraph" w:styleId="Index1">
    <w:name w:val="index 1"/>
    <w:basedOn w:val="Normal"/>
    <w:next w:val="Normal"/>
    <w:rsid w:val="00857F35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0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0"/>
    <w:rsid w:val="004326DB"/>
  </w:style>
  <w:style w:type="paragraph" w:customStyle="1" w:styleId="Artheading">
    <w:name w:val="Art_heading"/>
    <w:basedOn w:val="Normal"/>
    <w:next w:val="Normalaftertitle"/>
    <w:rsid w:val="00857F3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57F3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57F35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57F3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857F35"/>
    <w:rPr>
      <w:b/>
    </w:rPr>
  </w:style>
  <w:style w:type="paragraph" w:customStyle="1" w:styleId="Equationlegend">
    <w:name w:val="Equation_legend"/>
    <w:basedOn w:val="Normal"/>
    <w:rsid w:val="00857F3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857F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57F35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0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"/>
    <w:rsid w:val="00857F35"/>
    <w:pPr>
      <w:keepNext w:val="0"/>
      <w:spacing w:after="240"/>
    </w:pPr>
  </w:style>
  <w:style w:type="paragraph" w:customStyle="1" w:styleId="FirstFooter">
    <w:name w:val="FirstFooter"/>
    <w:basedOn w:val="Footer"/>
    <w:rsid w:val="00857F3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857F3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857F35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857F35"/>
    <w:pPr>
      <w:ind w:left="283"/>
    </w:pPr>
  </w:style>
  <w:style w:type="paragraph" w:styleId="Index3">
    <w:name w:val="index 3"/>
    <w:basedOn w:val="Normal"/>
    <w:next w:val="Normal"/>
    <w:rsid w:val="00857F35"/>
    <w:pPr>
      <w:ind w:left="566"/>
    </w:pPr>
  </w:style>
  <w:style w:type="paragraph" w:customStyle="1" w:styleId="PartNo">
    <w:name w:val="Part_No"/>
    <w:basedOn w:val="AnnexNo"/>
    <w:next w:val="Parttitle"/>
    <w:rsid w:val="00857F35"/>
  </w:style>
  <w:style w:type="paragraph" w:customStyle="1" w:styleId="Partref">
    <w:name w:val="Part_ref"/>
    <w:basedOn w:val="Annexref"/>
    <w:next w:val="Normalaftertitle"/>
    <w:rsid w:val="00857F35"/>
  </w:style>
  <w:style w:type="paragraph" w:customStyle="1" w:styleId="Parttitle">
    <w:name w:val="Part_title"/>
    <w:basedOn w:val="Annextitle"/>
    <w:next w:val="Partref"/>
    <w:rsid w:val="00857F35"/>
  </w:style>
  <w:style w:type="paragraph" w:customStyle="1" w:styleId="Recdate">
    <w:name w:val="Rec_date"/>
    <w:basedOn w:val="Recref"/>
    <w:next w:val="Normalaftertitle"/>
    <w:rsid w:val="00857F3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57F35"/>
  </w:style>
  <w:style w:type="paragraph" w:customStyle="1" w:styleId="RecNo">
    <w:name w:val="Rec_No"/>
    <w:basedOn w:val="Normal"/>
    <w:next w:val="Rectitle"/>
    <w:rsid w:val="00857F3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57F35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857F35"/>
  </w:style>
  <w:style w:type="paragraph" w:customStyle="1" w:styleId="Questiontitle">
    <w:name w:val="Question_title"/>
    <w:basedOn w:val="Rectitle"/>
    <w:next w:val="Questionref"/>
    <w:rsid w:val="00857F35"/>
  </w:style>
  <w:style w:type="paragraph" w:customStyle="1" w:styleId="Questionref">
    <w:name w:val="Question_ref"/>
    <w:basedOn w:val="Recref"/>
    <w:next w:val="Questiondate"/>
    <w:rsid w:val="00857F35"/>
  </w:style>
  <w:style w:type="paragraph" w:customStyle="1" w:styleId="Recref">
    <w:name w:val="Rec_ref"/>
    <w:basedOn w:val="Rectitle"/>
    <w:next w:val="Recdate"/>
    <w:rsid w:val="00857F3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"/>
    <w:rsid w:val="00857F35"/>
  </w:style>
  <w:style w:type="paragraph" w:customStyle="1" w:styleId="RepNo">
    <w:name w:val="Rep_No"/>
    <w:basedOn w:val="RecNo"/>
    <w:next w:val="Reptitle"/>
    <w:rsid w:val="00857F35"/>
  </w:style>
  <w:style w:type="paragraph" w:customStyle="1" w:styleId="Reptitle">
    <w:name w:val="Rep_title"/>
    <w:basedOn w:val="Rectitle"/>
    <w:next w:val="Repref"/>
    <w:rsid w:val="00857F35"/>
  </w:style>
  <w:style w:type="paragraph" w:customStyle="1" w:styleId="Repref">
    <w:name w:val="Rep_ref"/>
    <w:basedOn w:val="Recref"/>
    <w:next w:val="Repdate"/>
    <w:rsid w:val="00857F35"/>
  </w:style>
  <w:style w:type="paragraph" w:customStyle="1" w:styleId="Resdate">
    <w:name w:val="Res_date"/>
    <w:basedOn w:val="Recdate"/>
    <w:next w:val="Normalaftertitle"/>
    <w:rsid w:val="00857F35"/>
  </w:style>
  <w:style w:type="paragraph" w:customStyle="1" w:styleId="ResNo">
    <w:name w:val="Res_No"/>
    <w:basedOn w:val="RecNo"/>
    <w:next w:val="Restitle"/>
    <w:link w:val="ResNoChar"/>
    <w:rsid w:val="00857F35"/>
  </w:style>
  <w:style w:type="paragraph" w:customStyle="1" w:styleId="Restitle">
    <w:name w:val="Res_title"/>
    <w:basedOn w:val="Rectitle"/>
    <w:next w:val="Resref"/>
    <w:link w:val="RestitleChar"/>
    <w:rsid w:val="00857F35"/>
  </w:style>
  <w:style w:type="paragraph" w:customStyle="1" w:styleId="Resref">
    <w:name w:val="Res_ref"/>
    <w:basedOn w:val="Recref"/>
    <w:next w:val="Resdate"/>
    <w:rsid w:val="00C3450C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857F35"/>
  </w:style>
  <w:style w:type="paragraph" w:customStyle="1" w:styleId="Sectiontitle">
    <w:name w:val="Section_title"/>
    <w:basedOn w:val="Normal"/>
    <w:next w:val="Normalaftertitle"/>
    <w:rsid w:val="00857F35"/>
    <w:rPr>
      <w:sz w:val="26"/>
    </w:rPr>
  </w:style>
  <w:style w:type="paragraph" w:customStyle="1" w:styleId="Source">
    <w:name w:val="Source"/>
    <w:basedOn w:val="Normal"/>
    <w:next w:val="Normal"/>
    <w:rsid w:val="00857F35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57F3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57F35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57F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57F35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857F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57F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57F3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57F35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857F3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57F35"/>
    <w:pPr>
      <w:spacing w:before="320"/>
    </w:pPr>
  </w:style>
  <w:style w:type="paragraph" w:customStyle="1" w:styleId="headingi0">
    <w:name w:val="heading_i"/>
    <w:basedOn w:val="Heading3"/>
    <w:next w:val="Normal"/>
    <w:rsid w:val="006075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CharCharCharCharCharChar">
    <w:name w:val="Char Char Char Char Char Char"/>
    <w:basedOn w:val="Normal"/>
    <w:rsid w:val="006075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eastAsia="zh-CN"/>
    </w:rPr>
  </w:style>
  <w:style w:type="paragraph" w:customStyle="1" w:styleId="TableTitle">
    <w:name w:val="Table_Title"/>
    <w:basedOn w:val="Normal"/>
    <w:next w:val="Normal"/>
    <w:rsid w:val="006075DA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  <w:sz w:val="24"/>
    </w:rPr>
  </w:style>
  <w:style w:type="paragraph" w:styleId="Subtitle">
    <w:name w:val="Subtitle"/>
    <w:basedOn w:val="Normal"/>
    <w:link w:val="SubtitleChar"/>
    <w:qFormat/>
    <w:rsid w:val="006075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075DA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075DA"/>
    <w:pPr>
      <w:overflowPunct/>
      <w:autoSpaceDE/>
      <w:autoSpaceDN/>
      <w:adjustRightInd/>
      <w:ind w:left="284"/>
      <w:textAlignment w:val="auto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075DA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13E8A"/>
    <w:rPr>
      <w:color w:val="808080"/>
    </w:rPr>
  </w:style>
  <w:style w:type="character" w:styleId="FollowedHyperlink">
    <w:name w:val="FollowedHyperlink"/>
    <w:basedOn w:val="DefaultParagraphFont"/>
    <w:rsid w:val="00857F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</w:pPr>
    <w:rPr>
      <w:sz w:val="24"/>
    </w:rPr>
  </w:style>
  <w:style w:type="paragraph" w:customStyle="1" w:styleId="AnnexNo">
    <w:name w:val="Annex_No"/>
    <w:basedOn w:val="Normal"/>
    <w:next w:val="Annextitle"/>
    <w:rsid w:val="00857F3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857F35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726CC6"/>
    <w:rPr>
      <w:rFonts w:eastAsia="Times New Roman" w:cs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qFormat/>
    <w:locked/>
    <w:rsid w:val="005909AB"/>
    <w:rPr>
      <w:rFonts w:eastAsia="Times New Roman" w:cs="Times New Roman"/>
      <w:lang w:val="en-GB" w:eastAsia="en-US"/>
    </w:rPr>
  </w:style>
  <w:style w:type="table" w:styleId="TableGrid">
    <w:name w:val="Table Grid"/>
    <w:basedOn w:val="TableNormal"/>
    <w:uiPriority w:val="39"/>
    <w:rsid w:val="00857F3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F23C01"/>
    <w:rPr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7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71CD"/>
    <w:rPr>
      <w:b/>
      <w:bCs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rsid w:val="00D92F4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A31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rsid w:val="005756B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315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/>
      <w:textAlignment w:val="auto"/>
    </w:pPr>
    <w:rPr>
      <w:rFonts w:eastAsiaTheme="minorHAns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57F35"/>
    <w:rPr>
      <w:rFonts w:eastAsia="Times New Roman" w:cs="Times New Roman"/>
      <w:sz w:val="18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1F39B1"/>
    <w:rPr>
      <w:rFonts w:eastAsia="Times New Roman" w:cs="Times New Roman"/>
      <w:i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1F39B1"/>
    <w:rPr>
      <w:rFonts w:eastAsia="Times New Roman" w:cs="Times New Roman"/>
      <w:b/>
      <w:sz w:val="26"/>
      <w:lang w:val="en-GB" w:eastAsia="en-US"/>
    </w:rPr>
  </w:style>
  <w:style w:type="character" w:styleId="Strong">
    <w:name w:val="Strong"/>
    <w:aliases w:val="ECC HL bold"/>
    <w:basedOn w:val="DefaultParagraphFont"/>
    <w:uiPriority w:val="22"/>
    <w:qFormat/>
    <w:rsid w:val="001F39B1"/>
    <w:rPr>
      <w:b/>
      <w:bCs/>
    </w:rPr>
  </w:style>
  <w:style w:type="character" w:customStyle="1" w:styleId="ResNoChar">
    <w:name w:val="Res_No Char"/>
    <w:basedOn w:val="DefaultParagraphFont"/>
    <w:link w:val="ResNo"/>
    <w:locked/>
    <w:rsid w:val="001F39B1"/>
    <w:rPr>
      <w:rFonts w:eastAsia="Times New Roman" w:cs="Times New Roman"/>
      <w:caps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FD1931"/>
    <w:rPr>
      <w:rFonts w:eastAsia="Times New Roman" w:cs="Times New Roman"/>
      <w:sz w:val="22"/>
      <w:lang w:val="en-GB" w:eastAsia="en-US"/>
    </w:rPr>
  </w:style>
  <w:style w:type="paragraph" w:customStyle="1" w:styleId="Annexref">
    <w:name w:val="Annex_ref"/>
    <w:basedOn w:val="Normal"/>
    <w:next w:val="Normalaftertitle"/>
    <w:rsid w:val="00857F3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Normal"/>
    <w:rsid w:val="00857F35"/>
  </w:style>
  <w:style w:type="paragraph" w:customStyle="1" w:styleId="Appendixref">
    <w:name w:val="Appendix_ref"/>
    <w:basedOn w:val="Annexref"/>
    <w:next w:val="Normalaftertitle"/>
    <w:rsid w:val="00857F35"/>
  </w:style>
  <w:style w:type="paragraph" w:customStyle="1" w:styleId="Appendixtitle">
    <w:name w:val="Appendix_title"/>
    <w:basedOn w:val="Annextitle"/>
    <w:next w:val="Appendixref"/>
    <w:rsid w:val="00857F35"/>
  </w:style>
  <w:style w:type="paragraph" w:customStyle="1" w:styleId="Subject">
    <w:name w:val="Subject"/>
    <w:basedOn w:val="Normal"/>
    <w:next w:val="Source"/>
    <w:rsid w:val="00857F3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857F35"/>
  </w:style>
  <w:style w:type="paragraph" w:customStyle="1" w:styleId="ddate">
    <w:name w:val="ddate"/>
    <w:basedOn w:val="Normal"/>
    <w:rsid w:val="00857F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57F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857F3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857F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857F35"/>
    <w:rPr>
      <w:vertAlign w:val="superscript"/>
    </w:rPr>
  </w:style>
  <w:style w:type="paragraph" w:customStyle="1" w:styleId="FigureNo">
    <w:name w:val="Figure_No"/>
    <w:basedOn w:val="Normal"/>
    <w:next w:val="Normal"/>
    <w:rsid w:val="00857F35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rsid w:val="00857F35"/>
    <w:pPr>
      <w:keepNext/>
      <w:spacing w:before="360" w:after="120"/>
      <w:jc w:val="center"/>
    </w:pPr>
    <w:rPr>
      <w:caps/>
    </w:rPr>
  </w:style>
  <w:style w:type="paragraph" w:customStyle="1" w:styleId="Tabletitle0">
    <w:name w:val="Table_title"/>
    <w:basedOn w:val="TableNo"/>
    <w:next w:val="Tabletext"/>
    <w:rsid w:val="00857F35"/>
    <w:pPr>
      <w:spacing w:before="0"/>
    </w:pPr>
    <w:rPr>
      <w:b/>
      <w:caps w:val="0"/>
    </w:rPr>
  </w:style>
  <w:style w:type="paragraph" w:customStyle="1" w:styleId="Figuretitle">
    <w:name w:val="Figure_title"/>
    <w:basedOn w:val="Tabletitle0"/>
    <w:next w:val="Normalaftertitle"/>
    <w:rsid w:val="00857F35"/>
    <w:pPr>
      <w:spacing w:before="240" w:after="480"/>
    </w:pPr>
  </w:style>
  <w:style w:type="paragraph" w:customStyle="1" w:styleId="Head">
    <w:name w:val="Head"/>
    <w:basedOn w:val="Normal"/>
    <w:rsid w:val="00857F3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857F35"/>
    <w:pPr>
      <w:ind w:left="849"/>
    </w:pPr>
  </w:style>
  <w:style w:type="paragraph" w:styleId="Index5">
    <w:name w:val="index 5"/>
    <w:basedOn w:val="Normal"/>
    <w:next w:val="Normal"/>
    <w:rsid w:val="00857F35"/>
    <w:pPr>
      <w:ind w:left="1132"/>
    </w:pPr>
  </w:style>
  <w:style w:type="paragraph" w:styleId="Index6">
    <w:name w:val="index 6"/>
    <w:basedOn w:val="Normal"/>
    <w:next w:val="Normal"/>
    <w:rsid w:val="00857F35"/>
    <w:pPr>
      <w:ind w:left="1415"/>
    </w:pPr>
  </w:style>
  <w:style w:type="paragraph" w:styleId="Index7">
    <w:name w:val="index 7"/>
    <w:basedOn w:val="Normal"/>
    <w:next w:val="Normal"/>
    <w:rsid w:val="00857F35"/>
    <w:pPr>
      <w:ind w:left="1698"/>
    </w:pPr>
  </w:style>
  <w:style w:type="paragraph" w:styleId="IndexHeading">
    <w:name w:val="index heading"/>
    <w:basedOn w:val="Normal"/>
    <w:next w:val="Index1"/>
    <w:rsid w:val="00857F35"/>
  </w:style>
  <w:style w:type="character" w:styleId="LineNumber">
    <w:name w:val="line number"/>
    <w:basedOn w:val="DefaultParagraphFont"/>
    <w:rsid w:val="00857F35"/>
  </w:style>
  <w:style w:type="paragraph" w:styleId="List">
    <w:name w:val="List"/>
    <w:basedOn w:val="Normal"/>
    <w:rsid w:val="00857F3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857F35"/>
    <w:pPr>
      <w:tabs>
        <w:tab w:val="left" w:pos="7371"/>
      </w:tabs>
      <w:spacing w:after="567"/>
    </w:pPr>
  </w:style>
  <w:style w:type="paragraph" w:styleId="NormalIndent0">
    <w:name w:val="Normal Indent"/>
    <w:basedOn w:val="Normal"/>
    <w:rsid w:val="00857F35"/>
    <w:pPr>
      <w:ind w:left="794"/>
    </w:pPr>
  </w:style>
  <w:style w:type="paragraph" w:customStyle="1" w:styleId="Object">
    <w:name w:val="Object"/>
    <w:basedOn w:val="Subject"/>
    <w:next w:val="Subject"/>
    <w:rsid w:val="00857F35"/>
  </w:style>
  <w:style w:type="paragraph" w:customStyle="1" w:styleId="Part">
    <w:name w:val="Part"/>
    <w:basedOn w:val="Normal"/>
    <w:rsid w:val="00857F3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857F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Subtitle0">
    <w:name w:val="Sub_title"/>
    <w:basedOn w:val="Title1"/>
    <w:qFormat/>
    <w:rsid w:val="00857F35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0"/>
    <w:rsid w:val="00857F35"/>
    <w:pPr>
      <w:keepNext/>
      <w:spacing w:before="5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125/en" TargetMode="External"/><Relationship Id="rId18" Type="http://schemas.openxmlformats.org/officeDocument/2006/relationships/hyperlink" Target="https://www.itu.int/md/S24-CL-C-0124/en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L-C-013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L-C-0124/en" TargetMode="External"/><Relationship Id="rId17" Type="http://schemas.openxmlformats.org/officeDocument/2006/relationships/hyperlink" Target="mailto:memberstates@itu.in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emberstates@itu.int" TargetMode="External"/><Relationship Id="rId20" Type="http://schemas.openxmlformats.org/officeDocument/2006/relationships/hyperlink" Target="https://www.itu.int/md/S24-CL-C-0125/en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tates@itu.in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crmapp/online-consultation/" TargetMode="External"/><Relationship Id="rId23" Type="http://schemas.openxmlformats.org/officeDocument/2006/relationships/hyperlink" Target="mailto:memberstates@itu.in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L-C-003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L-C-0132/en" TargetMode="External"/><Relationship Id="rId22" Type="http://schemas.openxmlformats.org/officeDocument/2006/relationships/hyperlink" Target="https://www.itu.int/crmapp/online-consultation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705CDD49044E0AE2C9D9CB691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8F55-D11E-48FC-88B4-D7BD0EC64642}"/>
      </w:docPartPr>
      <w:docPartBody>
        <w:p w:rsidR="004656EC" w:rsidRDefault="00F478A8">
          <w:pPr>
            <w:pStyle w:val="831705CDD49044E0AE2C9D9CB691DEE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8A8"/>
    <w:rsid w:val="000F2201"/>
    <w:rsid w:val="0012328E"/>
    <w:rsid w:val="0012528E"/>
    <w:rsid w:val="00132F58"/>
    <w:rsid w:val="001676A5"/>
    <w:rsid w:val="00175B04"/>
    <w:rsid w:val="002117AA"/>
    <w:rsid w:val="00251C31"/>
    <w:rsid w:val="00307661"/>
    <w:rsid w:val="00317803"/>
    <w:rsid w:val="00457139"/>
    <w:rsid w:val="004656EC"/>
    <w:rsid w:val="00467446"/>
    <w:rsid w:val="005441D6"/>
    <w:rsid w:val="00544724"/>
    <w:rsid w:val="00582CD3"/>
    <w:rsid w:val="006424D8"/>
    <w:rsid w:val="007123DF"/>
    <w:rsid w:val="007B0F97"/>
    <w:rsid w:val="007B5392"/>
    <w:rsid w:val="007F1B02"/>
    <w:rsid w:val="007F7FF0"/>
    <w:rsid w:val="008331A0"/>
    <w:rsid w:val="008A00EE"/>
    <w:rsid w:val="008B7B72"/>
    <w:rsid w:val="008F306C"/>
    <w:rsid w:val="00993DC8"/>
    <w:rsid w:val="009A684D"/>
    <w:rsid w:val="009A6B72"/>
    <w:rsid w:val="00A06574"/>
    <w:rsid w:val="00A7690B"/>
    <w:rsid w:val="00AB3FD5"/>
    <w:rsid w:val="00B05BBD"/>
    <w:rsid w:val="00B2488F"/>
    <w:rsid w:val="00B26764"/>
    <w:rsid w:val="00B77550"/>
    <w:rsid w:val="00B919F0"/>
    <w:rsid w:val="00BF73EF"/>
    <w:rsid w:val="00C57DB7"/>
    <w:rsid w:val="00C86BAA"/>
    <w:rsid w:val="00CA7FA7"/>
    <w:rsid w:val="00CB3892"/>
    <w:rsid w:val="00CC5D10"/>
    <w:rsid w:val="00D175D4"/>
    <w:rsid w:val="00DE7601"/>
    <w:rsid w:val="00DF3EB1"/>
    <w:rsid w:val="00E71422"/>
    <w:rsid w:val="00E80459"/>
    <w:rsid w:val="00E9504F"/>
    <w:rsid w:val="00E95A66"/>
    <w:rsid w:val="00EB4B12"/>
    <w:rsid w:val="00EC2AF5"/>
    <w:rsid w:val="00EE5B93"/>
    <w:rsid w:val="00F26907"/>
    <w:rsid w:val="00F478A8"/>
    <w:rsid w:val="00F97A9D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EC"/>
    <w:rPr>
      <w:color w:val="808080"/>
    </w:rPr>
  </w:style>
  <w:style w:type="paragraph" w:customStyle="1" w:styleId="831705CDD49044E0AE2C9D9CB691DEEA">
    <w:name w:val="831705CDD49044E0AE2C9D9CB691DEEA"/>
    <w:rsid w:val="0046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ADF406A33547A3FE40441B1FE449" ma:contentTypeVersion="13" ma:contentTypeDescription="Create a new document." ma:contentTypeScope="" ma:versionID="420692e03407ab728dcdb9f0c141cfcd">
  <xsd:schema xmlns:xsd="http://www.w3.org/2001/XMLSchema" xmlns:xs="http://www.w3.org/2001/XMLSchema" xmlns:p="http://schemas.microsoft.com/office/2006/metadata/properties" xmlns:ns2="8aa53b83-59ab-45da-a231-4fff939f77ea" xmlns:ns3="e04d3602-4189-476a-bfb5-90e089f97f5f" targetNamespace="http://schemas.microsoft.com/office/2006/metadata/properties" ma:root="true" ma:fieldsID="f6a66ed44bd21ca9204347f107fb1547" ns2:_="" ns3:_="">
    <xsd:import namespace="8aa53b83-59ab-45da-a231-4fff939f77ea"/>
    <xsd:import namespace="e04d3602-4189-476a-bfb5-90e089f97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53b83-59ab-45da-a231-4fff939f7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d3602-4189-476a-bfb5-90e089f97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69811-5E0A-4BFA-A037-F08837D1B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FE842-5BC4-4813-8095-79B86D1E3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7265A-7267-4F20-ABAB-C17941CA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53b83-59ab-45da-a231-4fff939f77ea"/>
    <ds:schemaRef ds:uri="e04d3602-4189-476a-bfb5-90e089f97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4D9D7-FFF1-447B-A13D-CAABFD2A6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59</TotalTime>
  <Pages>11</Pages>
  <Words>3393</Words>
  <Characters>19344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22692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Janin</dc:creator>
  <cp:keywords/>
  <dc:description/>
  <cp:lastModifiedBy>Maloletkova, Svetlana</cp:lastModifiedBy>
  <cp:revision>10</cp:revision>
  <cp:lastPrinted>2015-02-13T17:21:00Z</cp:lastPrinted>
  <dcterms:created xsi:type="dcterms:W3CDTF">2024-07-03T16:53:00Z</dcterms:created>
  <dcterms:modified xsi:type="dcterms:W3CDTF">2024-07-04T06:44:00Z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0x0101005A19ADF406A33547A3FE40441B1FE449</vt:lpwstr>
  </property>
</Properties>
</file>