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3543"/>
        <w:gridCol w:w="284"/>
        <w:gridCol w:w="4536"/>
      </w:tblGrid>
      <w:tr w:rsidR="002043AB" w:rsidRPr="007D496E" w14:paraId="3FF97F77" w14:textId="77777777" w:rsidTr="001548CC">
        <w:tc>
          <w:tcPr>
            <w:tcW w:w="9889" w:type="dxa"/>
            <w:gridSpan w:val="4"/>
            <w:shd w:val="clear" w:color="auto" w:fill="auto"/>
          </w:tcPr>
          <w:p w14:paraId="00BBCECF" w14:textId="77777777" w:rsidR="002043AB" w:rsidRPr="007D496E" w:rsidRDefault="002043AB" w:rsidP="00FF034C">
            <w:pPr>
              <w:spacing w:line="240" w:lineRule="auto"/>
              <w:jc w:val="left"/>
              <w:rPr>
                <w:rFonts w:cs="Times New Roman Bold"/>
                <w:b/>
                <w:bCs/>
                <w:color w:val="808080"/>
                <w:sz w:val="28"/>
                <w:szCs w:val="28"/>
                <w:lang w:val="fr-FR"/>
              </w:rPr>
            </w:pPr>
            <w:bookmarkStart w:id="0" w:name="Origine"/>
            <w:bookmarkEnd w:id="0"/>
            <w:r w:rsidRPr="007D496E">
              <w:rPr>
                <w:rFonts w:cs="Times New Roman Bold"/>
                <w:b/>
                <w:bCs/>
                <w:color w:val="808080"/>
                <w:sz w:val="28"/>
                <w:szCs w:val="28"/>
                <w:lang w:val="fr-FR"/>
              </w:rPr>
              <w:t>Secrétariat général (SG)</w:t>
            </w:r>
          </w:p>
        </w:tc>
      </w:tr>
      <w:tr w:rsidR="002043AB" w:rsidRPr="007D496E" w14:paraId="31585F5E" w14:textId="77777777" w:rsidTr="001548CC">
        <w:tc>
          <w:tcPr>
            <w:tcW w:w="9889" w:type="dxa"/>
            <w:gridSpan w:val="4"/>
            <w:shd w:val="clear" w:color="auto" w:fill="auto"/>
          </w:tcPr>
          <w:p w14:paraId="619BCEC6" w14:textId="77777777" w:rsidR="002043AB" w:rsidRPr="007D496E" w:rsidRDefault="002043AB" w:rsidP="00FF034C">
            <w:pPr>
              <w:spacing w:line="240" w:lineRule="auto"/>
              <w:jc w:val="left"/>
              <w:rPr>
                <w:lang w:val="fr-FR"/>
              </w:rPr>
            </w:pPr>
          </w:p>
        </w:tc>
      </w:tr>
      <w:tr w:rsidR="002043AB" w:rsidRPr="007D496E" w14:paraId="5246F82E" w14:textId="77777777" w:rsidTr="001548CC">
        <w:tc>
          <w:tcPr>
            <w:tcW w:w="5353" w:type="dxa"/>
            <w:gridSpan w:val="3"/>
            <w:shd w:val="clear" w:color="auto" w:fill="auto"/>
          </w:tcPr>
          <w:p w14:paraId="264F6008" w14:textId="77777777" w:rsidR="002043AB" w:rsidRPr="007D496E" w:rsidRDefault="002043AB" w:rsidP="00FF034C">
            <w:pPr>
              <w:spacing w:line="240" w:lineRule="auto"/>
              <w:jc w:val="left"/>
              <w:rPr>
                <w:lang w:val="fr-FR"/>
              </w:rPr>
            </w:pPr>
          </w:p>
        </w:tc>
        <w:tc>
          <w:tcPr>
            <w:tcW w:w="4536" w:type="dxa"/>
            <w:shd w:val="clear" w:color="auto" w:fill="auto"/>
          </w:tcPr>
          <w:p w14:paraId="4E23E64D" w14:textId="3248CAD0" w:rsidR="002043AB" w:rsidRPr="007D496E" w:rsidRDefault="002043AB" w:rsidP="00FF034C">
            <w:pPr>
              <w:spacing w:line="240" w:lineRule="auto"/>
              <w:ind w:right="57"/>
              <w:jc w:val="left"/>
              <w:rPr>
                <w:lang w:val="fr-FR"/>
              </w:rPr>
            </w:pPr>
            <w:r w:rsidRPr="007D496E">
              <w:rPr>
                <w:lang w:val="fr-FR"/>
              </w:rPr>
              <w:t>Genève, le</w:t>
            </w:r>
            <w:r w:rsidR="009E1329" w:rsidRPr="007D496E">
              <w:rPr>
                <w:rFonts w:cs="Arial"/>
                <w:lang w:val="fr-FR"/>
              </w:rPr>
              <w:t xml:space="preserve"> </w:t>
            </w:r>
            <w:r w:rsidR="00011162" w:rsidRPr="007D496E">
              <w:rPr>
                <w:rFonts w:cs="Arial"/>
                <w:lang w:val="fr-FR"/>
              </w:rPr>
              <w:t>24 juin 2024</w:t>
            </w:r>
          </w:p>
        </w:tc>
      </w:tr>
      <w:tr w:rsidR="002043AB" w:rsidRPr="007D496E" w14:paraId="2CF1EBE0" w14:textId="77777777" w:rsidTr="00154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7ABDF3F" w14:textId="10F7174A" w:rsidR="002043AB" w:rsidRPr="007D496E" w:rsidRDefault="002043AB" w:rsidP="00FF034C">
            <w:pPr>
              <w:spacing w:before="0" w:line="240" w:lineRule="auto"/>
              <w:jc w:val="left"/>
              <w:rPr>
                <w:lang w:val="fr-FR"/>
              </w:rPr>
            </w:pPr>
            <w:r w:rsidRPr="007D496E">
              <w:rPr>
                <w:lang w:val="fr-FR"/>
              </w:rPr>
              <w:t>Réf</w:t>
            </w:r>
            <w:r w:rsidR="001408BC" w:rsidRPr="007D496E">
              <w:rPr>
                <w:lang w:val="fr-FR"/>
              </w:rPr>
              <w:t>érence</w:t>
            </w:r>
            <w:r w:rsidRPr="007D496E">
              <w:rPr>
                <w:lang w:val="fr-FR"/>
              </w:rPr>
              <w:t>:</w:t>
            </w:r>
          </w:p>
        </w:tc>
        <w:tc>
          <w:tcPr>
            <w:tcW w:w="3827" w:type="dxa"/>
            <w:gridSpan w:val="2"/>
            <w:tcBorders>
              <w:top w:val="nil"/>
              <w:left w:val="nil"/>
              <w:bottom w:val="nil"/>
              <w:right w:val="nil"/>
            </w:tcBorders>
            <w:shd w:val="clear" w:color="auto" w:fill="auto"/>
          </w:tcPr>
          <w:p w14:paraId="67A021E4" w14:textId="40E46510" w:rsidR="002043AB" w:rsidRPr="007D496E" w:rsidRDefault="00011162" w:rsidP="00FF034C">
            <w:pPr>
              <w:spacing w:before="0" w:line="240" w:lineRule="auto"/>
              <w:jc w:val="left"/>
              <w:rPr>
                <w:b/>
                <w:bCs/>
                <w:lang w:val="fr-FR"/>
              </w:rPr>
            </w:pPr>
            <w:r w:rsidRPr="007D496E">
              <w:rPr>
                <w:b/>
                <w:bCs/>
                <w:lang w:val="fr-FR"/>
              </w:rPr>
              <w:t>CL-24/38</w:t>
            </w:r>
          </w:p>
        </w:tc>
        <w:tc>
          <w:tcPr>
            <w:tcW w:w="4536" w:type="dxa"/>
            <w:tcBorders>
              <w:top w:val="nil"/>
              <w:left w:val="nil"/>
              <w:bottom w:val="nil"/>
              <w:right w:val="nil"/>
            </w:tcBorders>
            <w:shd w:val="clear" w:color="auto" w:fill="auto"/>
          </w:tcPr>
          <w:p w14:paraId="054115E7" w14:textId="77777777" w:rsidR="002043AB" w:rsidRPr="007D496E" w:rsidRDefault="002043AB" w:rsidP="00FF034C">
            <w:pPr>
              <w:spacing w:before="0" w:line="240" w:lineRule="auto"/>
              <w:jc w:val="left"/>
              <w:rPr>
                <w:lang w:val="fr-FR"/>
              </w:rPr>
            </w:pPr>
          </w:p>
        </w:tc>
      </w:tr>
      <w:tr w:rsidR="002043AB" w:rsidRPr="007D496E" w14:paraId="7240CBA5" w14:textId="77777777" w:rsidTr="00011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7F2C99D" w14:textId="77777777" w:rsidR="002043AB" w:rsidRPr="007D496E" w:rsidRDefault="002043AB" w:rsidP="00FF034C">
            <w:pPr>
              <w:spacing w:before="0" w:line="240" w:lineRule="auto"/>
              <w:jc w:val="left"/>
              <w:rPr>
                <w:iCs/>
                <w:color w:val="FFFFFF" w:themeColor="background1"/>
                <w:lang w:val="fr-FR"/>
              </w:rPr>
            </w:pPr>
            <w:r w:rsidRPr="007D496E">
              <w:rPr>
                <w:iCs/>
                <w:lang w:val="fr-FR"/>
              </w:rPr>
              <w:t>Contact:</w:t>
            </w:r>
          </w:p>
        </w:tc>
        <w:tc>
          <w:tcPr>
            <w:tcW w:w="3543" w:type="dxa"/>
            <w:tcBorders>
              <w:top w:val="nil"/>
              <w:left w:val="nil"/>
              <w:bottom w:val="nil"/>
              <w:right w:val="nil"/>
            </w:tcBorders>
            <w:shd w:val="clear" w:color="auto" w:fill="auto"/>
          </w:tcPr>
          <w:p w14:paraId="182D72B1" w14:textId="2CEE99B8" w:rsidR="002043AB" w:rsidRPr="007D496E" w:rsidRDefault="00011162" w:rsidP="00FF034C">
            <w:pPr>
              <w:spacing w:before="0" w:line="240" w:lineRule="auto"/>
              <w:jc w:val="left"/>
              <w:rPr>
                <w:lang w:val="fr-FR"/>
              </w:rPr>
            </w:pPr>
            <w:bookmarkStart w:id="1" w:name="Contact"/>
            <w:bookmarkEnd w:id="1"/>
            <w:r w:rsidRPr="007D496E">
              <w:rPr>
                <w:lang w:val="fr-FR"/>
              </w:rPr>
              <w:t>Mme Béatrice Pluchon</w:t>
            </w:r>
          </w:p>
        </w:tc>
        <w:tc>
          <w:tcPr>
            <w:tcW w:w="284" w:type="dxa"/>
            <w:tcBorders>
              <w:top w:val="nil"/>
              <w:left w:val="nil"/>
              <w:bottom w:val="nil"/>
              <w:right w:val="nil"/>
            </w:tcBorders>
            <w:shd w:val="clear" w:color="auto" w:fill="auto"/>
          </w:tcPr>
          <w:p w14:paraId="22959DEF" w14:textId="77777777" w:rsidR="002043AB" w:rsidRPr="007D496E" w:rsidRDefault="002043AB" w:rsidP="00FF034C">
            <w:pPr>
              <w:spacing w:before="0" w:line="240" w:lineRule="auto"/>
              <w:rPr>
                <w:lang w:val="fr-FR"/>
              </w:rPr>
            </w:pPr>
          </w:p>
        </w:tc>
        <w:tc>
          <w:tcPr>
            <w:tcW w:w="4536" w:type="dxa"/>
            <w:vMerge w:val="restart"/>
            <w:tcBorders>
              <w:top w:val="nil"/>
              <w:left w:val="nil"/>
              <w:bottom w:val="nil"/>
              <w:right w:val="nil"/>
            </w:tcBorders>
            <w:shd w:val="clear" w:color="auto" w:fill="auto"/>
            <w:vAlign w:val="center"/>
          </w:tcPr>
          <w:p w14:paraId="60D8A50D" w14:textId="2BF4A617" w:rsidR="002043AB" w:rsidRPr="007D496E" w:rsidRDefault="00011162" w:rsidP="00FF034C">
            <w:pPr>
              <w:spacing w:before="0" w:line="240" w:lineRule="auto"/>
              <w:jc w:val="left"/>
              <w:rPr>
                <w:color w:val="000000"/>
                <w:lang w:val="fr-FR"/>
              </w:rPr>
            </w:pPr>
            <w:r w:rsidRPr="007D496E">
              <w:rPr>
                <w:color w:val="000000"/>
                <w:lang w:val="fr-FR"/>
              </w:rPr>
              <w:t>Aux États Membres de l'UIT</w:t>
            </w:r>
          </w:p>
        </w:tc>
      </w:tr>
      <w:tr w:rsidR="002043AB" w:rsidRPr="007D496E" w14:paraId="4812F622" w14:textId="77777777" w:rsidTr="00154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3AD176AC" w14:textId="665AAC8A" w:rsidR="002043AB" w:rsidRPr="007D496E" w:rsidRDefault="002043AB" w:rsidP="00FF034C">
            <w:pPr>
              <w:spacing w:before="0" w:line="240" w:lineRule="auto"/>
              <w:jc w:val="left"/>
              <w:rPr>
                <w:iCs/>
                <w:color w:val="FFFFFF" w:themeColor="background1"/>
                <w:lang w:val="fr-FR"/>
              </w:rPr>
            </w:pPr>
            <w:r w:rsidRPr="007D496E">
              <w:rPr>
                <w:iCs/>
                <w:lang w:val="fr-FR"/>
              </w:rPr>
              <w:t>Tél</w:t>
            </w:r>
            <w:r w:rsidR="001408BC" w:rsidRPr="007D496E">
              <w:rPr>
                <w:iCs/>
                <w:lang w:val="fr-FR"/>
              </w:rPr>
              <w:t>.</w:t>
            </w:r>
            <w:r w:rsidRPr="007D496E">
              <w:rPr>
                <w:iCs/>
                <w:lang w:val="fr-FR"/>
              </w:rPr>
              <w:t>:</w:t>
            </w:r>
          </w:p>
        </w:tc>
        <w:tc>
          <w:tcPr>
            <w:tcW w:w="3543" w:type="dxa"/>
            <w:tcBorders>
              <w:top w:val="nil"/>
              <w:left w:val="nil"/>
              <w:bottom w:val="nil"/>
              <w:right w:val="nil"/>
            </w:tcBorders>
            <w:shd w:val="clear" w:color="auto" w:fill="auto"/>
          </w:tcPr>
          <w:p w14:paraId="10C27689" w14:textId="4D421B3C" w:rsidR="002043AB" w:rsidRPr="007D496E" w:rsidRDefault="00011162" w:rsidP="00FF034C">
            <w:pPr>
              <w:spacing w:before="0" w:line="240" w:lineRule="auto"/>
              <w:jc w:val="left"/>
              <w:rPr>
                <w:lang w:val="fr-FR"/>
              </w:rPr>
            </w:pPr>
            <w:r w:rsidRPr="007D496E">
              <w:rPr>
                <w:lang w:val="fr-FR"/>
              </w:rPr>
              <w:t>+41 22 730 6266</w:t>
            </w:r>
          </w:p>
        </w:tc>
        <w:tc>
          <w:tcPr>
            <w:tcW w:w="284" w:type="dxa"/>
            <w:tcBorders>
              <w:top w:val="nil"/>
              <w:left w:val="nil"/>
              <w:bottom w:val="nil"/>
              <w:right w:val="nil"/>
            </w:tcBorders>
            <w:shd w:val="clear" w:color="auto" w:fill="auto"/>
          </w:tcPr>
          <w:p w14:paraId="0F4A1547" w14:textId="77777777" w:rsidR="002043AB" w:rsidRPr="007D496E" w:rsidRDefault="002043AB" w:rsidP="00FF034C">
            <w:pPr>
              <w:spacing w:before="0" w:line="240" w:lineRule="auto"/>
              <w:rPr>
                <w:lang w:val="fr-FR"/>
              </w:rPr>
            </w:pPr>
          </w:p>
        </w:tc>
        <w:tc>
          <w:tcPr>
            <w:tcW w:w="4536" w:type="dxa"/>
            <w:vMerge/>
            <w:tcBorders>
              <w:top w:val="nil"/>
              <w:left w:val="nil"/>
              <w:bottom w:val="nil"/>
              <w:right w:val="nil"/>
            </w:tcBorders>
            <w:shd w:val="clear" w:color="auto" w:fill="auto"/>
          </w:tcPr>
          <w:p w14:paraId="281EFE6A" w14:textId="77777777" w:rsidR="002043AB" w:rsidRPr="007D496E" w:rsidRDefault="002043AB" w:rsidP="00FF034C">
            <w:pPr>
              <w:spacing w:before="0" w:line="240" w:lineRule="auto"/>
              <w:rPr>
                <w:lang w:val="fr-FR"/>
              </w:rPr>
            </w:pPr>
          </w:p>
        </w:tc>
      </w:tr>
      <w:tr w:rsidR="002043AB" w:rsidRPr="007D496E" w14:paraId="250FE3A7" w14:textId="77777777" w:rsidTr="00154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1A795716" w14:textId="77777777" w:rsidR="002043AB" w:rsidRPr="007D496E" w:rsidRDefault="002043AB" w:rsidP="00FF034C">
            <w:pPr>
              <w:spacing w:before="0" w:line="240" w:lineRule="auto"/>
              <w:jc w:val="left"/>
              <w:rPr>
                <w:iCs/>
                <w:color w:val="FFFFFF" w:themeColor="background1"/>
                <w:lang w:val="fr-FR"/>
              </w:rPr>
            </w:pPr>
            <w:r w:rsidRPr="007D496E">
              <w:rPr>
                <w:lang w:val="fr-FR"/>
              </w:rPr>
              <w:t>Courriel</w:t>
            </w:r>
            <w:r w:rsidRPr="007D496E">
              <w:rPr>
                <w:iCs/>
                <w:lang w:val="fr-FR"/>
              </w:rPr>
              <w:t>:</w:t>
            </w:r>
          </w:p>
        </w:tc>
        <w:tc>
          <w:tcPr>
            <w:tcW w:w="3543" w:type="dxa"/>
            <w:tcBorders>
              <w:top w:val="nil"/>
              <w:left w:val="nil"/>
              <w:bottom w:val="nil"/>
              <w:right w:val="nil"/>
            </w:tcBorders>
            <w:shd w:val="clear" w:color="auto" w:fill="auto"/>
          </w:tcPr>
          <w:p w14:paraId="3C0EAD93" w14:textId="3A5EDAA0" w:rsidR="002043AB" w:rsidRPr="007D496E" w:rsidRDefault="007D496E" w:rsidP="00FF034C">
            <w:pPr>
              <w:spacing w:before="0" w:line="240" w:lineRule="auto"/>
              <w:jc w:val="left"/>
              <w:rPr>
                <w:lang w:val="fr-FR"/>
              </w:rPr>
            </w:pPr>
            <w:hyperlink r:id="rId8" w:history="1">
              <w:bookmarkStart w:id="2" w:name="lt_pId024"/>
              <w:r w:rsidR="00011162" w:rsidRPr="007D496E">
                <w:rPr>
                  <w:rStyle w:val="Hyperlink"/>
                  <w:lang w:val="fr-FR"/>
                </w:rPr>
                <w:t>memberstates@itu.int</w:t>
              </w:r>
              <w:bookmarkEnd w:id="2"/>
            </w:hyperlink>
          </w:p>
        </w:tc>
        <w:tc>
          <w:tcPr>
            <w:tcW w:w="284" w:type="dxa"/>
            <w:tcBorders>
              <w:top w:val="nil"/>
              <w:left w:val="nil"/>
              <w:bottom w:val="nil"/>
              <w:right w:val="nil"/>
            </w:tcBorders>
            <w:shd w:val="clear" w:color="auto" w:fill="auto"/>
          </w:tcPr>
          <w:p w14:paraId="1A25BE4A" w14:textId="77777777" w:rsidR="002043AB" w:rsidRPr="007D496E" w:rsidRDefault="002043AB" w:rsidP="00FF034C">
            <w:pPr>
              <w:spacing w:before="0" w:line="240" w:lineRule="auto"/>
              <w:rPr>
                <w:lang w:val="fr-FR"/>
              </w:rPr>
            </w:pPr>
          </w:p>
        </w:tc>
        <w:tc>
          <w:tcPr>
            <w:tcW w:w="4536" w:type="dxa"/>
            <w:vMerge/>
            <w:tcBorders>
              <w:top w:val="nil"/>
              <w:left w:val="nil"/>
              <w:bottom w:val="nil"/>
              <w:right w:val="nil"/>
            </w:tcBorders>
            <w:shd w:val="clear" w:color="auto" w:fill="auto"/>
          </w:tcPr>
          <w:p w14:paraId="3501E736" w14:textId="77777777" w:rsidR="002043AB" w:rsidRPr="007D496E" w:rsidRDefault="002043AB" w:rsidP="00FF034C">
            <w:pPr>
              <w:spacing w:before="0" w:line="240" w:lineRule="auto"/>
              <w:rPr>
                <w:lang w:val="fr-FR"/>
              </w:rPr>
            </w:pPr>
          </w:p>
        </w:tc>
      </w:tr>
      <w:tr w:rsidR="002043AB" w:rsidRPr="007D496E" w14:paraId="60C5056D" w14:textId="77777777" w:rsidTr="00154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D9D39C2" w14:textId="77777777" w:rsidR="002043AB" w:rsidRPr="007D496E" w:rsidRDefault="002043AB" w:rsidP="00FF034C">
            <w:pPr>
              <w:spacing w:before="0" w:line="240" w:lineRule="auto"/>
              <w:jc w:val="left"/>
              <w:rPr>
                <w:iCs/>
                <w:lang w:val="fr-FR"/>
              </w:rPr>
            </w:pPr>
          </w:p>
        </w:tc>
        <w:tc>
          <w:tcPr>
            <w:tcW w:w="8363" w:type="dxa"/>
            <w:gridSpan w:val="3"/>
            <w:tcBorders>
              <w:top w:val="nil"/>
              <w:left w:val="nil"/>
              <w:bottom w:val="nil"/>
              <w:right w:val="nil"/>
            </w:tcBorders>
            <w:shd w:val="clear" w:color="auto" w:fill="auto"/>
          </w:tcPr>
          <w:p w14:paraId="43BDBB3E" w14:textId="77777777" w:rsidR="002043AB" w:rsidRPr="007D496E" w:rsidRDefault="002043AB" w:rsidP="00FF034C">
            <w:pPr>
              <w:spacing w:before="0" w:line="240" w:lineRule="auto"/>
              <w:jc w:val="left"/>
              <w:rPr>
                <w:iCs/>
                <w:lang w:val="fr-FR"/>
              </w:rPr>
            </w:pPr>
          </w:p>
        </w:tc>
      </w:tr>
      <w:tr w:rsidR="002043AB" w:rsidRPr="007D496E" w14:paraId="1D5BFEB5" w14:textId="77777777" w:rsidTr="00154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16E0084" w14:textId="77777777" w:rsidR="002043AB" w:rsidRPr="007D496E" w:rsidRDefault="002043AB" w:rsidP="00FF034C">
            <w:pPr>
              <w:spacing w:before="120" w:line="240" w:lineRule="auto"/>
              <w:jc w:val="left"/>
              <w:rPr>
                <w:color w:val="000000"/>
                <w:lang w:val="fr-FR"/>
              </w:rPr>
            </w:pPr>
            <w:r w:rsidRPr="007D496E">
              <w:rPr>
                <w:color w:val="000000"/>
                <w:lang w:val="fr-FR"/>
              </w:rPr>
              <w:t>Objet:</w:t>
            </w:r>
          </w:p>
        </w:tc>
        <w:tc>
          <w:tcPr>
            <w:tcW w:w="8363" w:type="dxa"/>
            <w:gridSpan w:val="3"/>
            <w:tcBorders>
              <w:top w:val="nil"/>
              <w:left w:val="nil"/>
              <w:bottom w:val="nil"/>
              <w:right w:val="nil"/>
            </w:tcBorders>
            <w:shd w:val="clear" w:color="auto" w:fill="auto"/>
          </w:tcPr>
          <w:p w14:paraId="74167A3A" w14:textId="0FD66008" w:rsidR="002043AB" w:rsidRPr="007D496E" w:rsidRDefault="00981A8B" w:rsidP="00FF034C">
            <w:pPr>
              <w:spacing w:before="120" w:line="240" w:lineRule="auto"/>
              <w:jc w:val="left"/>
              <w:rPr>
                <w:b/>
                <w:bCs/>
                <w:color w:val="000000"/>
                <w:lang w:val="fr-FR"/>
              </w:rPr>
            </w:pPr>
            <w:bookmarkStart w:id="3" w:name="Subject"/>
            <w:bookmarkEnd w:id="3"/>
            <w:r w:rsidRPr="007D496E">
              <w:rPr>
                <w:b/>
                <w:bCs/>
                <w:color w:val="000000"/>
                <w:lang w:val="fr-FR"/>
              </w:rPr>
              <w:t>Consultation des États Membres au sujet du lieu précis, des dates exactes et du projet d'ordre du jour de la CMDT</w:t>
            </w:r>
            <w:r w:rsidR="000739C2" w:rsidRPr="007D496E">
              <w:rPr>
                <w:b/>
                <w:bCs/>
                <w:color w:val="000000"/>
                <w:lang w:val="fr-FR"/>
              </w:rPr>
              <w:t>-25,</w:t>
            </w:r>
            <w:r w:rsidR="006C72C3" w:rsidRPr="007D496E">
              <w:rPr>
                <w:b/>
                <w:bCs/>
                <w:color w:val="000000"/>
                <w:lang w:val="fr-FR"/>
              </w:rPr>
              <w:t xml:space="preserve"> au sujet de l'ordre du jour de la CMR-27</w:t>
            </w:r>
            <w:r w:rsidRPr="007D496E">
              <w:rPr>
                <w:b/>
                <w:bCs/>
                <w:color w:val="000000"/>
                <w:lang w:val="fr-FR"/>
              </w:rPr>
              <w:t xml:space="preserve"> et</w:t>
            </w:r>
            <w:r w:rsidR="00FC6F24" w:rsidRPr="007D496E">
              <w:rPr>
                <w:b/>
                <w:bCs/>
                <w:color w:val="000000"/>
                <w:lang w:val="fr-FR"/>
              </w:rPr>
              <w:t> </w:t>
            </w:r>
            <w:r w:rsidRPr="007D496E">
              <w:rPr>
                <w:b/>
                <w:bCs/>
                <w:color w:val="000000"/>
                <w:lang w:val="fr-FR"/>
              </w:rPr>
              <w:t>au sujet du nouveau projet réévalué pour les locaux du siège de l'UIT</w:t>
            </w:r>
          </w:p>
        </w:tc>
      </w:tr>
    </w:tbl>
    <w:p w14:paraId="6D471987" w14:textId="7BAAC7CA" w:rsidR="002043AB" w:rsidRPr="007D496E" w:rsidRDefault="002043AB" w:rsidP="00FF034C">
      <w:pPr>
        <w:pStyle w:val="Normalaftertitle0"/>
        <w:spacing w:before="360"/>
        <w:rPr>
          <w:rFonts w:asciiTheme="minorHAnsi" w:hAnsiTheme="minorHAnsi"/>
          <w:szCs w:val="24"/>
          <w:lang w:val="fr-FR"/>
        </w:rPr>
      </w:pPr>
      <w:bookmarkStart w:id="4" w:name="CurrentLocation"/>
      <w:bookmarkEnd w:id="4"/>
      <w:r w:rsidRPr="007D496E">
        <w:rPr>
          <w:rFonts w:asciiTheme="minorHAnsi" w:hAnsiTheme="minorHAnsi"/>
          <w:szCs w:val="24"/>
          <w:lang w:val="fr-FR"/>
        </w:rPr>
        <w:t>Madame, Monsieur,</w:t>
      </w:r>
    </w:p>
    <w:p w14:paraId="61BF9933" w14:textId="3DCD1F51" w:rsidR="00011162" w:rsidRPr="007D496E" w:rsidRDefault="00200CBF" w:rsidP="00FF034C">
      <w:pPr>
        <w:spacing w:line="240" w:lineRule="auto"/>
        <w:jc w:val="left"/>
        <w:rPr>
          <w:lang w:val="fr-FR"/>
        </w:rPr>
      </w:pPr>
      <w:r w:rsidRPr="007D496E">
        <w:rPr>
          <w:lang w:val="fr-FR"/>
        </w:rPr>
        <w:t xml:space="preserve">J'ai l'honneur de vous informer qu'à sa session de 2024, le Conseil a adopté les </w:t>
      </w:r>
      <w:r w:rsidR="00E66637" w:rsidRPr="007D496E">
        <w:rPr>
          <w:lang w:val="fr-FR"/>
        </w:rPr>
        <w:t>D</w:t>
      </w:r>
      <w:r w:rsidRPr="007D496E">
        <w:rPr>
          <w:lang w:val="fr-FR"/>
        </w:rPr>
        <w:t xml:space="preserve">écisions et </w:t>
      </w:r>
      <w:r w:rsidR="000739C2" w:rsidRPr="007D496E">
        <w:rPr>
          <w:lang w:val="fr-FR"/>
        </w:rPr>
        <w:t xml:space="preserve">la </w:t>
      </w:r>
      <w:r w:rsidR="00E66637" w:rsidRPr="007D496E">
        <w:rPr>
          <w:lang w:val="fr-FR"/>
        </w:rPr>
        <w:t>R</w:t>
      </w:r>
      <w:r w:rsidRPr="007D496E">
        <w:rPr>
          <w:lang w:val="fr-FR"/>
        </w:rPr>
        <w:t xml:space="preserve">ésolution </w:t>
      </w:r>
      <w:r w:rsidR="000739C2" w:rsidRPr="007D496E">
        <w:rPr>
          <w:lang w:val="fr-FR"/>
        </w:rPr>
        <w:t>ci-après</w:t>
      </w:r>
      <w:r w:rsidRPr="007D496E">
        <w:rPr>
          <w:lang w:val="fr-FR"/>
        </w:rPr>
        <w:t xml:space="preserve"> </w:t>
      </w:r>
      <w:r w:rsidR="000739C2" w:rsidRPr="007D496E">
        <w:rPr>
          <w:lang w:val="fr-FR"/>
        </w:rPr>
        <w:t>pour lesquelles</w:t>
      </w:r>
      <w:r w:rsidR="00E66637" w:rsidRPr="007D496E">
        <w:rPr>
          <w:lang w:val="fr-FR"/>
        </w:rPr>
        <w:t>, conformément aux numéro</w:t>
      </w:r>
      <w:r w:rsidR="000739C2" w:rsidRPr="007D496E">
        <w:rPr>
          <w:lang w:val="fr-FR"/>
        </w:rPr>
        <w:t>s</w:t>
      </w:r>
      <w:r w:rsidR="00E66637" w:rsidRPr="007D496E">
        <w:rPr>
          <w:lang w:val="fr-FR"/>
        </w:rPr>
        <w:t xml:space="preserve"> 41, 42, 79, 213 et 118 de la Convention de l'UIT, l'accord de la majorité des États Membres de l'Union</w:t>
      </w:r>
      <w:r w:rsidR="000739C2" w:rsidRPr="007D496E">
        <w:rPr>
          <w:lang w:val="fr-FR"/>
        </w:rPr>
        <w:t xml:space="preserve"> doit être obtenu</w:t>
      </w:r>
      <w:r w:rsidR="00E66637" w:rsidRPr="007D496E">
        <w:rPr>
          <w:lang w:val="fr-FR"/>
        </w:rPr>
        <w:t>:</w:t>
      </w:r>
    </w:p>
    <w:p w14:paraId="5A8D21D0" w14:textId="744D9FB6" w:rsidR="00011162" w:rsidRPr="007D496E" w:rsidRDefault="00011162" w:rsidP="00FF034C">
      <w:pPr>
        <w:pStyle w:val="enumlev1"/>
        <w:spacing w:line="240" w:lineRule="auto"/>
        <w:jc w:val="left"/>
        <w:rPr>
          <w:lang w:val="fr-FR"/>
        </w:rPr>
      </w:pPr>
      <w:r w:rsidRPr="007D496E">
        <w:rPr>
          <w:lang w:val="fr-FR"/>
        </w:rPr>
        <w:t>–</w:t>
      </w:r>
      <w:r w:rsidRPr="007D496E">
        <w:rPr>
          <w:lang w:val="fr-FR"/>
        </w:rPr>
        <w:tab/>
      </w:r>
      <w:hyperlink r:id="rId9" w:history="1">
        <w:r w:rsidR="00E66637" w:rsidRPr="007D496E">
          <w:rPr>
            <w:rStyle w:val="Hyperlink"/>
            <w:lang w:val="fr-FR"/>
          </w:rPr>
          <w:t>Décisio</w:t>
        </w:r>
        <w:r w:rsidR="00E66637" w:rsidRPr="007D496E">
          <w:rPr>
            <w:rStyle w:val="Hyperlink"/>
            <w:lang w:val="fr-FR"/>
          </w:rPr>
          <w:t>n</w:t>
        </w:r>
        <w:r w:rsidR="00E66637" w:rsidRPr="007D496E">
          <w:rPr>
            <w:rStyle w:val="Hyperlink"/>
            <w:lang w:val="fr-FR"/>
          </w:rPr>
          <w:t xml:space="preserve"> 637</w:t>
        </w:r>
      </w:hyperlink>
      <w:r w:rsidR="00E66637" w:rsidRPr="007D496E">
        <w:rPr>
          <w:lang w:val="fr-FR"/>
        </w:rPr>
        <w:t xml:space="preserve"> sur le lieu précis et les dates exactes de la Conférence mondiale de développement des télécommunications de 2025 (CMDT-25), en vertu de laquelle la CMDT-25 se tiendra à Bakou (République d'Azerbaïdjan), du 17 au 28 novembre 2025 (voir</w:t>
      </w:r>
      <w:r w:rsidR="00317B59" w:rsidRPr="007D496E">
        <w:rPr>
          <w:lang w:val="fr-FR"/>
        </w:rPr>
        <w:t> </w:t>
      </w:r>
      <w:r w:rsidR="00E66637" w:rsidRPr="007D496E">
        <w:rPr>
          <w:lang w:val="fr-FR"/>
        </w:rPr>
        <w:t>l'</w:t>
      </w:r>
      <w:hyperlink w:anchor="AnnexeB" w:history="1">
        <w:r w:rsidR="00E66637" w:rsidRPr="007D496E">
          <w:rPr>
            <w:rStyle w:val="Hyperlink"/>
            <w:lang w:val="fr-FR"/>
          </w:rPr>
          <w:t>Annex</w:t>
        </w:r>
        <w:r w:rsidR="00E66637" w:rsidRPr="007D496E">
          <w:rPr>
            <w:rStyle w:val="Hyperlink"/>
            <w:lang w:val="fr-FR"/>
          </w:rPr>
          <w:t>e</w:t>
        </w:r>
        <w:r w:rsidR="00E66637" w:rsidRPr="007D496E">
          <w:rPr>
            <w:rStyle w:val="Hyperlink"/>
            <w:lang w:val="fr-FR"/>
          </w:rPr>
          <w:t xml:space="preserve"> B</w:t>
        </w:r>
      </w:hyperlink>
      <w:r w:rsidR="00E66637" w:rsidRPr="007D496E">
        <w:rPr>
          <w:lang w:val="fr-FR"/>
        </w:rPr>
        <w:t>)</w:t>
      </w:r>
      <w:r w:rsidR="00FC6F24" w:rsidRPr="007D496E">
        <w:rPr>
          <w:lang w:val="fr-FR"/>
        </w:rPr>
        <w:t>.</w:t>
      </w:r>
    </w:p>
    <w:p w14:paraId="5E0EDE8B" w14:textId="1DB47018" w:rsidR="00011162" w:rsidRPr="007D496E" w:rsidRDefault="00011162" w:rsidP="00FF034C">
      <w:pPr>
        <w:pStyle w:val="enumlev1"/>
        <w:spacing w:line="240" w:lineRule="auto"/>
        <w:jc w:val="left"/>
        <w:rPr>
          <w:lang w:val="fr-FR"/>
        </w:rPr>
      </w:pPr>
      <w:r w:rsidRPr="007D496E">
        <w:rPr>
          <w:lang w:val="fr-FR"/>
        </w:rPr>
        <w:t>–</w:t>
      </w:r>
      <w:r w:rsidRPr="007D496E">
        <w:rPr>
          <w:lang w:val="fr-FR"/>
        </w:rPr>
        <w:tab/>
      </w:r>
      <w:r w:rsidR="000739C2" w:rsidRPr="007D496E">
        <w:rPr>
          <w:lang w:val="fr-FR"/>
        </w:rPr>
        <w:t>Approbation du projet d'ordre du jour de la CMDT-25 (voir l'</w:t>
      </w:r>
      <w:hyperlink w:anchor="AnnexeC" w:history="1">
        <w:r w:rsidR="000739C2" w:rsidRPr="007D496E">
          <w:rPr>
            <w:rStyle w:val="Hyperlink"/>
            <w:lang w:val="fr-FR"/>
          </w:rPr>
          <w:t>Ann</w:t>
        </w:r>
        <w:r w:rsidR="000739C2" w:rsidRPr="007D496E">
          <w:rPr>
            <w:rStyle w:val="Hyperlink"/>
            <w:lang w:val="fr-FR"/>
          </w:rPr>
          <w:t>e</w:t>
        </w:r>
        <w:r w:rsidR="000739C2" w:rsidRPr="007D496E">
          <w:rPr>
            <w:rStyle w:val="Hyperlink"/>
            <w:lang w:val="fr-FR"/>
          </w:rPr>
          <w:t>xe C</w:t>
        </w:r>
      </w:hyperlink>
      <w:r w:rsidR="000739C2" w:rsidRPr="007D496E">
        <w:rPr>
          <w:lang w:val="fr-FR"/>
        </w:rPr>
        <w:t>)</w:t>
      </w:r>
      <w:r w:rsidR="00FC6F24" w:rsidRPr="007D496E">
        <w:rPr>
          <w:lang w:val="fr-FR"/>
        </w:rPr>
        <w:t>.</w:t>
      </w:r>
    </w:p>
    <w:p w14:paraId="4B3F7668" w14:textId="1B7B2BBB" w:rsidR="00011162" w:rsidRPr="007D496E" w:rsidRDefault="00011162" w:rsidP="00FF034C">
      <w:pPr>
        <w:pStyle w:val="enumlev1"/>
        <w:spacing w:line="240" w:lineRule="auto"/>
        <w:jc w:val="left"/>
        <w:rPr>
          <w:lang w:val="fr-FR"/>
        </w:rPr>
      </w:pPr>
      <w:r w:rsidRPr="007D496E">
        <w:rPr>
          <w:lang w:val="fr-FR"/>
        </w:rPr>
        <w:t>–</w:t>
      </w:r>
      <w:r w:rsidRPr="007D496E">
        <w:rPr>
          <w:lang w:val="fr-FR"/>
        </w:rPr>
        <w:tab/>
      </w:r>
      <w:hyperlink r:id="rId10" w:history="1">
        <w:r w:rsidR="000739C2" w:rsidRPr="007D496E">
          <w:rPr>
            <w:rStyle w:val="Hyperlink"/>
            <w:lang w:val="fr-FR"/>
          </w:rPr>
          <w:t xml:space="preserve">Résolution </w:t>
        </w:r>
        <w:r w:rsidR="000739C2" w:rsidRPr="007D496E">
          <w:rPr>
            <w:rStyle w:val="Hyperlink"/>
            <w:lang w:val="fr-FR"/>
          </w:rPr>
          <w:t>1</w:t>
        </w:r>
        <w:r w:rsidR="000739C2" w:rsidRPr="007D496E">
          <w:rPr>
            <w:rStyle w:val="Hyperlink"/>
            <w:lang w:val="fr-FR"/>
          </w:rPr>
          <w:t>422</w:t>
        </w:r>
      </w:hyperlink>
      <w:r w:rsidR="000739C2" w:rsidRPr="007D496E">
        <w:rPr>
          <w:lang w:val="fr-FR"/>
        </w:rPr>
        <w:t xml:space="preserve"> sur l'ordre du jour de la Conférence mondiale des radiocommunications de 2027 (CMR-27) (voir l'</w:t>
      </w:r>
      <w:hyperlink w:anchor="AnnexeD" w:history="1">
        <w:r w:rsidR="000739C2" w:rsidRPr="007D496E">
          <w:rPr>
            <w:rStyle w:val="Hyperlink"/>
            <w:lang w:val="fr-FR"/>
          </w:rPr>
          <w:t>Anne</w:t>
        </w:r>
        <w:r w:rsidR="000739C2" w:rsidRPr="007D496E">
          <w:rPr>
            <w:rStyle w:val="Hyperlink"/>
            <w:lang w:val="fr-FR"/>
          </w:rPr>
          <w:t>x</w:t>
        </w:r>
        <w:r w:rsidR="000739C2" w:rsidRPr="007D496E">
          <w:rPr>
            <w:rStyle w:val="Hyperlink"/>
            <w:lang w:val="fr-FR"/>
          </w:rPr>
          <w:t>e D</w:t>
        </w:r>
      </w:hyperlink>
      <w:r w:rsidR="000739C2" w:rsidRPr="007D496E">
        <w:rPr>
          <w:lang w:val="fr-FR"/>
        </w:rPr>
        <w:t>)</w:t>
      </w:r>
      <w:r w:rsidR="00FC6F24" w:rsidRPr="007D496E">
        <w:rPr>
          <w:lang w:val="fr-FR"/>
        </w:rPr>
        <w:t>.</w:t>
      </w:r>
    </w:p>
    <w:p w14:paraId="582799B2" w14:textId="2E9FEBD6" w:rsidR="00011162" w:rsidRPr="007D496E" w:rsidRDefault="00011162" w:rsidP="00FF034C">
      <w:pPr>
        <w:pStyle w:val="enumlev1"/>
        <w:spacing w:line="240" w:lineRule="auto"/>
        <w:jc w:val="left"/>
        <w:rPr>
          <w:lang w:val="fr-FR"/>
        </w:rPr>
      </w:pPr>
      <w:r w:rsidRPr="007D496E">
        <w:rPr>
          <w:lang w:val="fr-FR"/>
        </w:rPr>
        <w:t>–</w:t>
      </w:r>
      <w:r w:rsidRPr="007D496E">
        <w:rPr>
          <w:lang w:val="fr-FR"/>
        </w:rPr>
        <w:tab/>
      </w:r>
      <w:hyperlink r:id="rId11" w:history="1">
        <w:r w:rsidR="000739C2" w:rsidRPr="007D496E">
          <w:rPr>
            <w:rStyle w:val="Hyperlink"/>
            <w:lang w:val="fr-FR"/>
          </w:rPr>
          <w:t>Décision</w:t>
        </w:r>
        <w:r w:rsidR="000739C2" w:rsidRPr="007D496E">
          <w:rPr>
            <w:rStyle w:val="Hyperlink"/>
            <w:lang w:val="fr-FR"/>
          </w:rPr>
          <w:t xml:space="preserve"> </w:t>
        </w:r>
        <w:r w:rsidR="000739C2" w:rsidRPr="007D496E">
          <w:rPr>
            <w:rStyle w:val="Hyperlink"/>
            <w:lang w:val="fr-FR"/>
          </w:rPr>
          <w:t>640</w:t>
        </w:r>
      </w:hyperlink>
      <w:r w:rsidR="000739C2" w:rsidRPr="007D496E">
        <w:rPr>
          <w:lang w:val="fr-FR"/>
        </w:rPr>
        <w:t xml:space="preserve"> sur le nouveau projet réévalué pour les locaux du siège de l'UIT (voir</w:t>
      </w:r>
      <w:r w:rsidR="00317B59" w:rsidRPr="007D496E">
        <w:rPr>
          <w:lang w:val="fr-FR"/>
        </w:rPr>
        <w:t> </w:t>
      </w:r>
      <w:r w:rsidR="000739C2" w:rsidRPr="007D496E">
        <w:rPr>
          <w:lang w:val="fr-FR"/>
        </w:rPr>
        <w:t>l'</w:t>
      </w:r>
      <w:hyperlink w:anchor="AnnexeE" w:history="1">
        <w:r w:rsidR="000739C2" w:rsidRPr="007D496E">
          <w:rPr>
            <w:rStyle w:val="Hyperlink"/>
            <w:lang w:val="fr-FR"/>
          </w:rPr>
          <w:t>Anne</w:t>
        </w:r>
        <w:r w:rsidR="000739C2" w:rsidRPr="007D496E">
          <w:rPr>
            <w:rStyle w:val="Hyperlink"/>
            <w:lang w:val="fr-FR"/>
          </w:rPr>
          <w:t>x</w:t>
        </w:r>
        <w:r w:rsidR="000739C2" w:rsidRPr="007D496E">
          <w:rPr>
            <w:rStyle w:val="Hyperlink"/>
            <w:lang w:val="fr-FR"/>
          </w:rPr>
          <w:t>e E</w:t>
        </w:r>
      </w:hyperlink>
      <w:r w:rsidR="000739C2" w:rsidRPr="007D496E">
        <w:rPr>
          <w:lang w:val="fr-FR"/>
        </w:rPr>
        <w:t>)</w:t>
      </w:r>
      <w:r w:rsidR="00317B59" w:rsidRPr="007D496E">
        <w:rPr>
          <w:lang w:val="fr-FR"/>
        </w:rPr>
        <w:t>.</w:t>
      </w:r>
    </w:p>
    <w:p w14:paraId="1FA0BAD6" w14:textId="065E44E5" w:rsidR="00011162" w:rsidRPr="007D496E" w:rsidRDefault="000739C2" w:rsidP="00FF034C">
      <w:pPr>
        <w:spacing w:line="240" w:lineRule="auto"/>
        <w:jc w:val="left"/>
        <w:rPr>
          <w:lang w:val="fr-FR"/>
        </w:rPr>
      </w:pPr>
      <w:r w:rsidRPr="007D496E">
        <w:rPr>
          <w:lang w:val="fr-FR"/>
        </w:rPr>
        <w:t>Tous les États Membres de l'UIT ayant le droit de vote sont donc invités à informer la Secrétaire</w:t>
      </w:r>
      <w:r w:rsidR="00FC6F24" w:rsidRPr="007D496E">
        <w:rPr>
          <w:lang w:val="fr-FR"/>
        </w:rPr>
        <w:t> </w:t>
      </w:r>
      <w:r w:rsidRPr="007D496E">
        <w:rPr>
          <w:lang w:val="fr-FR"/>
        </w:rPr>
        <w:t xml:space="preserve">générale de leur accord concernant les Décisions et la Résolution susmentionnées au moyen de </w:t>
      </w:r>
      <w:hyperlink r:id="rId12" w:history="1">
        <w:r w:rsidRPr="007D496E">
          <w:rPr>
            <w:rStyle w:val="Hyperlink"/>
            <w:lang w:val="fr-FR"/>
          </w:rPr>
          <w:t xml:space="preserve">l'outil en </w:t>
        </w:r>
        <w:r w:rsidRPr="007D496E">
          <w:rPr>
            <w:rStyle w:val="Hyperlink"/>
            <w:lang w:val="fr-FR"/>
          </w:rPr>
          <w:t>l</w:t>
        </w:r>
        <w:r w:rsidRPr="007D496E">
          <w:rPr>
            <w:rStyle w:val="Hyperlink"/>
            <w:lang w:val="fr-FR"/>
          </w:rPr>
          <w:t>igne</w:t>
        </w:r>
      </w:hyperlink>
      <w:r w:rsidRPr="007D496E">
        <w:rPr>
          <w:lang w:val="fr-FR"/>
        </w:rPr>
        <w:t xml:space="preserve"> ou en remplissant le modèle reproduit dans l'</w:t>
      </w:r>
      <w:hyperlink w:anchor="AnnexeA" w:history="1">
        <w:r w:rsidRPr="007D496E">
          <w:rPr>
            <w:rStyle w:val="Hyperlink"/>
            <w:lang w:val="fr-FR"/>
          </w:rPr>
          <w:t>Anne</w:t>
        </w:r>
        <w:r w:rsidRPr="007D496E">
          <w:rPr>
            <w:rStyle w:val="Hyperlink"/>
            <w:lang w:val="fr-FR"/>
          </w:rPr>
          <w:t>x</w:t>
        </w:r>
        <w:r w:rsidRPr="007D496E">
          <w:rPr>
            <w:rStyle w:val="Hyperlink"/>
            <w:lang w:val="fr-FR"/>
          </w:rPr>
          <w:t>e A</w:t>
        </w:r>
      </w:hyperlink>
      <w:r w:rsidRPr="007D496E">
        <w:rPr>
          <w:lang w:val="fr-FR"/>
        </w:rPr>
        <w:t xml:space="preserve"> de la présente lettre et en le renvoyant par courriel à l'adresse </w:t>
      </w:r>
      <w:hyperlink r:id="rId13" w:history="1">
        <w:r w:rsidRPr="007D496E">
          <w:rPr>
            <w:rStyle w:val="Hyperlink"/>
            <w:lang w:val="fr-FR"/>
          </w:rPr>
          <w:t>memberstates@itu.int</w:t>
        </w:r>
      </w:hyperlink>
      <w:r w:rsidRPr="007D496E">
        <w:rPr>
          <w:lang w:val="fr-FR"/>
        </w:rPr>
        <w:t xml:space="preserve"> </w:t>
      </w:r>
      <w:r w:rsidRPr="007D496E">
        <w:rPr>
          <w:b/>
          <w:bCs/>
          <w:lang w:val="fr-FR"/>
        </w:rPr>
        <w:t>au plus tard le</w:t>
      </w:r>
      <w:r w:rsidR="00FC6F24" w:rsidRPr="007D496E">
        <w:rPr>
          <w:b/>
          <w:bCs/>
          <w:lang w:val="fr-FR"/>
        </w:rPr>
        <w:t> </w:t>
      </w:r>
      <w:r w:rsidRPr="007D496E">
        <w:rPr>
          <w:b/>
          <w:bCs/>
          <w:lang w:val="fr-FR"/>
        </w:rPr>
        <w:t>31</w:t>
      </w:r>
      <w:r w:rsidR="00FC6F24" w:rsidRPr="007D496E">
        <w:rPr>
          <w:b/>
          <w:bCs/>
          <w:lang w:val="fr-FR"/>
        </w:rPr>
        <w:t> </w:t>
      </w:r>
      <w:r w:rsidRPr="007D496E">
        <w:rPr>
          <w:b/>
          <w:bCs/>
          <w:lang w:val="fr-FR"/>
        </w:rPr>
        <w:t>août</w:t>
      </w:r>
      <w:r w:rsidR="00FC6F24" w:rsidRPr="007D496E">
        <w:rPr>
          <w:b/>
          <w:bCs/>
          <w:lang w:val="fr-FR"/>
        </w:rPr>
        <w:t> </w:t>
      </w:r>
      <w:r w:rsidRPr="007D496E">
        <w:rPr>
          <w:b/>
          <w:bCs/>
          <w:lang w:val="fr-FR"/>
        </w:rPr>
        <w:t>2024</w:t>
      </w:r>
      <w:r w:rsidRPr="007D496E">
        <w:rPr>
          <w:lang w:val="fr-FR"/>
        </w:rPr>
        <w:t xml:space="preserve">, </w:t>
      </w:r>
      <w:r w:rsidR="00894153" w:rsidRPr="007D496E">
        <w:rPr>
          <w:lang w:val="fr-FR"/>
        </w:rPr>
        <w:t>date à laquelle la période de consultation prendra fin.</w:t>
      </w:r>
    </w:p>
    <w:p w14:paraId="64C46962" w14:textId="2DC99413" w:rsidR="00011162" w:rsidRPr="007D496E" w:rsidRDefault="00894153" w:rsidP="00FF034C">
      <w:pPr>
        <w:spacing w:line="240" w:lineRule="auto"/>
        <w:jc w:val="left"/>
        <w:rPr>
          <w:lang w:val="fr-FR"/>
        </w:rPr>
      </w:pPr>
      <w:r w:rsidRPr="007D496E">
        <w:rPr>
          <w:lang w:val="fr-FR"/>
        </w:rPr>
        <w:t xml:space="preserve">La réponse des États Membres du Conseil sera considérée comme étant positive eu égard à cette consultation, sauf indication contraire communiquée par le Conseiller ou le coordonnateur de l'administration concernée par l'envoi d'un courrier électronique à l'adresse </w:t>
      </w:r>
      <w:hyperlink r:id="rId14" w:history="1">
        <w:r w:rsidRPr="007D496E">
          <w:rPr>
            <w:rStyle w:val="Hyperlink"/>
            <w:lang w:val="fr-FR"/>
          </w:rPr>
          <w:t>memberstates@itu.int</w:t>
        </w:r>
      </w:hyperlink>
      <w:r w:rsidRPr="007D496E">
        <w:rPr>
          <w:lang w:val="fr-FR"/>
        </w:rPr>
        <w:t>, au moyen également du formulaire joint dans l'</w:t>
      </w:r>
      <w:hyperlink w:anchor="AnnexeA" w:history="1">
        <w:r w:rsidRPr="007D496E">
          <w:rPr>
            <w:rStyle w:val="Hyperlink"/>
            <w:lang w:val="fr-FR"/>
          </w:rPr>
          <w:t>Ann</w:t>
        </w:r>
        <w:r w:rsidRPr="007D496E">
          <w:rPr>
            <w:rStyle w:val="Hyperlink"/>
            <w:lang w:val="fr-FR"/>
          </w:rPr>
          <w:t>e</w:t>
        </w:r>
        <w:r w:rsidRPr="007D496E">
          <w:rPr>
            <w:rStyle w:val="Hyperlink"/>
            <w:lang w:val="fr-FR"/>
          </w:rPr>
          <w:t>xe A</w:t>
        </w:r>
      </w:hyperlink>
      <w:r w:rsidRPr="007D496E">
        <w:rPr>
          <w:lang w:val="fr-FR"/>
        </w:rPr>
        <w:t>.</w:t>
      </w:r>
    </w:p>
    <w:p w14:paraId="04F00B88" w14:textId="5630DDC5" w:rsidR="00011162" w:rsidRPr="007D496E" w:rsidRDefault="00894153" w:rsidP="00FF034C">
      <w:pPr>
        <w:keepNext/>
        <w:keepLines/>
        <w:spacing w:line="240" w:lineRule="auto"/>
        <w:jc w:val="left"/>
        <w:rPr>
          <w:lang w:val="fr-FR"/>
        </w:rPr>
      </w:pPr>
      <w:r w:rsidRPr="007D496E">
        <w:rPr>
          <w:lang w:val="fr-FR"/>
        </w:rPr>
        <w:lastRenderedPageBreak/>
        <w:t>J'attends avec intérêt votre réponse.</w:t>
      </w:r>
    </w:p>
    <w:p w14:paraId="2BB8C315" w14:textId="71B33828" w:rsidR="00894153" w:rsidRPr="007D496E" w:rsidRDefault="00894153" w:rsidP="00FF034C">
      <w:pPr>
        <w:keepNext/>
        <w:keepLines/>
        <w:spacing w:line="240" w:lineRule="auto"/>
        <w:jc w:val="left"/>
        <w:rPr>
          <w:lang w:val="fr-FR"/>
        </w:rPr>
      </w:pPr>
      <w:r w:rsidRPr="007D496E">
        <w:rPr>
          <w:lang w:val="fr-FR"/>
        </w:rPr>
        <w:t>Veuillez agréer, Madame, Monsieur, l'assurance de ma considération distinguée.</w:t>
      </w:r>
    </w:p>
    <w:p w14:paraId="127114D4" w14:textId="658755D2" w:rsidR="001408BC" w:rsidRPr="007D496E" w:rsidRDefault="009E1329" w:rsidP="00FF034C">
      <w:pPr>
        <w:keepNext/>
        <w:keepLines/>
        <w:spacing w:before="480" w:after="480" w:line="240" w:lineRule="auto"/>
        <w:jc w:val="left"/>
        <w:rPr>
          <w:lang w:val="fr-FR"/>
        </w:rPr>
      </w:pPr>
      <w:bookmarkStart w:id="5" w:name="Formula"/>
      <w:bookmarkStart w:id="6" w:name="MainStory"/>
      <w:bookmarkEnd w:id="5"/>
      <w:bookmarkEnd w:id="6"/>
      <w:r w:rsidRPr="007D496E">
        <w:rPr>
          <w:lang w:val="fr-FR"/>
        </w:rPr>
        <w:t>(</w:t>
      </w:r>
      <w:r w:rsidR="001408BC" w:rsidRPr="007D496E">
        <w:rPr>
          <w:i/>
          <w:iCs/>
          <w:lang w:val="fr-FR"/>
        </w:rPr>
        <w:t>signé</w:t>
      </w:r>
      <w:r w:rsidRPr="007D496E">
        <w:rPr>
          <w:lang w:val="fr-FR"/>
        </w:rPr>
        <w:t>)</w:t>
      </w:r>
    </w:p>
    <w:p w14:paraId="1738B347" w14:textId="07F71815" w:rsidR="001408BC" w:rsidRPr="007D496E" w:rsidRDefault="001408BC" w:rsidP="00FF034C">
      <w:pPr>
        <w:keepNext/>
        <w:keepLines/>
        <w:spacing w:line="240" w:lineRule="auto"/>
        <w:jc w:val="left"/>
        <w:rPr>
          <w:lang w:val="fr-FR"/>
        </w:rPr>
      </w:pPr>
      <w:r w:rsidRPr="007D496E">
        <w:rPr>
          <w:lang w:val="fr-FR"/>
        </w:rPr>
        <w:t>Doreen Bogdan-Martin</w:t>
      </w:r>
      <w:r w:rsidRPr="007D496E">
        <w:rPr>
          <w:lang w:val="fr-FR"/>
        </w:rPr>
        <w:br/>
        <w:t>Secrétaire générale</w:t>
      </w:r>
    </w:p>
    <w:p w14:paraId="2D638F88" w14:textId="22E92FCB" w:rsidR="00011162" w:rsidRPr="007D496E" w:rsidRDefault="00011162" w:rsidP="00FF034C">
      <w:pPr>
        <w:spacing w:before="2160" w:line="240" w:lineRule="auto"/>
        <w:jc w:val="left"/>
        <w:rPr>
          <w:b/>
          <w:bCs/>
          <w:lang w:val="fr-FR"/>
        </w:rPr>
      </w:pPr>
      <w:r w:rsidRPr="007D496E">
        <w:rPr>
          <w:b/>
          <w:bCs/>
          <w:lang w:val="fr-FR"/>
        </w:rPr>
        <w:t>Annexe</w:t>
      </w:r>
      <w:r w:rsidR="00EB5CA6" w:rsidRPr="007D496E">
        <w:rPr>
          <w:b/>
          <w:bCs/>
          <w:lang w:val="fr-FR"/>
        </w:rPr>
        <w:t>s</w:t>
      </w:r>
      <w:r w:rsidRPr="007D496E">
        <w:rPr>
          <w:lang w:val="fr-FR"/>
        </w:rPr>
        <w:t>:</w:t>
      </w:r>
      <w:r w:rsidRPr="007D496E">
        <w:rPr>
          <w:lang w:val="fr-FR"/>
        </w:rPr>
        <w:tab/>
        <w:t>5</w:t>
      </w:r>
    </w:p>
    <w:p w14:paraId="08AF5115" w14:textId="48C64834" w:rsidR="009E1329" w:rsidRPr="007D496E" w:rsidRDefault="009E1329" w:rsidP="00FF034C">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7D496E">
        <w:rPr>
          <w:lang w:val="fr-FR"/>
        </w:rPr>
        <w:br w:type="page"/>
      </w:r>
    </w:p>
    <w:p w14:paraId="7BB0F3F7" w14:textId="77777777" w:rsidR="006B78FA" w:rsidRPr="007D496E" w:rsidRDefault="00011162" w:rsidP="00FF034C">
      <w:pPr>
        <w:pStyle w:val="AnnexNo"/>
        <w:rPr>
          <w:b/>
          <w:bCs/>
        </w:rPr>
      </w:pPr>
      <w:bookmarkStart w:id="7" w:name="AnnexeA"/>
      <w:r w:rsidRPr="007D496E">
        <w:rPr>
          <w:b/>
          <w:bCs/>
        </w:rPr>
        <w:lastRenderedPageBreak/>
        <w:t>ANNEXE A</w:t>
      </w:r>
      <w:bookmarkEnd w:id="7"/>
    </w:p>
    <w:p w14:paraId="70478F0A" w14:textId="706AE4C6" w:rsidR="00011162" w:rsidRPr="007D496E" w:rsidRDefault="006C72C3" w:rsidP="00FF034C">
      <w:pPr>
        <w:pStyle w:val="Annextitle"/>
      </w:pPr>
      <w:r w:rsidRPr="007D496E">
        <w:t>Consultation des États Membres au sujet du lieu précis, des dates exactes</w:t>
      </w:r>
      <w:r w:rsidR="00317B59" w:rsidRPr="007D496E">
        <w:br/>
      </w:r>
      <w:r w:rsidRPr="007D496E">
        <w:t>et du projet d'ordre du jour de la CMDT-25, au sujet de l'ordre du jour</w:t>
      </w:r>
      <w:r w:rsidR="00317B59" w:rsidRPr="007D496E">
        <w:br/>
      </w:r>
      <w:r w:rsidRPr="007D496E">
        <w:t>de la CMR-27 et au sujet du nouveau projet réévalué</w:t>
      </w:r>
      <w:r w:rsidR="00317B59" w:rsidRPr="007D496E">
        <w:br/>
      </w:r>
      <w:r w:rsidRPr="007D496E">
        <w:t>pour les locaux du siège de l'UIT</w:t>
      </w:r>
    </w:p>
    <w:p w14:paraId="09B20338" w14:textId="378C710C" w:rsidR="00011162" w:rsidRPr="007D496E" w:rsidRDefault="00011162" w:rsidP="00FF034C">
      <w:pPr>
        <w:pStyle w:val="Headingb"/>
        <w:spacing w:before="360" w:after="120" w:line="240" w:lineRule="auto"/>
        <w:rPr>
          <w:lang w:val="fr-FR"/>
        </w:rPr>
      </w:pPr>
      <w:r w:rsidRPr="007D496E">
        <w:rPr>
          <w:lang w:val="fr-FR"/>
        </w:rPr>
        <w:t>Nom de l'État Membre de l'UIT:</w:t>
      </w:r>
    </w:p>
    <w:tbl>
      <w:tblPr>
        <w:tblStyle w:val="TableGrid"/>
        <w:tblW w:w="0" w:type="auto"/>
        <w:tblLook w:val="04A0" w:firstRow="1" w:lastRow="0" w:firstColumn="1" w:lastColumn="0" w:noHBand="0" w:noVBand="1"/>
      </w:tblPr>
      <w:tblGrid>
        <w:gridCol w:w="9629"/>
      </w:tblGrid>
      <w:tr w:rsidR="00011162" w:rsidRPr="007D496E" w14:paraId="71880956" w14:textId="77777777" w:rsidTr="00011162">
        <w:tc>
          <w:tcPr>
            <w:tcW w:w="9629" w:type="dxa"/>
          </w:tcPr>
          <w:p w14:paraId="012E8A9B" w14:textId="77777777" w:rsidR="00011162" w:rsidRPr="007D496E" w:rsidRDefault="00011162" w:rsidP="00FF034C">
            <w:pPr>
              <w:spacing w:line="240" w:lineRule="auto"/>
              <w:rPr>
                <w:lang w:val="fr-FR"/>
              </w:rPr>
            </w:pPr>
          </w:p>
        </w:tc>
      </w:tr>
    </w:tbl>
    <w:p w14:paraId="21D9B90C" w14:textId="2E57CEC2" w:rsidR="00011162" w:rsidRPr="007D496E" w:rsidRDefault="00011162" w:rsidP="00FF034C">
      <w:pPr>
        <w:spacing w:before="360" w:line="240" w:lineRule="auto"/>
        <w:rPr>
          <w:lang w:val="fr-FR"/>
        </w:rPr>
      </w:pPr>
    </w:p>
    <w:tbl>
      <w:tblPr>
        <w:tblStyle w:val="TableGrid"/>
        <w:tblW w:w="9639" w:type="dxa"/>
        <w:jc w:val="center"/>
        <w:tblLook w:val="04A0" w:firstRow="1" w:lastRow="0" w:firstColumn="1" w:lastColumn="0" w:noHBand="0" w:noVBand="1"/>
      </w:tblPr>
      <w:tblGrid>
        <w:gridCol w:w="1970"/>
        <w:gridCol w:w="1651"/>
        <w:gridCol w:w="3650"/>
        <w:gridCol w:w="624"/>
        <w:gridCol w:w="609"/>
        <w:gridCol w:w="1135"/>
      </w:tblGrid>
      <w:tr w:rsidR="00011162" w:rsidRPr="007D496E" w14:paraId="56D15DEF" w14:textId="77777777" w:rsidTr="00FC6F24">
        <w:trPr>
          <w:jc w:val="center"/>
        </w:trPr>
        <w:tc>
          <w:tcPr>
            <w:tcW w:w="1970" w:type="dxa"/>
            <w:vAlign w:val="center"/>
          </w:tcPr>
          <w:p w14:paraId="18C481B9" w14:textId="163A8CDD" w:rsidR="00011162" w:rsidRPr="007D496E" w:rsidRDefault="006C72C3" w:rsidP="00FF034C">
            <w:pPr>
              <w:pStyle w:val="Tablehead"/>
              <w:rPr>
                <w:lang w:val="fr-FR"/>
              </w:rPr>
            </w:pPr>
            <w:r w:rsidRPr="007D496E">
              <w:rPr>
                <w:lang w:val="fr-FR"/>
              </w:rPr>
              <w:t>Sujet</w:t>
            </w:r>
          </w:p>
        </w:tc>
        <w:tc>
          <w:tcPr>
            <w:tcW w:w="1651" w:type="dxa"/>
            <w:vAlign w:val="center"/>
          </w:tcPr>
          <w:p w14:paraId="45B15B5E" w14:textId="33CE6D22" w:rsidR="00011162" w:rsidRPr="007D496E" w:rsidRDefault="006C72C3" w:rsidP="00FF034C">
            <w:pPr>
              <w:pStyle w:val="Tablehead"/>
              <w:rPr>
                <w:lang w:val="fr-FR"/>
              </w:rPr>
            </w:pPr>
            <w:r w:rsidRPr="007D496E">
              <w:rPr>
                <w:lang w:val="fr-FR"/>
              </w:rPr>
              <w:t>Document de référence</w:t>
            </w:r>
          </w:p>
        </w:tc>
        <w:tc>
          <w:tcPr>
            <w:tcW w:w="3650" w:type="dxa"/>
            <w:vAlign w:val="center"/>
          </w:tcPr>
          <w:p w14:paraId="400AF1BA" w14:textId="39F4AE4A" w:rsidR="00011162" w:rsidRPr="007D496E" w:rsidRDefault="00011162" w:rsidP="00FF034C">
            <w:pPr>
              <w:pStyle w:val="Tablehead"/>
              <w:rPr>
                <w:lang w:val="fr-FR"/>
              </w:rPr>
            </w:pPr>
            <w:r w:rsidRPr="007D496E">
              <w:rPr>
                <w:lang w:val="fr-FR"/>
              </w:rPr>
              <w:t>Proposition</w:t>
            </w:r>
          </w:p>
        </w:tc>
        <w:tc>
          <w:tcPr>
            <w:tcW w:w="624" w:type="dxa"/>
            <w:vAlign w:val="center"/>
          </w:tcPr>
          <w:p w14:paraId="7EE83878" w14:textId="61D1494E" w:rsidR="00011162" w:rsidRPr="007D496E" w:rsidRDefault="00011162" w:rsidP="00FF034C">
            <w:pPr>
              <w:pStyle w:val="Tablehead"/>
              <w:rPr>
                <w:lang w:val="fr-FR"/>
              </w:rPr>
            </w:pPr>
            <w:r w:rsidRPr="007D496E">
              <w:rPr>
                <w:lang w:val="fr-FR"/>
              </w:rPr>
              <w:t>Oui</w:t>
            </w:r>
          </w:p>
        </w:tc>
        <w:tc>
          <w:tcPr>
            <w:tcW w:w="609" w:type="dxa"/>
            <w:vAlign w:val="center"/>
          </w:tcPr>
          <w:p w14:paraId="2DCB53DF" w14:textId="34F621AF" w:rsidR="00011162" w:rsidRPr="007D496E" w:rsidRDefault="00011162" w:rsidP="00FF034C">
            <w:pPr>
              <w:pStyle w:val="Tablehead"/>
              <w:rPr>
                <w:lang w:val="fr-FR"/>
              </w:rPr>
            </w:pPr>
            <w:r w:rsidRPr="007D496E">
              <w:rPr>
                <w:lang w:val="fr-FR"/>
              </w:rPr>
              <w:t>Non</w:t>
            </w:r>
          </w:p>
        </w:tc>
        <w:tc>
          <w:tcPr>
            <w:tcW w:w="1135" w:type="dxa"/>
            <w:vAlign w:val="center"/>
          </w:tcPr>
          <w:p w14:paraId="6C5D6AA6" w14:textId="77777777" w:rsidR="00011162" w:rsidRPr="007D496E" w:rsidRDefault="00011162" w:rsidP="00FF034C">
            <w:pPr>
              <w:pStyle w:val="Tablehead"/>
              <w:rPr>
                <w:lang w:val="fr-FR"/>
              </w:rPr>
            </w:pPr>
            <w:r w:rsidRPr="007D496E">
              <w:rPr>
                <w:lang w:val="fr-FR"/>
              </w:rPr>
              <w:t>Abstention</w:t>
            </w:r>
          </w:p>
        </w:tc>
      </w:tr>
      <w:tr w:rsidR="00011162" w:rsidRPr="007D496E" w14:paraId="3CF38BF1" w14:textId="77777777" w:rsidTr="00FC6F24">
        <w:trPr>
          <w:jc w:val="center"/>
        </w:trPr>
        <w:tc>
          <w:tcPr>
            <w:tcW w:w="1970" w:type="dxa"/>
            <w:vAlign w:val="center"/>
          </w:tcPr>
          <w:p w14:paraId="390D8EF0" w14:textId="1B3B7795" w:rsidR="00011162" w:rsidRPr="007D496E" w:rsidRDefault="006C72C3" w:rsidP="00FF034C">
            <w:pPr>
              <w:pStyle w:val="Tabletext"/>
              <w:rPr>
                <w:lang w:val="fr-FR"/>
              </w:rPr>
            </w:pPr>
            <w:r w:rsidRPr="007D496E">
              <w:rPr>
                <w:lang w:val="fr-FR"/>
              </w:rPr>
              <w:t>Lieu précis et dates</w:t>
            </w:r>
            <w:r w:rsidR="00FF034C" w:rsidRPr="007D496E">
              <w:rPr>
                <w:lang w:val="fr-FR"/>
              </w:rPr>
              <w:t> </w:t>
            </w:r>
            <w:r w:rsidRPr="007D496E">
              <w:rPr>
                <w:lang w:val="fr-FR"/>
              </w:rPr>
              <w:t>exactes de</w:t>
            </w:r>
            <w:r w:rsidR="00FF034C" w:rsidRPr="007D496E">
              <w:rPr>
                <w:lang w:val="fr-FR"/>
              </w:rPr>
              <w:t> </w:t>
            </w:r>
            <w:r w:rsidRPr="007D496E">
              <w:rPr>
                <w:lang w:val="fr-FR"/>
              </w:rPr>
              <w:t>la</w:t>
            </w:r>
            <w:r w:rsidR="00FF034C" w:rsidRPr="007D496E">
              <w:rPr>
                <w:lang w:val="fr-FR"/>
              </w:rPr>
              <w:t> </w:t>
            </w:r>
            <w:r w:rsidRPr="007D496E">
              <w:rPr>
                <w:lang w:val="fr-FR"/>
              </w:rPr>
              <w:t>CMDT</w:t>
            </w:r>
            <w:r w:rsidR="002F30E1" w:rsidRPr="007D496E">
              <w:rPr>
                <w:lang w:val="fr-FR"/>
              </w:rPr>
              <w:noBreakHyphen/>
            </w:r>
            <w:r w:rsidRPr="007D496E">
              <w:rPr>
                <w:lang w:val="fr-FR"/>
              </w:rPr>
              <w:t>25</w:t>
            </w:r>
          </w:p>
        </w:tc>
        <w:tc>
          <w:tcPr>
            <w:tcW w:w="1651" w:type="dxa"/>
            <w:vAlign w:val="center"/>
          </w:tcPr>
          <w:p w14:paraId="5831635B" w14:textId="62B4D7ED" w:rsidR="00011162" w:rsidRPr="007D496E" w:rsidRDefault="007D496E" w:rsidP="00FF034C">
            <w:pPr>
              <w:pStyle w:val="Tabletext"/>
              <w:rPr>
                <w:lang w:val="fr-FR"/>
              </w:rPr>
            </w:pPr>
            <w:hyperlink r:id="rId15" w:history="1">
              <w:r w:rsidR="00011162" w:rsidRPr="007D496E">
                <w:rPr>
                  <w:rStyle w:val="Hyperlink"/>
                  <w:lang w:val="fr-FR"/>
                </w:rPr>
                <w:t>D</w:t>
              </w:r>
              <w:r w:rsidR="006B78FA" w:rsidRPr="007D496E">
                <w:rPr>
                  <w:rStyle w:val="Hyperlink"/>
                  <w:lang w:val="fr-FR"/>
                </w:rPr>
                <w:t>é</w:t>
              </w:r>
              <w:r w:rsidR="00011162" w:rsidRPr="007D496E">
                <w:rPr>
                  <w:rStyle w:val="Hyperlink"/>
                  <w:lang w:val="fr-FR"/>
                </w:rPr>
                <w:t>cision 637</w:t>
              </w:r>
            </w:hyperlink>
          </w:p>
        </w:tc>
        <w:tc>
          <w:tcPr>
            <w:tcW w:w="3650" w:type="dxa"/>
            <w:vAlign w:val="center"/>
          </w:tcPr>
          <w:p w14:paraId="79BD6F8C" w14:textId="65D7F971" w:rsidR="00011162" w:rsidRPr="007D496E" w:rsidRDefault="006C72C3" w:rsidP="00FF034C">
            <w:pPr>
              <w:pStyle w:val="Tabletext"/>
              <w:rPr>
                <w:lang w:val="fr-FR"/>
              </w:rPr>
            </w:pPr>
            <w:r w:rsidRPr="007D496E">
              <w:rPr>
                <w:lang w:val="fr-FR"/>
              </w:rPr>
              <w:t>La prochaine Conférence mondiale de développement des télécommunications (CMDT-25) se tiendra à Bakou (République</w:t>
            </w:r>
            <w:r w:rsidR="00317B59" w:rsidRPr="007D496E">
              <w:rPr>
                <w:lang w:val="fr-FR"/>
              </w:rPr>
              <w:t> </w:t>
            </w:r>
            <w:r w:rsidRPr="007D496E">
              <w:rPr>
                <w:lang w:val="fr-FR"/>
              </w:rPr>
              <w:t>d'Azerbaïdjan), du</w:t>
            </w:r>
            <w:r w:rsidR="00317B59" w:rsidRPr="007D496E">
              <w:rPr>
                <w:lang w:val="fr-FR"/>
              </w:rPr>
              <w:t> </w:t>
            </w:r>
            <w:r w:rsidRPr="007D496E">
              <w:rPr>
                <w:lang w:val="fr-FR"/>
              </w:rPr>
              <w:t>17</w:t>
            </w:r>
            <w:r w:rsidR="00317B59" w:rsidRPr="007D496E">
              <w:rPr>
                <w:lang w:val="fr-FR"/>
              </w:rPr>
              <w:t> </w:t>
            </w:r>
            <w:r w:rsidRPr="007D496E">
              <w:rPr>
                <w:lang w:val="fr-FR"/>
              </w:rPr>
              <w:t>au</w:t>
            </w:r>
            <w:r w:rsidR="00317B59" w:rsidRPr="007D496E">
              <w:rPr>
                <w:lang w:val="fr-FR"/>
              </w:rPr>
              <w:t> </w:t>
            </w:r>
            <w:r w:rsidRPr="007D496E">
              <w:rPr>
                <w:lang w:val="fr-FR"/>
              </w:rPr>
              <w:t>28</w:t>
            </w:r>
            <w:r w:rsidR="00FC6F24" w:rsidRPr="007D496E">
              <w:rPr>
                <w:lang w:val="fr-FR"/>
              </w:rPr>
              <w:t> </w:t>
            </w:r>
            <w:r w:rsidRPr="007D496E">
              <w:rPr>
                <w:lang w:val="fr-FR"/>
              </w:rPr>
              <w:t>novembre 2025.</w:t>
            </w:r>
          </w:p>
        </w:tc>
        <w:tc>
          <w:tcPr>
            <w:tcW w:w="624" w:type="dxa"/>
            <w:vAlign w:val="center"/>
          </w:tcPr>
          <w:p w14:paraId="736D57BA" w14:textId="77777777" w:rsidR="00011162" w:rsidRPr="007D496E" w:rsidRDefault="00011162" w:rsidP="00FF034C">
            <w:pPr>
              <w:pStyle w:val="Tabletext"/>
              <w:rPr>
                <w:lang w:val="fr-FR"/>
              </w:rPr>
            </w:pPr>
          </w:p>
        </w:tc>
        <w:tc>
          <w:tcPr>
            <w:tcW w:w="609" w:type="dxa"/>
            <w:vAlign w:val="center"/>
          </w:tcPr>
          <w:p w14:paraId="44CB5CCD" w14:textId="77777777" w:rsidR="00011162" w:rsidRPr="007D496E" w:rsidRDefault="00011162" w:rsidP="00FF034C">
            <w:pPr>
              <w:pStyle w:val="Tabletext"/>
              <w:rPr>
                <w:lang w:val="fr-FR"/>
              </w:rPr>
            </w:pPr>
          </w:p>
        </w:tc>
        <w:tc>
          <w:tcPr>
            <w:tcW w:w="1135" w:type="dxa"/>
            <w:vAlign w:val="center"/>
          </w:tcPr>
          <w:p w14:paraId="48B40368" w14:textId="77777777" w:rsidR="00011162" w:rsidRPr="007D496E" w:rsidRDefault="00011162" w:rsidP="00FF034C">
            <w:pPr>
              <w:pStyle w:val="Tabletext"/>
              <w:rPr>
                <w:lang w:val="fr-FR"/>
              </w:rPr>
            </w:pPr>
          </w:p>
        </w:tc>
      </w:tr>
      <w:tr w:rsidR="00011162" w:rsidRPr="007D496E" w14:paraId="184E3EFE" w14:textId="77777777" w:rsidTr="00FC6F24">
        <w:trPr>
          <w:trHeight w:val="795"/>
          <w:jc w:val="center"/>
        </w:trPr>
        <w:tc>
          <w:tcPr>
            <w:tcW w:w="1970" w:type="dxa"/>
            <w:vAlign w:val="center"/>
          </w:tcPr>
          <w:p w14:paraId="664C6A40" w14:textId="54B5C16D" w:rsidR="00011162" w:rsidRPr="007D496E" w:rsidRDefault="006C72C3" w:rsidP="00FF034C">
            <w:pPr>
              <w:pStyle w:val="Tabletext"/>
              <w:rPr>
                <w:lang w:val="fr-FR"/>
              </w:rPr>
            </w:pPr>
            <w:r w:rsidRPr="007D496E">
              <w:rPr>
                <w:lang w:val="fr-FR"/>
              </w:rPr>
              <w:t>Projet d'ordre du jour de la CMDT-25</w:t>
            </w:r>
          </w:p>
        </w:tc>
        <w:tc>
          <w:tcPr>
            <w:tcW w:w="1651" w:type="dxa"/>
            <w:vAlign w:val="center"/>
          </w:tcPr>
          <w:p w14:paraId="1C9500F4" w14:textId="2A6C7E5B" w:rsidR="00011162" w:rsidRPr="007D496E" w:rsidRDefault="007D496E" w:rsidP="00FF034C">
            <w:pPr>
              <w:pStyle w:val="Tabletext"/>
              <w:rPr>
                <w:lang w:val="fr-FR"/>
              </w:rPr>
            </w:pPr>
            <w:hyperlink r:id="rId16" w:history="1">
              <w:r w:rsidR="00011162" w:rsidRPr="007D496E">
                <w:rPr>
                  <w:rStyle w:val="Hyperlink"/>
                  <w:lang w:val="fr-FR"/>
                </w:rPr>
                <w:t>C24/30(Rév.1)</w:t>
              </w:r>
            </w:hyperlink>
          </w:p>
        </w:tc>
        <w:tc>
          <w:tcPr>
            <w:tcW w:w="3650" w:type="dxa"/>
            <w:vAlign w:val="center"/>
          </w:tcPr>
          <w:p w14:paraId="1B52531B" w14:textId="318814C6" w:rsidR="00011162" w:rsidRPr="007D496E" w:rsidRDefault="006C72C3" w:rsidP="00FF034C">
            <w:pPr>
              <w:pStyle w:val="Tabletext"/>
              <w:rPr>
                <w:lang w:val="fr-FR"/>
              </w:rPr>
            </w:pPr>
            <w:r w:rsidRPr="007D496E">
              <w:rPr>
                <w:lang w:val="fr-FR"/>
              </w:rPr>
              <w:t>Approuver le projet d'ordre du jour de la</w:t>
            </w:r>
            <w:r w:rsidR="00FC6F24" w:rsidRPr="007D496E">
              <w:rPr>
                <w:lang w:val="fr-FR"/>
              </w:rPr>
              <w:t> </w:t>
            </w:r>
            <w:r w:rsidRPr="007D496E">
              <w:rPr>
                <w:lang w:val="fr-FR"/>
              </w:rPr>
              <w:t>CMDT-25</w:t>
            </w:r>
            <w:r w:rsidR="00FF034C" w:rsidRPr="007D496E">
              <w:rPr>
                <w:lang w:val="fr-FR"/>
              </w:rPr>
              <w:t>.</w:t>
            </w:r>
          </w:p>
        </w:tc>
        <w:tc>
          <w:tcPr>
            <w:tcW w:w="624" w:type="dxa"/>
            <w:vAlign w:val="center"/>
          </w:tcPr>
          <w:p w14:paraId="404AEAB5" w14:textId="77777777" w:rsidR="00011162" w:rsidRPr="007D496E" w:rsidRDefault="00011162" w:rsidP="00FF034C">
            <w:pPr>
              <w:pStyle w:val="Tabletext"/>
              <w:rPr>
                <w:lang w:val="fr-FR"/>
              </w:rPr>
            </w:pPr>
          </w:p>
        </w:tc>
        <w:tc>
          <w:tcPr>
            <w:tcW w:w="609" w:type="dxa"/>
            <w:vAlign w:val="center"/>
          </w:tcPr>
          <w:p w14:paraId="151AE890" w14:textId="77777777" w:rsidR="00011162" w:rsidRPr="007D496E" w:rsidRDefault="00011162" w:rsidP="00FF034C">
            <w:pPr>
              <w:pStyle w:val="Tabletext"/>
              <w:rPr>
                <w:lang w:val="fr-FR"/>
              </w:rPr>
            </w:pPr>
          </w:p>
        </w:tc>
        <w:tc>
          <w:tcPr>
            <w:tcW w:w="1135" w:type="dxa"/>
            <w:vAlign w:val="center"/>
          </w:tcPr>
          <w:p w14:paraId="4458A8BD" w14:textId="77777777" w:rsidR="00011162" w:rsidRPr="007D496E" w:rsidRDefault="00011162" w:rsidP="00FF034C">
            <w:pPr>
              <w:pStyle w:val="Tabletext"/>
              <w:rPr>
                <w:lang w:val="fr-FR"/>
              </w:rPr>
            </w:pPr>
          </w:p>
        </w:tc>
      </w:tr>
      <w:tr w:rsidR="00011162" w:rsidRPr="007D496E" w14:paraId="3566F708" w14:textId="77777777" w:rsidTr="00FC6F24">
        <w:trPr>
          <w:trHeight w:val="1047"/>
          <w:jc w:val="center"/>
        </w:trPr>
        <w:tc>
          <w:tcPr>
            <w:tcW w:w="1970" w:type="dxa"/>
            <w:vAlign w:val="center"/>
          </w:tcPr>
          <w:p w14:paraId="0CD35212" w14:textId="2AD743E3" w:rsidR="00011162" w:rsidRPr="007D496E" w:rsidRDefault="006C72C3" w:rsidP="00FF034C">
            <w:pPr>
              <w:pStyle w:val="Tabletext"/>
              <w:rPr>
                <w:lang w:val="fr-FR"/>
              </w:rPr>
            </w:pPr>
            <w:r w:rsidRPr="007D496E">
              <w:rPr>
                <w:lang w:val="fr-FR"/>
              </w:rPr>
              <w:t>Ordre du jour de la</w:t>
            </w:r>
            <w:r w:rsidR="00FF034C" w:rsidRPr="007D496E">
              <w:rPr>
                <w:lang w:val="fr-FR"/>
              </w:rPr>
              <w:t> </w:t>
            </w:r>
            <w:r w:rsidRPr="007D496E">
              <w:rPr>
                <w:lang w:val="fr-FR"/>
              </w:rPr>
              <w:t>CMR-27</w:t>
            </w:r>
          </w:p>
        </w:tc>
        <w:tc>
          <w:tcPr>
            <w:tcW w:w="1651" w:type="dxa"/>
            <w:vAlign w:val="center"/>
          </w:tcPr>
          <w:p w14:paraId="22002E12" w14:textId="467F8F80" w:rsidR="00011162" w:rsidRPr="007D496E" w:rsidRDefault="007D496E" w:rsidP="00FF034C">
            <w:pPr>
              <w:pStyle w:val="Tabletext"/>
              <w:rPr>
                <w:lang w:val="fr-FR"/>
              </w:rPr>
            </w:pPr>
            <w:hyperlink r:id="rId17" w:history="1">
              <w:r w:rsidR="00011162" w:rsidRPr="007D496E">
                <w:rPr>
                  <w:rStyle w:val="Hyperlink"/>
                  <w:lang w:val="fr-FR"/>
                </w:rPr>
                <w:t>Résolution 1422</w:t>
              </w:r>
            </w:hyperlink>
          </w:p>
        </w:tc>
        <w:tc>
          <w:tcPr>
            <w:tcW w:w="3650" w:type="dxa"/>
            <w:vAlign w:val="center"/>
          </w:tcPr>
          <w:p w14:paraId="7BF41E7C" w14:textId="4C91BF0E" w:rsidR="00011162" w:rsidRPr="007D496E" w:rsidRDefault="006C72C3" w:rsidP="00FF034C">
            <w:pPr>
              <w:pStyle w:val="Tabletext"/>
              <w:rPr>
                <w:lang w:val="fr-FR"/>
              </w:rPr>
            </w:pPr>
            <w:r w:rsidRPr="007D496E">
              <w:rPr>
                <w:lang w:val="fr-FR"/>
              </w:rPr>
              <w:t>Approuver l'ordre du jour de la Conférence mondiale des radiocommunications de 2027 (CMR</w:t>
            </w:r>
            <w:r w:rsidR="00317B59" w:rsidRPr="007D496E">
              <w:rPr>
                <w:lang w:val="fr-FR"/>
              </w:rPr>
              <w:noBreakHyphen/>
            </w:r>
            <w:r w:rsidRPr="007D496E">
              <w:rPr>
                <w:lang w:val="fr-FR"/>
              </w:rPr>
              <w:t>27)</w:t>
            </w:r>
            <w:r w:rsidR="00FF034C" w:rsidRPr="007D496E">
              <w:rPr>
                <w:lang w:val="fr-FR"/>
              </w:rPr>
              <w:t>.</w:t>
            </w:r>
          </w:p>
        </w:tc>
        <w:tc>
          <w:tcPr>
            <w:tcW w:w="624" w:type="dxa"/>
            <w:vAlign w:val="center"/>
          </w:tcPr>
          <w:p w14:paraId="5F4272DB" w14:textId="77777777" w:rsidR="00011162" w:rsidRPr="007D496E" w:rsidRDefault="00011162" w:rsidP="00FF034C">
            <w:pPr>
              <w:pStyle w:val="Tabletext"/>
              <w:rPr>
                <w:lang w:val="fr-FR"/>
              </w:rPr>
            </w:pPr>
          </w:p>
        </w:tc>
        <w:tc>
          <w:tcPr>
            <w:tcW w:w="609" w:type="dxa"/>
            <w:vAlign w:val="center"/>
          </w:tcPr>
          <w:p w14:paraId="133D267C" w14:textId="77777777" w:rsidR="00011162" w:rsidRPr="007D496E" w:rsidRDefault="00011162" w:rsidP="00FF034C">
            <w:pPr>
              <w:pStyle w:val="Tabletext"/>
              <w:rPr>
                <w:lang w:val="fr-FR"/>
              </w:rPr>
            </w:pPr>
          </w:p>
        </w:tc>
        <w:tc>
          <w:tcPr>
            <w:tcW w:w="1135" w:type="dxa"/>
            <w:vAlign w:val="center"/>
          </w:tcPr>
          <w:p w14:paraId="2BFA1E3E" w14:textId="77777777" w:rsidR="00011162" w:rsidRPr="007D496E" w:rsidRDefault="00011162" w:rsidP="00FF034C">
            <w:pPr>
              <w:pStyle w:val="Tabletext"/>
              <w:rPr>
                <w:lang w:val="fr-FR"/>
              </w:rPr>
            </w:pPr>
          </w:p>
        </w:tc>
      </w:tr>
      <w:tr w:rsidR="00011162" w:rsidRPr="007D496E" w14:paraId="6390DDC3" w14:textId="77777777" w:rsidTr="00FC6F24">
        <w:trPr>
          <w:jc w:val="center"/>
        </w:trPr>
        <w:tc>
          <w:tcPr>
            <w:tcW w:w="1970" w:type="dxa"/>
            <w:vAlign w:val="center"/>
          </w:tcPr>
          <w:p w14:paraId="4A1FC4D3" w14:textId="15F4D91A" w:rsidR="00011162" w:rsidRPr="007D496E" w:rsidRDefault="006C72C3" w:rsidP="00FF034C">
            <w:pPr>
              <w:pStyle w:val="Tabletext"/>
              <w:rPr>
                <w:lang w:val="fr-FR"/>
              </w:rPr>
            </w:pPr>
            <w:r w:rsidRPr="007D496E">
              <w:rPr>
                <w:lang w:val="fr-FR"/>
              </w:rPr>
              <w:t>Nouveau projet réévalué pour les locaux du siège de</w:t>
            </w:r>
            <w:r w:rsidR="00317B59" w:rsidRPr="007D496E">
              <w:rPr>
                <w:lang w:val="fr-FR"/>
              </w:rPr>
              <w:t> </w:t>
            </w:r>
            <w:r w:rsidRPr="007D496E">
              <w:rPr>
                <w:lang w:val="fr-FR"/>
              </w:rPr>
              <w:t>l'UIT</w:t>
            </w:r>
          </w:p>
        </w:tc>
        <w:tc>
          <w:tcPr>
            <w:tcW w:w="1651" w:type="dxa"/>
            <w:vAlign w:val="center"/>
          </w:tcPr>
          <w:p w14:paraId="3FCEA11A" w14:textId="7AF9C87F" w:rsidR="00011162" w:rsidRPr="007D496E" w:rsidRDefault="007D496E" w:rsidP="00FF034C">
            <w:pPr>
              <w:pStyle w:val="Tabletext"/>
              <w:rPr>
                <w:lang w:val="fr-FR"/>
              </w:rPr>
            </w:pPr>
            <w:hyperlink r:id="rId18" w:history="1">
              <w:r w:rsidR="00011162" w:rsidRPr="007D496E">
                <w:rPr>
                  <w:rStyle w:val="Hyperlink"/>
                  <w:lang w:val="fr-FR"/>
                </w:rPr>
                <w:t>Décision 640</w:t>
              </w:r>
            </w:hyperlink>
          </w:p>
        </w:tc>
        <w:tc>
          <w:tcPr>
            <w:tcW w:w="3650" w:type="dxa"/>
            <w:vAlign w:val="center"/>
          </w:tcPr>
          <w:p w14:paraId="7507431A" w14:textId="0E5B65BD" w:rsidR="00011162" w:rsidRPr="007D496E" w:rsidRDefault="006C72C3" w:rsidP="00FF034C">
            <w:pPr>
              <w:pStyle w:val="Tabletext"/>
              <w:rPr>
                <w:lang w:val="fr-FR"/>
              </w:rPr>
            </w:pPr>
            <w:r w:rsidRPr="007D496E">
              <w:rPr>
                <w:lang w:val="fr-FR"/>
              </w:rPr>
              <w:t>Approuver le nouveau projet réévalué pour les locaux du siège de</w:t>
            </w:r>
            <w:r w:rsidR="00317B59" w:rsidRPr="007D496E">
              <w:rPr>
                <w:lang w:val="fr-FR"/>
              </w:rPr>
              <w:t> </w:t>
            </w:r>
            <w:r w:rsidRPr="007D496E">
              <w:rPr>
                <w:lang w:val="fr-FR"/>
              </w:rPr>
              <w:t>l'UIT</w:t>
            </w:r>
            <w:r w:rsidR="00FF034C" w:rsidRPr="007D496E">
              <w:rPr>
                <w:lang w:val="fr-FR"/>
              </w:rPr>
              <w:t>.</w:t>
            </w:r>
          </w:p>
        </w:tc>
        <w:tc>
          <w:tcPr>
            <w:tcW w:w="624" w:type="dxa"/>
            <w:vAlign w:val="center"/>
          </w:tcPr>
          <w:p w14:paraId="32A6226D" w14:textId="77777777" w:rsidR="00011162" w:rsidRPr="007D496E" w:rsidRDefault="00011162" w:rsidP="00FF034C">
            <w:pPr>
              <w:pStyle w:val="Tabletext"/>
              <w:rPr>
                <w:lang w:val="fr-FR"/>
              </w:rPr>
            </w:pPr>
          </w:p>
        </w:tc>
        <w:tc>
          <w:tcPr>
            <w:tcW w:w="609" w:type="dxa"/>
            <w:vAlign w:val="center"/>
          </w:tcPr>
          <w:p w14:paraId="2A836B51" w14:textId="77777777" w:rsidR="00011162" w:rsidRPr="007D496E" w:rsidRDefault="00011162" w:rsidP="00FF034C">
            <w:pPr>
              <w:pStyle w:val="Tabletext"/>
              <w:rPr>
                <w:lang w:val="fr-FR"/>
              </w:rPr>
            </w:pPr>
          </w:p>
        </w:tc>
        <w:tc>
          <w:tcPr>
            <w:tcW w:w="1135" w:type="dxa"/>
            <w:vAlign w:val="center"/>
          </w:tcPr>
          <w:p w14:paraId="0EB8D35A" w14:textId="77777777" w:rsidR="00011162" w:rsidRPr="007D496E" w:rsidRDefault="00011162" w:rsidP="00FF034C">
            <w:pPr>
              <w:pStyle w:val="Tabletext"/>
              <w:rPr>
                <w:lang w:val="fr-FR"/>
              </w:rPr>
            </w:pPr>
          </w:p>
        </w:tc>
      </w:tr>
    </w:tbl>
    <w:p w14:paraId="1AF38C51" w14:textId="2BD81B10" w:rsidR="006C72C3" w:rsidRPr="007D496E" w:rsidRDefault="006C72C3" w:rsidP="00FF034C">
      <w:pPr>
        <w:pStyle w:val="Normalaftertitle"/>
        <w:spacing w:line="240" w:lineRule="auto"/>
        <w:jc w:val="left"/>
        <w:rPr>
          <w:lang w:val="fr-FR"/>
        </w:rPr>
      </w:pPr>
      <w:r w:rsidRPr="007D496E">
        <w:rPr>
          <w:lang w:val="fr-FR"/>
        </w:rPr>
        <w:t xml:space="preserve">Les coordonnateurs sont invités à utiliser </w:t>
      </w:r>
      <w:hyperlink r:id="rId19" w:history="1">
        <w:r w:rsidRPr="007D496E">
          <w:rPr>
            <w:rStyle w:val="Hyperlink"/>
            <w:lang w:val="fr-FR"/>
          </w:rPr>
          <w:t>l'outil en li</w:t>
        </w:r>
        <w:r w:rsidRPr="007D496E">
          <w:rPr>
            <w:rStyle w:val="Hyperlink"/>
            <w:lang w:val="fr-FR"/>
          </w:rPr>
          <w:t>g</w:t>
        </w:r>
        <w:r w:rsidRPr="007D496E">
          <w:rPr>
            <w:rStyle w:val="Hyperlink"/>
            <w:lang w:val="fr-FR"/>
          </w:rPr>
          <w:t>ne</w:t>
        </w:r>
      </w:hyperlink>
      <w:r w:rsidRPr="007D496E">
        <w:rPr>
          <w:lang w:val="fr-FR"/>
        </w:rPr>
        <w:t xml:space="preserve">, ou à envoyer leur réponse par courrier électronique à l'adresse </w:t>
      </w:r>
      <w:hyperlink r:id="rId20" w:history="1">
        <w:r w:rsidRPr="007D496E">
          <w:rPr>
            <w:rStyle w:val="Hyperlink"/>
            <w:lang w:val="fr-FR"/>
          </w:rPr>
          <w:t>memberstates@itu.int</w:t>
        </w:r>
      </w:hyperlink>
      <w:r w:rsidRPr="007D496E">
        <w:rPr>
          <w:lang w:val="fr-FR"/>
        </w:rPr>
        <w:t xml:space="preserve">, en utilisant la présente </w:t>
      </w:r>
      <w:hyperlink w:anchor="AnnexeA" w:history="1">
        <w:r w:rsidR="00317B59" w:rsidRPr="007D496E">
          <w:rPr>
            <w:rStyle w:val="Hyperlink"/>
            <w:lang w:val="fr-FR"/>
          </w:rPr>
          <w:t>a</w:t>
        </w:r>
        <w:r w:rsidRPr="007D496E">
          <w:rPr>
            <w:rStyle w:val="Hyperlink"/>
            <w:lang w:val="fr-FR"/>
          </w:rPr>
          <w:t>nnex</w:t>
        </w:r>
        <w:r w:rsidRPr="007D496E">
          <w:rPr>
            <w:rStyle w:val="Hyperlink"/>
            <w:lang w:val="fr-FR"/>
          </w:rPr>
          <w:t>e</w:t>
        </w:r>
      </w:hyperlink>
      <w:r w:rsidRPr="007D496E">
        <w:rPr>
          <w:lang w:val="fr-FR"/>
        </w:rPr>
        <w:t xml:space="preserve">, </w:t>
      </w:r>
      <w:r w:rsidRPr="007D496E">
        <w:rPr>
          <w:b/>
          <w:bCs/>
          <w:lang w:val="fr-FR"/>
        </w:rPr>
        <w:t>au plus tard le</w:t>
      </w:r>
      <w:r w:rsidR="00317B59" w:rsidRPr="007D496E">
        <w:rPr>
          <w:b/>
          <w:bCs/>
          <w:lang w:val="fr-FR"/>
        </w:rPr>
        <w:t> </w:t>
      </w:r>
      <w:r w:rsidRPr="007D496E">
        <w:rPr>
          <w:b/>
          <w:bCs/>
          <w:lang w:val="fr-FR"/>
        </w:rPr>
        <w:t>31</w:t>
      </w:r>
      <w:r w:rsidR="00317B59" w:rsidRPr="007D496E">
        <w:rPr>
          <w:b/>
          <w:bCs/>
          <w:lang w:val="fr-FR"/>
        </w:rPr>
        <w:t> </w:t>
      </w:r>
      <w:r w:rsidRPr="007D496E">
        <w:rPr>
          <w:b/>
          <w:bCs/>
          <w:lang w:val="fr-FR"/>
        </w:rPr>
        <w:t>août 2024</w:t>
      </w:r>
      <w:r w:rsidRPr="007D496E">
        <w:rPr>
          <w:lang w:val="fr-FR"/>
        </w:rPr>
        <w:t>.</w:t>
      </w:r>
    </w:p>
    <w:p w14:paraId="0C71AE4E" w14:textId="167D11B8" w:rsidR="00011162" w:rsidRPr="007D496E" w:rsidRDefault="00011162" w:rsidP="00FF034C">
      <w:pPr>
        <w:spacing w:line="240" w:lineRule="auto"/>
        <w:rPr>
          <w:lang w:val="fr-FR"/>
        </w:rPr>
      </w:pPr>
      <w:r w:rsidRPr="007D496E">
        <w:rPr>
          <w:lang w:val="fr-FR"/>
        </w:rPr>
        <w:br w:type="page"/>
      </w:r>
    </w:p>
    <w:p w14:paraId="04FDB83A" w14:textId="746FA59C" w:rsidR="006B78FA" w:rsidRPr="007D496E" w:rsidRDefault="006B78FA" w:rsidP="00FF034C">
      <w:pPr>
        <w:pStyle w:val="AnnexNo"/>
        <w:spacing w:after="240"/>
        <w:rPr>
          <w:b/>
          <w:bCs/>
        </w:rPr>
      </w:pPr>
      <w:bookmarkStart w:id="8" w:name="AnnexeB"/>
      <w:r w:rsidRPr="007D496E">
        <w:rPr>
          <w:b/>
          <w:bCs/>
        </w:rPr>
        <w:lastRenderedPageBreak/>
        <w:t>ANNEXE B</w:t>
      </w:r>
      <w:bookmarkEnd w:id="8"/>
    </w:p>
    <w:p w14:paraId="05A10EE6" w14:textId="4F6F8993" w:rsidR="00011162" w:rsidRPr="007D496E" w:rsidRDefault="00011162" w:rsidP="00FF034C">
      <w:pPr>
        <w:pStyle w:val="ResNo"/>
        <w:spacing w:line="240" w:lineRule="auto"/>
        <w:rPr>
          <w:lang w:val="fr-FR"/>
        </w:rPr>
      </w:pPr>
      <w:r w:rsidRPr="007D496E">
        <w:rPr>
          <w:lang w:val="fr-FR"/>
        </w:rPr>
        <w:t>DÉCISION 637</w:t>
      </w:r>
    </w:p>
    <w:p w14:paraId="0EC53366" w14:textId="77777777" w:rsidR="00011162" w:rsidRPr="007D496E" w:rsidRDefault="00011162" w:rsidP="00FF034C">
      <w:pPr>
        <w:pStyle w:val="Resref"/>
        <w:spacing w:line="240" w:lineRule="auto"/>
        <w:rPr>
          <w:lang w:val="fr-FR"/>
        </w:rPr>
      </w:pPr>
      <w:r w:rsidRPr="007D496E">
        <w:rPr>
          <w:lang w:val="fr-FR"/>
        </w:rPr>
        <w:t>(adoptée à la deuxième séance plénière)</w:t>
      </w:r>
    </w:p>
    <w:p w14:paraId="3E51791E" w14:textId="3A330173" w:rsidR="00011162" w:rsidRPr="007D496E" w:rsidRDefault="00011162" w:rsidP="00FF034C">
      <w:pPr>
        <w:pStyle w:val="Rectitle"/>
        <w:rPr>
          <w:lang w:val="fr-FR"/>
        </w:rPr>
      </w:pPr>
      <w:r w:rsidRPr="007D496E">
        <w:rPr>
          <w:lang w:val="fr-FR"/>
        </w:rPr>
        <w:t>Convocation de la Conférence mondiale de développement des</w:t>
      </w:r>
      <w:r w:rsidR="00FF034C" w:rsidRPr="007D496E">
        <w:rPr>
          <w:lang w:val="fr-FR"/>
        </w:rPr>
        <w:t> </w:t>
      </w:r>
      <w:r w:rsidRPr="007D496E">
        <w:rPr>
          <w:lang w:val="fr-FR"/>
        </w:rPr>
        <w:t>télécommunications de 2025 (CMDT-25)</w:t>
      </w:r>
    </w:p>
    <w:p w14:paraId="56A03C0E" w14:textId="77777777" w:rsidR="00011162" w:rsidRPr="007D496E" w:rsidRDefault="00011162" w:rsidP="00A26744">
      <w:pPr>
        <w:pStyle w:val="Normalaftertitle"/>
        <w:spacing w:line="240" w:lineRule="auto"/>
        <w:jc w:val="left"/>
        <w:rPr>
          <w:lang w:val="fr-FR"/>
        </w:rPr>
      </w:pPr>
      <w:r w:rsidRPr="007D496E">
        <w:rPr>
          <w:lang w:val="fr-FR"/>
        </w:rPr>
        <w:t>Le Conseil de l'UIT,</w:t>
      </w:r>
    </w:p>
    <w:p w14:paraId="5C2CBBDA" w14:textId="77777777" w:rsidR="00011162" w:rsidRPr="007D496E" w:rsidRDefault="00011162" w:rsidP="00A26744">
      <w:pPr>
        <w:pStyle w:val="Call"/>
        <w:rPr>
          <w:lang w:val="fr-FR"/>
        </w:rPr>
      </w:pPr>
      <w:r w:rsidRPr="007D496E">
        <w:rPr>
          <w:lang w:val="fr-FR"/>
        </w:rPr>
        <w:t>notant</w:t>
      </w:r>
    </w:p>
    <w:p w14:paraId="3B2F8113" w14:textId="77777777" w:rsidR="00011162" w:rsidRPr="007D496E" w:rsidRDefault="00011162" w:rsidP="00A26744">
      <w:pPr>
        <w:jc w:val="left"/>
        <w:rPr>
          <w:lang w:val="fr-FR"/>
        </w:rPr>
      </w:pPr>
      <w:r w:rsidRPr="007D496E">
        <w:rPr>
          <w:lang w:val="fr-FR"/>
        </w:rPr>
        <w:t>que la Conférence mondiale de développement des télécommunications de 2025 (CMDT</w:t>
      </w:r>
      <w:r w:rsidRPr="007D496E">
        <w:rPr>
          <w:lang w:val="fr-FR"/>
        </w:rPr>
        <w:noBreakHyphen/>
        <w:t>25) doit avoir lieu au dernier trimestre de 2025, conformément à la Résolution 77 (Rév. Bucarest, 2022) de la Conférence de plénipotentiaires relative à la planification et à la durée des conférences, forums, assemblées et sessions du Conseil de l'Union (2023-2027),</w:t>
      </w:r>
    </w:p>
    <w:p w14:paraId="28777871" w14:textId="77777777" w:rsidR="00011162" w:rsidRPr="007D496E" w:rsidRDefault="00011162" w:rsidP="00A26744">
      <w:pPr>
        <w:pStyle w:val="Call"/>
        <w:rPr>
          <w:lang w:val="fr-FR"/>
        </w:rPr>
      </w:pPr>
      <w:r w:rsidRPr="007D496E">
        <w:rPr>
          <w:lang w:val="fr-FR"/>
        </w:rPr>
        <w:t>décide</w:t>
      </w:r>
    </w:p>
    <w:p w14:paraId="0A5445EB" w14:textId="6CC9D992" w:rsidR="00011162" w:rsidRPr="007D496E" w:rsidRDefault="00011162" w:rsidP="00A26744">
      <w:pPr>
        <w:jc w:val="left"/>
        <w:rPr>
          <w:lang w:val="fr-FR"/>
        </w:rPr>
      </w:pPr>
      <w:r w:rsidRPr="007D496E">
        <w:rPr>
          <w:lang w:val="fr-FR"/>
        </w:rPr>
        <w:t>que, sous réserve de l'accord de la majorité des États Membres de l'Union, la prochaine</w:t>
      </w:r>
      <w:r w:rsidR="00317B59" w:rsidRPr="007D496E">
        <w:rPr>
          <w:lang w:val="fr-FR"/>
        </w:rPr>
        <w:t xml:space="preserve"> </w:t>
      </w:r>
      <w:r w:rsidRPr="007D496E">
        <w:rPr>
          <w:lang w:val="fr-FR"/>
        </w:rPr>
        <w:t>Conférence mondiale de développement des télécommunications (CMDT-25) se tiendra à Bakou (République d'Azerbaïdjan), du 17 au 28 novembre 2025,</w:t>
      </w:r>
    </w:p>
    <w:p w14:paraId="5E0B0B0E" w14:textId="77777777" w:rsidR="00011162" w:rsidRPr="007D496E" w:rsidRDefault="00011162" w:rsidP="00A26744">
      <w:pPr>
        <w:pStyle w:val="Call"/>
        <w:rPr>
          <w:lang w:val="fr-FR"/>
        </w:rPr>
      </w:pPr>
      <w:r w:rsidRPr="007D496E">
        <w:rPr>
          <w:lang w:val="fr-FR"/>
        </w:rPr>
        <w:t>charge le Secrétaire général</w:t>
      </w:r>
    </w:p>
    <w:p w14:paraId="68B40B40" w14:textId="77777777" w:rsidR="00011162" w:rsidRPr="007D496E" w:rsidRDefault="00011162" w:rsidP="00A26744">
      <w:pPr>
        <w:jc w:val="left"/>
        <w:rPr>
          <w:lang w:val="fr-FR"/>
        </w:rPr>
      </w:pPr>
      <w:r w:rsidRPr="007D496E">
        <w:rPr>
          <w:lang w:val="fr-FR"/>
        </w:rPr>
        <w:t>d'effectuer une visite sur place et de faire rapport au Conseil à sa session de 2025.</w:t>
      </w:r>
    </w:p>
    <w:p w14:paraId="571D88C0" w14:textId="73C86883" w:rsidR="00011162" w:rsidRPr="007D496E" w:rsidRDefault="00011162" w:rsidP="00FF034C">
      <w:pPr>
        <w:spacing w:line="240" w:lineRule="auto"/>
        <w:rPr>
          <w:lang w:val="fr-FR"/>
        </w:rPr>
      </w:pPr>
      <w:r w:rsidRPr="007D496E">
        <w:rPr>
          <w:lang w:val="fr-FR"/>
        </w:rPr>
        <w:br w:type="page"/>
      </w:r>
    </w:p>
    <w:p w14:paraId="54FF931C" w14:textId="5C0DDC37" w:rsidR="00011162" w:rsidRPr="007D496E" w:rsidRDefault="00011162" w:rsidP="00A26744">
      <w:pPr>
        <w:pStyle w:val="AnnexNo"/>
        <w:rPr>
          <w:b/>
          <w:bCs/>
        </w:rPr>
      </w:pPr>
      <w:bookmarkStart w:id="9" w:name="AnnexeC"/>
      <w:r w:rsidRPr="007D496E">
        <w:rPr>
          <w:b/>
          <w:bCs/>
        </w:rPr>
        <w:lastRenderedPageBreak/>
        <w:t>ANNEXe C</w:t>
      </w:r>
      <w:bookmarkEnd w:id="9"/>
    </w:p>
    <w:p w14:paraId="6BBB8537" w14:textId="77777777" w:rsidR="00011162" w:rsidRPr="007D496E" w:rsidRDefault="00011162" w:rsidP="00FF034C">
      <w:pPr>
        <w:pStyle w:val="Annextitle"/>
      </w:pPr>
      <w:r w:rsidRPr="007D496E">
        <w:t>Projet d'ordre du jour de la Conférence mondiale de développement</w:t>
      </w:r>
      <w:r w:rsidRPr="007D496E">
        <w:br/>
        <w:t>des télécommunications de 2025 (CMDT-25)</w:t>
      </w:r>
    </w:p>
    <w:p w14:paraId="13F28C57" w14:textId="77777777" w:rsidR="00011162" w:rsidRPr="007D496E" w:rsidRDefault="00011162" w:rsidP="00A26744">
      <w:pPr>
        <w:pStyle w:val="Heading1"/>
        <w:jc w:val="left"/>
        <w:rPr>
          <w:lang w:val="fr-FR"/>
        </w:rPr>
      </w:pPr>
      <w:r w:rsidRPr="007D496E">
        <w:rPr>
          <w:lang w:val="fr-FR"/>
        </w:rPr>
        <w:t>I</w:t>
      </w:r>
      <w:r w:rsidRPr="007D496E">
        <w:rPr>
          <w:lang w:val="fr-FR"/>
        </w:rPr>
        <w:tab/>
        <w:t>Rapport sur la mise en œuvre des Plans d'action de l'UIT-D</w:t>
      </w:r>
    </w:p>
    <w:p w14:paraId="5AFE94BC" w14:textId="03D28C39" w:rsidR="00011162" w:rsidRPr="007D496E" w:rsidRDefault="00011162" w:rsidP="00A26744">
      <w:pPr>
        <w:pStyle w:val="enumlev1"/>
        <w:jc w:val="left"/>
        <w:rPr>
          <w:lang w:val="fr-FR"/>
        </w:rPr>
      </w:pPr>
      <w:r w:rsidRPr="007D496E">
        <w:rPr>
          <w:lang w:val="fr-FR"/>
        </w:rPr>
        <w:t>1</w:t>
      </w:r>
      <w:r w:rsidRPr="007D496E">
        <w:rPr>
          <w:lang w:val="fr-FR"/>
        </w:rPr>
        <w:tab/>
        <w:t>Point sur la transformation numérique au niveau mondial et rapport sur la mise en œuvre du Plan d'action de Buenos Aires adopté par la CMDT-17 et du Plan d'action de Kigali adopté par la CMDT-22 (y compris les initiatives régionales) et contribution à la mise en</w:t>
      </w:r>
      <w:r w:rsidR="00A26744" w:rsidRPr="007D496E">
        <w:rPr>
          <w:lang w:val="fr-FR"/>
        </w:rPr>
        <w:t> </w:t>
      </w:r>
      <w:r w:rsidRPr="007D496E">
        <w:rPr>
          <w:lang w:val="fr-FR"/>
        </w:rPr>
        <w:t>œuvre du Plan d'action du SMSI et des Objectifs de développement durable (ODD).</w:t>
      </w:r>
    </w:p>
    <w:p w14:paraId="739CD3CC" w14:textId="77777777" w:rsidR="00011162" w:rsidRPr="007D496E" w:rsidRDefault="00011162" w:rsidP="00A26744">
      <w:pPr>
        <w:pStyle w:val="enumlev1"/>
        <w:jc w:val="left"/>
        <w:rPr>
          <w:lang w:val="fr-FR"/>
        </w:rPr>
      </w:pPr>
      <w:r w:rsidRPr="007D496E">
        <w:rPr>
          <w:lang w:val="fr-FR"/>
        </w:rPr>
        <w:t>2</w:t>
      </w:r>
      <w:r w:rsidRPr="007D496E">
        <w:rPr>
          <w:lang w:val="fr-FR"/>
        </w:rPr>
        <w:tab/>
        <w:t>Rapport du Groupe consultatif pour le développement des télécommunications.</w:t>
      </w:r>
    </w:p>
    <w:p w14:paraId="627641B4" w14:textId="77777777" w:rsidR="00011162" w:rsidRPr="007D496E" w:rsidRDefault="00011162" w:rsidP="00A26744">
      <w:pPr>
        <w:pStyle w:val="enumlev1"/>
        <w:jc w:val="left"/>
        <w:rPr>
          <w:lang w:val="fr-FR"/>
        </w:rPr>
      </w:pPr>
      <w:r w:rsidRPr="007D496E">
        <w:rPr>
          <w:lang w:val="fr-FR"/>
        </w:rPr>
        <w:t>3</w:t>
      </w:r>
      <w:r w:rsidRPr="007D496E">
        <w:rPr>
          <w:lang w:val="fr-FR"/>
        </w:rPr>
        <w:tab/>
        <w:t>Rapports des commissions d'études.</w:t>
      </w:r>
    </w:p>
    <w:p w14:paraId="6DC37553" w14:textId="77777777" w:rsidR="00011162" w:rsidRPr="007D496E" w:rsidRDefault="00011162" w:rsidP="00A26744">
      <w:pPr>
        <w:pStyle w:val="enumlev1"/>
        <w:jc w:val="left"/>
        <w:rPr>
          <w:lang w:val="fr-FR"/>
        </w:rPr>
      </w:pPr>
      <w:r w:rsidRPr="007D496E">
        <w:rPr>
          <w:lang w:val="fr-FR"/>
        </w:rPr>
        <w:t>4</w:t>
      </w:r>
      <w:r w:rsidRPr="007D496E">
        <w:rPr>
          <w:lang w:val="fr-FR"/>
        </w:rPr>
        <w:tab/>
        <w:t>Rapport sur la mise en œuvre des résultats des autres conférences, assemblées et réunions de l'UIT liés aux travaux de l'UIT-D:</w:t>
      </w:r>
    </w:p>
    <w:p w14:paraId="7E78D04F" w14:textId="77777777" w:rsidR="00011162" w:rsidRPr="007D496E" w:rsidRDefault="00011162" w:rsidP="00A26744">
      <w:pPr>
        <w:pStyle w:val="enumlev2"/>
        <w:jc w:val="left"/>
        <w:rPr>
          <w:lang w:val="fr-FR"/>
        </w:rPr>
      </w:pPr>
      <w:r w:rsidRPr="007D496E">
        <w:rPr>
          <w:lang w:val="fr-FR"/>
        </w:rPr>
        <w:t>a)</w:t>
      </w:r>
      <w:r w:rsidRPr="007D496E">
        <w:rPr>
          <w:lang w:val="fr-FR"/>
        </w:rPr>
        <w:tab/>
        <w:t>Conférence de plénipotentiaires (PP-22).</w:t>
      </w:r>
    </w:p>
    <w:p w14:paraId="7BDC5AE9" w14:textId="77777777" w:rsidR="00011162" w:rsidRPr="007D496E" w:rsidRDefault="00011162" w:rsidP="00A26744">
      <w:pPr>
        <w:pStyle w:val="enumlev2"/>
        <w:jc w:val="left"/>
        <w:rPr>
          <w:lang w:val="fr-FR"/>
        </w:rPr>
      </w:pPr>
      <w:r w:rsidRPr="007D496E">
        <w:rPr>
          <w:lang w:val="fr-FR"/>
        </w:rPr>
        <w:t>b)</w:t>
      </w:r>
      <w:r w:rsidRPr="007D496E">
        <w:rPr>
          <w:lang w:val="fr-FR"/>
        </w:rPr>
        <w:tab/>
        <w:t>Assemblée des radiocommunications (AR-23)/Conférence mondiale des radiocommunications (CMR-23).</w:t>
      </w:r>
    </w:p>
    <w:p w14:paraId="4F98925B" w14:textId="77777777" w:rsidR="00011162" w:rsidRPr="007D496E" w:rsidRDefault="00011162" w:rsidP="00A26744">
      <w:pPr>
        <w:pStyle w:val="enumlev2"/>
        <w:jc w:val="left"/>
        <w:rPr>
          <w:lang w:val="fr-FR"/>
        </w:rPr>
      </w:pPr>
      <w:r w:rsidRPr="007D496E">
        <w:rPr>
          <w:lang w:val="fr-FR"/>
        </w:rPr>
        <w:t>c)</w:t>
      </w:r>
      <w:r w:rsidRPr="007D496E">
        <w:rPr>
          <w:lang w:val="fr-FR"/>
        </w:rPr>
        <w:tab/>
        <w:t>Assemblée mondiale de normalisation des télécommunications (AMNT-24).</w:t>
      </w:r>
    </w:p>
    <w:p w14:paraId="2B3394B0" w14:textId="77777777" w:rsidR="00011162" w:rsidRPr="007D496E" w:rsidRDefault="00011162" w:rsidP="00A26744">
      <w:pPr>
        <w:pStyle w:val="Heading1"/>
        <w:rPr>
          <w:lang w:val="fr-FR"/>
        </w:rPr>
      </w:pPr>
      <w:r w:rsidRPr="007D496E">
        <w:rPr>
          <w:lang w:val="fr-FR"/>
        </w:rPr>
        <w:t>II</w:t>
      </w:r>
      <w:r w:rsidRPr="007D496E">
        <w:rPr>
          <w:lang w:val="fr-FR"/>
        </w:rPr>
        <w:tab/>
        <w:t>Politique générale et stratégie au service de la transformation numérique</w:t>
      </w:r>
    </w:p>
    <w:p w14:paraId="74DBDF6D" w14:textId="77777777" w:rsidR="00011162" w:rsidRPr="007D496E" w:rsidRDefault="00011162" w:rsidP="00A26744">
      <w:pPr>
        <w:pStyle w:val="enumlev1"/>
        <w:jc w:val="left"/>
        <w:rPr>
          <w:lang w:val="fr-FR"/>
        </w:rPr>
      </w:pPr>
      <w:r w:rsidRPr="007D496E">
        <w:rPr>
          <w:lang w:val="fr-FR"/>
        </w:rPr>
        <w:t>5</w:t>
      </w:r>
      <w:r w:rsidRPr="007D496E">
        <w:rPr>
          <w:lang w:val="fr-FR"/>
        </w:rPr>
        <w:tab/>
        <w:t>Table ronde ministérielle et table ronde des dirigeants du secteur privé et déclarations de politique générale.</w:t>
      </w:r>
    </w:p>
    <w:p w14:paraId="32176158" w14:textId="77777777" w:rsidR="00011162" w:rsidRPr="007D496E" w:rsidRDefault="00011162" w:rsidP="00FF034C">
      <w:pPr>
        <w:pStyle w:val="Heading1"/>
        <w:jc w:val="left"/>
        <w:rPr>
          <w:lang w:val="fr-FR"/>
        </w:rPr>
      </w:pPr>
      <w:r w:rsidRPr="007D496E">
        <w:rPr>
          <w:lang w:val="fr-FR"/>
        </w:rPr>
        <w:t>III</w:t>
      </w:r>
      <w:r w:rsidRPr="007D496E">
        <w:rPr>
          <w:lang w:val="fr-FR"/>
        </w:rPr>
        <w:tab/>
        <w:t>Programme de travail de l'UIT-D pour la période 2026-2029</w:t>
      </w:r>
    </w:p>
    <w:p w14:paraId="45FE337A" w14:textId="77777777" w:rsidR="00011162" w:rsidRPr="007D496E" w:rsidRDefault="00011162" w:rsidP="00FF034C">
      <w:pPr>
        <w:pStyle w:val="enumlev1"/>
        <w:spacing w:line="240" w:lineRule="auto"/>
        <w:jc w:val="left"/>
        <w:rPr>
          <w:lang w:val="fr-FR"/>
        </w:rPr>
      </w:pPr>
      <w:r w:rsidRPr="007D496E">
        <w:rPr>
          <w:lang w:val="fr-FR"/>
        </w:rPr>
        <w:t>6</w:t>
      </w:r>
      <w:r w:rsidRPr="007D496E">
        <w:rPr>
          <w:lang w:val="fr-FR"/>
        </w:rPr>
        <w:tab/>
        <w:t>Résultats des réunions préparatoires régionales en vue de la CMDT.</w:t>
      </w:r>
    </w:p>
    <w:p w14:paraId="4409A63D" w14:textId="77777777" w:rsidR="00011162" w:rsidRPr="007D496E" w:rsidRDefault="00011162" w:rsidP="00FF034C">
      <w:pPr>
        <w:pStyle w:val="enumlev1"/>
        <w:spacing w:line="240" w:lineRule="auto"/>
        <w:jc w:val="left"/>
        <w:rPr>
          <w:lang w:val="fr-FR"/>
        </w:rPr>
      </w:pPr>
      <w:r w:rsidRPr="007D496E">
        <w:rPr>
          <w:lang w:val="fr-FR"/>
        </w:rPr>
        <w:t>7</w:t>
      </w:r>
      <w:r w:rsidRPr="007D496E">
        <w:rPr>
          <w:lang w:val="fr-FR"/>
        </w:rPr>
        <w:tab/>
        <w:t>Contribution de l'UIT-D au Plan stratégique de l'UIT pour la période 2028-2031.</w:t>
      </w:r>
    </w:p>
    <w:p w14:paraId="413B409C" w14:textId="77777777" w:rsidR="00011162" w:rsidRPr="007D496E" w:rsidRDefault="00011162" w:rsidP="00FF034C">
      <w:pPr>
        <w:pStyle w:val="enumlev1"/>
        <w:spacing w:line="240" w:lineRule="auto"/>
        <w:jc w:val="left"/>
        <w:rPr>
          <w:lang w:val="fr-FR"/>
        </w:rPr>
      </w:pPr>
      <w:r w:rsidRPr="007D496E">
        <w:rPr>
          <w:lang w:val="fr-FR"/>
        </w:rPr>
        <w:t>8</w:t>
      </w:r>
      <w:r w:rsidRPr="007D496E">
        <w:rPr>
          <w:lang w:val="fr-FR"/>
        </w:rPr>
        <w:tab/>
        <w:t>Priorités de l'UIT-D.</w:t>
      </w:r>
    </w:p>
    <w:p w14:paraId="192A8155" w14:textId="77777777" w:rsidR="00011162" w:rsidRPr="007D496E" w:rsidRDefault="00011162" w:rsidP="00FF034C">
      <w:pPr>
        <w:pStyle w:val="enumlev1"/>
        <w:spacing w:line="240" w:lineRule="auto"/>
        <w:jc w:val="left"/>
        <w:rPr>
          <w:lang w:val="fr-FR"/>
        </w:rPr>
      </w:pPr>
      <w:r w:rsidRPr="007D496E">
        <w:rPr>
          <w:lang w:val="fr-FR"/>
        </w:rPr>
        <w:t>9</w:t>
      </w:r>
      <w:r w:rsidRPr="007D496E">
        <w:rPr>
          <w:lang w:val="fr-FR"/>
        </w:rPr>
        <w:tab/>
        <w:t>Plan d'action de l'UIT-D pour la période suivante.</w:t>
      </w:r>
    </w:p>
    <w:p w14:paraId="0EB0597F" w14:textId="77777777" w:rsidR="00011162" w:rsidRPr="007D496E" w:rsidRDefault="00011162" w:rsidP="00FF034C">
      <w:pPr>
        <w:pStyle w:val="enumlev1"/>
        <w:spacing w:line="240" w:lineRule="auto"/>
        <w:jc w:val="left"/>
        <w:rPr>
          <w:lang w:val="fr-FR"/>
        </w:rPr>
      </w:pPr>
      <w:r w:rsidRPr="007D496E">
        <w:rPr>
          <w:lang w:val="fr-FR"/>
        </w:rPr>
        <w:t>10</w:t>
      </w:r>
      <w:r w:rsidRPr="007D496E">
        <w:rPr>
          <w:lang w:val="fr-FR"/>
        </w:rPr>
        <w:tab/>
        <w:t>Déclaration de la CMDT.</w:t>
      </w:r>
    </w:p>
    <w:p w14:paraId="1E6618C8" w14:textId="77777777" w:rsidR="00011162" w:rsidRPr="007D496E" w:rsidRDefault="00011162" w:rsidP="00FF034C">
      <w:pPr>
        <w:pStyle w:val="enumlev1"/>
        <w:spacing w:line="240" w:lineRule="auto"/>
        <w:jc w:val="left"/>
        <w:rPr>
          <w:lang w:val="fr-FR"/>
        </w:rPr>
      </w:pPr>
      <w:r w:rsidRPr="007D496E">
        <w:rPr>
          <w:lang w:val="fr-FR"/>
        </w:rPr>
        <w:t>11</w:t>
      </w:r>
      <w:r w:rsidRPr="007D496E">
        <w:rPr>
          <w:lang w:val="fr-FR"/>
        </w:rPr>
        <w:tab/>
        <w:t>Groupe consultatif pour le développement des télécommunications:</w:t>
      </w:r>
    </w:p>
    <w:p w14:paraId="4DD17A9C" w14:textId="77777777" w:rsidR="00011162" w:rsidRPr="007D496E" w:rsidRDefault="00011162" w:rsidP="00FF034C">
      <w:pPr>
        <w:pStyle w:val="enumlev2"/>
        <w:spacing w:line="240" w:lineRule="auto"/>
        <w:jc w:val="left"/>
        <w:rPr>
          <w:lang w:val="fr-FR"/>
        </w:rPr>
      </w:pPr>
      <w:r w:rsidRPr="007D496E">
        <w:rPr>
          <w:lang w:val="fr-FR"/>
        </w:rPr>
        <w:t>a)</w:t>
      </w:r>
      <w:r w:rsidRPr="007D496E">
        <w:rPr>
          <w:lang w:val="fr-FR"/>
        </w:rPr>
        <w:tab/>
        <w:t>Pouvoir conféré au Groupe consultatif pour le développement des télécommunications d'agir entre les conférences mondiales de développement des télécommunications (Résolution 24 (Rév. Dubaï, 2014)).</w:t>
      </w:r>
    </w:p>
    <w:p w14:paraId="78599739" w14:textId="77777777" w:rsidR="00011162" w:rsidRPr="007D496E" w:rsidRDefault="00011162" w:rsidP="00FF034C">
      <w:pPr>
        <w:pStyle w:val="enumlev2"/>
        <w:spacing w:line="240" w:lineRule="auto"/>
        <w:jc w:val="left"/>
        <w:rPr>
          <w:lang w:val="fr-FR"/>
        </w:rPr>
      </w:pPr>
      <w:r w:rsidRPr="007D496E">
        <w:rPr>
          <w:lang w:val="fr-FR"/>
        </w:rPr>
        <w:t>b)</w:t>
      </w:r>
      <w:r w:rsidRPr="007D496E">
        <w:rPr>
          <w:lang w:val="fr-FR"/>
        </w:rPr>
        <w:tab/>
        <w:t>Structure et méthodes de travail.</w:t>
      </w:r>
    </w:p>
    <w:p w14:paraId="200B5CC5" w14:textId="77777777" w:rsidR="00011162" w:rsidRPr="007D496E" w:rsidRDefault="00011162" w:rsidP="00FF034C">
      <w:pPr>
        <w:pStyle w:val="enumlev1"/>
        <w:keepNext/>
        <w:keepLines/>
        <w:spacing w:line="240" w:lineRule="auto"/>
        <w:jc w:val="left"/>
        <w:rPr>
          <w:lang w:val="fr-FR"/>
        </w:rPr>
      </w:pPr>
      <w:r w:rsidRPr="007D496E">
        <w:rPr>
          <w:lang w:val="fr-FR"/>
        </w:rPr>
        <w:t>12</w:t>
      </w:r>
      <w:r w:rsidRPr="007D496E">
        <w:rPr>
          <w:lang w:val="fr-FR"/>
        </w:rPr>
        <w:tab/>
        <w:t>Commissions d'études.</w:t>
      </w:r>
    </w:p>
    <w:p w14:paraId="6EF2BD2B" w14:textId="77777777" w:rsidR="00011162" w:rsidRPr="007D496E" w:rsidRDefault="00011162" w:rsidP="00FF034C">
      <w:pPr>
        <w:pStyle w:val="enumlev2"/>
        <w:keepNext/>
        <w:keepLines/>
        <w:spacing w:line="240" w:lineRule="auto"/>
        <w:jc w:val="left"/>
        <w:rPr>
          <w:lang w:val="fr-FR"/>
        </w:rPr>
      </w:pPr>
      <w:r w:rsidRPr="007D496E">
        <w:rPr>
          <w:lang w:val="fr-FR"/>
        </w:rPr>
        <w:t>a)</w:t>
      </w:r>
      <w:r w:rsidRPr="007D496E">
        <w:rPr>
          <w:lang w:val="fr-FR"/>
        </w:rPr>
        <w:tab/>
        <w:t>Questions à l'étude.</w:t>
      </w:r>
    </w:p>
    <w:p w14:paraId="714FFF06" w14:textId="77777777" w:rsidR="00011162" w:rsidRPr="007D496E" w:rsidRDefault="00011162" w:rsidP="00FF034C">
      <w:pPr>
        <w:pStyle w:val="enumlev2"/>
        <w:keepNext/>
        <w:keepLines/>
        <w:spacing w:line="240" w:lineRule="auto"/>
        <w:jc w:val="left"/>
        <w:rPr>
          <w:lang w:val="fr-FR"/>
        </w:rPr>
      </w:pPr>
      <w:r w:rsidRPr="007D496E">
        <w:rPr>
          <w:lang w:val="fr-FR"/>
        </w:rPr>
        <w:t>b)</w:t>
      </w:r>
      <w:r w:rsidRPr="007D496E">
        <w:rPr>
          <w:lang w:val="fr-FR"/>
        </w:rPr>
        <w:tab/>
        <w:t>Structure et méthodes de travail.</w:t>
      </w:r>
    </w:p>
    <w:p w14:paraId="24F7724E" w14:textId="77777777" w:rsidR="00011162" w:rsidRPr="007D496E" w:rsidRDefault="00011162" w:rsidP="00FF034C">
      <w:pPr>
        <w:pStyle w:val="enumlev1"/>
        <w:spacing w:line="240" w:lineRule="auto"/>
        <w:jc w:val="left"/>
        <w:rPr>
          <w:lang w:val="fr-FR"/>
        </w:rPr>
      </w:pPr>
      <w:r w:rsidRPr="007D496E">
        <w:rPr>
          <w:lang w:val="fr-FR"/>
        </w:rPr>
        <w:t>13</w:t>
      </w:r>
      <w:r w:rsidRPr="007D496E">
        <w:rPr>
          <w:lang w:val="fr-FR"/>
        </w:rPr>
        <w:tab/>
        <w:t>Initiatives régionales.</w:t>
      </w:r>
    </w:p>
    <w:p w14:paraId="43E8EE2E" w14:textId="77777777" w:rsidR="00011162" w:rsidRPr="007D496E" w:rsidRDefault="00011162" w:rsidP="00FF034C">
      <w:pPr>
        <w:pStyle w:val="enumlev1"/>
        <w:spacing w:line="240" w:lineRule="auto"/>
        <w:jc w:val="left"/>
        <w:rPr>
          <w:lang w:val="fr-FR"/>
        </w:rPr>
      </w:pPr>
      <w:r w:rsidRPr="007D496E">
        <w:rPr>
          <w:lang w:val="fr-FR"/>
        </w:rPr>
        <w:t>14</w:t>
      </w:r>
      <w:r w:rsidRPr="007D496E">
        <w:rPr>
          <w:lang w:val="fr-FR"/>
        </w:rPr>
        <w:tab/>
        <w:t>Résolutions et Recommandations.</w:t>
      </w:r>
    </w:p>
    <w:p w14:paraId="6A5E4CF1" w14:textId="2E4AA0BE" w:rsidR="006B78FA" w:rsidRPr="007D496E" w:rsidRDefault="006B78FA" w:rsidP="00FF034C">
      <w:pPr>
        <w:spacing w:line="240" w:lineRule="auto"/>
        <w:rPr>
          <w:lang w:val="fr-FR"/>
        </w:rPr>
      </w:pPr>
      <w:r w:rsidRPr="007D496E">
        <w:rPr>
          <w:lang w:val="fr-FR"/>
        </w:rPr>
        <w:br w:type="page"/>
      </w:r>
    </w:p>
    <w:p w14:paraId="00055785" w14:textId="4BFFBA0A" w:rsidR="00011162" w:rsidRPr="007D496E" w:rsidRDefault="006B78FA" w:rsidP="00A26744">
      <w:pPr>
        <w:pStyle w:val="AnnexNo"/>
        <w:spacing w:after="240"/>
        <w:rPr>
          <w:b/>
          <w:bCs/>
        </w:rPr>
      </w:pPr>
      <w:bookmarkStart w:id="10" w:name="AnnexeD"/>
      <w:r w:rsidRPr="007D496E">
        <w:rPr>
          <w:b/>
          <w:bCs/>
        </w:rPr>
        <w:lastRenderedPageBreak/>
        <w:t>ANNEXE D</w:t>
      </w:r>
      <w:bookmarkEnd w:id="10"/>
    </w:p>
    <w:p w14:paraId="0C46EAA1" w14:textId="77777777" w:rsidR="006B78FA" w:rsidRPr="007D496E" w:rsidRDefault="006B78FA" w:rsidP="00FF034C">
      <w:pPr>
        <w:pStyle w:val="ResNo"/>
        <w:spacing w:line="240" w:lineRule="auto"/>
        <w:rPr>
          <w:lang w:val="fr-FR"/>
        </w:rPr>
      </w:pPr>
      <w:r w:rsidRPr="007D496E">
        <w:rPr>
          <w:lang w:val="fr-FR"/>
        </w:rPr>
        <w:t>RÉSOLUTION 1422</w:t>
      </w:r>
    </w:p>
    <w:p w14:paraId="17A3DE22" w14:textId="77777777" w:rsidR="006B78FA" w:rsidRPr="007D496E" w:rsidRDefault="006B78FA" w:rsidP="00FF034C">
      <w:pPr>
        <w:pStyle w:val="Resref"/>
        <w:spacing w:line="240" w:lineRule="auto"/>
        <w:rPr>
          <w:rFonts w:asciiTheme="minorHAnsi" w:hAnsiTheme="minorHAnsi" w:cstheme="minorHAnsi"/>
          <w:szCs w:val="24"/>
          <w:lang w:val="fr-FR"/>
        </w:rPr>
      </w:pPr>
      <w:r w:rsidRPr="007D496E">
        <w:rPr>
          <w:rFonts w:asciiTheme="minorHAnsi" w:hAnsiTheme="minorHAnsi" w:cstheme="minorHAnsi"/>
          <w:szCs w:val="24"/>
          <w:lang w:val="fr-FR"/>
        </w:rPr>
        <w:t>(adoptée à la cinquième séance plénière)</w:t>
      </w:r>
    </w:p>
    <w:p w14:paraId="048D884F" w14:textId="7F3E73E2" w:rsidR="006B78FA" w:rsidRPr="007D496E" w:rsidRDefault="006B78FA" w:rsidP="00FF034C">
      <w:pPr>
        <w:pStyle w:val="Restitle"/>
        <w:rPr>
          <w:lang w:val="fr-FR"/>
        </w:rPr>
      </w:pPr>
      <w:r w:rsidRPr="007D496E">
        <w:rPr>
          <w:lang w:val="fr-FR"/>
        </w:rPr>
        <w:t>Ordre du jour de la Conférence mondiale des</w:t>
      </w:r>
      <w:r w:rsidRPr="007D496E">
        <w:rPr>
          <w:lang w:val="fr-FR"/>
        </w:rPr>
        <w:br/>
        <w:t>radiocommunications de 2027 (CMR-27)</w:t>
      </w:r>
    </w:p>
    <w:p w14:paraId="44B2FCE4" w14:textId="77777777" w:rsidR="006B78FA" w:rsidRPr="007D496E" w:rsidRDefault="006B78FA" w:rsidP="00FF034C">
      <w:pPr>
        <w:pStyle w:val="Normalaftertitle"/>
        <w:spacing w:line="240" w:lineRule="auto"/>
        <w:rPr>
          <w:lang w:val="fr-FR"/>
        </w:rPr>
      </w:pPr>
      <w:r w:rsidRPr="007D496E">
        <w:rPr>
          <w:lang w:val="fr-FR"/>
        </w:rPr>
        <w:t>Le Conseil de l'UIT,</w:t>
      </w:r>
    </w:p>
    <w:p w14:paraId="219C8787" w14:textId="77777777" w:rsidR="006B78FA" w:rsidRPr="007D496E" w:rsidRDefault="006B78FA" w:rsidP="00FF034C">
      <w:pPr>
        <w:pStyle w:val="Call"/>
        <w:spacing w:line="240" w:lineRule="auto"/>
        <w:rPr>
          <w:lang w:val="fr-FR"/>
        </w:rPr>
      </w:pPr>
      <w:r w:rsidRPr="007D496E">
        <w:rPr>
          <w:lang w:val="fr-FR"/>
        </w:rPr>
        <w:t>notant</w:t>
      </w:r>
    </w:p>
    <w:p w14:paraId="0D081193" w14:textId="77777777" w:rsidR="006B78FA" w:rsidRPr="007D496E" w:rsidRDefault="006B78FA" w:rsidP="00FF034C">
      <w:pPr>
        <w:spacing w:line="240" w:lineRule="auto"/>
        <w:jc w:val="left"/>
        <w:rPr>
          <w:lang w:val="fr-FR"/>
        </w:rPr>
      </w:pPr>
      <w:r w:rsidRPr="007D496E">
        <w:rPr>
          <w:lang w:val="fr-FR"/>
        </w:rPr>
        <w:t>que la Conférence mondiale des radiocommunications (Dubaï, 2023), dans sa Résolution 813:</w:t>
      </w:r>
    </w:p>
    <w:p w14:paraId="0996EB7A" w14:textId="77777777" w:rsidR="006B78FA" w:rsidRPr="007D496E" w:rsidRDefault="006B78FA" w:rsidP="00FF034C">
      <w:pPr>
        <w:spacing w:line="240" w:lineRule="auto"/>
        <w:jc w:val="left"/>
        <w:rPr>
          <w:lang w:val="fr-FR"/>
        </w:rPr>
      </w:pPr>
      <w:r w:rsidRPr="007D496E">
        <w:rPr>
          <w:i/>
          <w:iCs/>
          <w:lang w:val="fr-FR"/>
        </w:rPr>
        <w:t>a)</w:t>
      </w:r>
      <w:r w:rsidRPr="007D496E">
        <w:rPr>
          <w:lang w:val="fr-FR"/>
        </w:rPr>
        <w:tab/>
        <w:t>a décidé de recommander au Conseil de convoquer, en 2027, une conférence mondiale des radiocommunications d'une durée maximale de quatre semaines;</w:t>
      </w:r>
    </w:p>
    <w:p w14:paraId="7DD46E33" w14:textId="77777777" w:rsidR="006B78FA" w:rsidRPr="007D496E" w:rsidRDefault="006B78FA" w:rsidP="00FF034C">
      <w:pPr>
        <w:spacing w:line="240" w:lineRule="auto"/>
        <w:jc w:val="left"/>
        <w:rPr>
          <w:lang w:val="fr-FR"/>
        </w:rPr>
      </w:pPr>
      <w:r w:rsidRPr="007D496E">
        <w:rPr>
          <w:i/>
          <w:iCs/>
          <w:lang w:val="fr-FR"/>
        </w:rPr>
        <w:t>b)</w:t>
      </w:r>
      <w:r w:rsidRPr="007D496E">
        <w:rPr>
          <w:lang w:val="fr-FR"/>
        </w:rPr>
        <w:tab/>
        <w:t>a recommandé des points à inscrire à l'ordre du jour de cette conférence et a invité le Conseil à arrêter définitivement cet ordre du jour, à prendre les dispositions nécessaires en vue de la convocation de la CMR-27 et à engager dès que possible les consultations nécessaires avec les États Membres,</w:t>
      </w:r>
    </w:p>
    <w:p w14:paraId="59949449" w14:textId="77777777" w:rsidR="006B78FA" w:rsidRPr="007D496E" w:rsidRDefault="006B78FA" w:rsidP="00A26744">
      <w:pPr>
        <w:pStyle w:val="Call"/>
        <w:rPr>
          <w:lang w:val="fr-FR"/>
        </w:rPr>
      </w:pPr>
      <w:r w:rsidRPr="007D496E">
        <w:rPr>
          <w:lang w:val="fr-FR"/>
        </w:rPr>
        <w:t>décide</w:t>
      </w:r>
    </w:p>
    <w:p w14:paraId="340994CE" w14:textId="77777777" w:rsidR="006B78FA" w:rsidRPr="007D496E" w:rsidRDefault="006B78FA" w:rsidP="00A26744">
      <w:pPr>
        <w:jc w:val="left"/>
        <w:rPr>
          <w:lang w:val="fr-FR"/>
        </w:rPr>
      </w:pPr>
      <w:r w:rsidRPr="007D496E">
        <w:rPr>
          <w:lang w:val="fr-FR"/>
        </w:rPr>
        <w:t>de convoquer en 2027 une Conférence mondiale des radiocommunications (CMR-27), précédée par une Assemblée des radiocommunications, dont l'ordre du jour sera le suivant:</w:t>
      </w:r>
    </w:p>
    <w:p w14:paraId="6E9E65F8" w14:textId="77777777" w:rsidR="006B78FA" w:rsidRPr="007D496E" w:rsidRDefault="006B78FA" w:rsidP="00A26744">
      <w:pPr>
        <w:jc w:val="left"/>
        <w:rPr>
          <w:lang w:val="fr-FR"/>
        </w:rPr>
      </w:pPr>
      <w:r w:rsidRPr="007D496E">
        <w:rPr>
          <w:lang w:val="fr-FR"/>
        </w:rPr>
        <w:t>1</w:t>
      </w:r>
      <w:r w:rsidRPr="007D496E">
        <w:rPr>
          <w:lang w:val="fr-FR"/>
        </w:rPr>
        <w:tab/>
        <w:t>sur la base des propositions des administrations, compte tenu des résultats de la CMR</w:t>
      </w:r>
      <w:r w:rsidRPr="007D496E">
        <w:rPr>
          <w:lang w:val="fr-FR"/>
        </w:rPr>
        <w:noBreakHyphen/>
        <w:t>23 ainsi que du Rapport de la Réunion de préparation à la Conférence et compte dûment tenu des besoins des services existants et futurs dans les bandes de fréquences considérées, examiner les points suivants et prendre les mesures appropriées:</w:t>
      </w:r>
    </w:p>
    <w:p w14:paraId="4DBAD1B4" w14:textId="77777777" w:rsidR="006B78FA" w:rsidRPr="007D496E" w:rsidRDefault="006B78FA" w:rsidP="00A26744">
      <w:pPr>
        <w:jc w:val="left"/>
        <w:rPr>
          <w:lang w:val="fr-FR" w:eastAsia="fr-CH"/>
        </w:rPr>
      </w:pPr>
      <w:r w:rsidRPr="007D496E">
        <w:rPr>
          <w:lang w:val="fr-FR"/>
        </w:rPr>
        <w:t>1.1</w:t>
      </w:r>
      <w:r w:rsidRPr="007D496E">
        <w:rPr>
          <w:lang w:val="fr-FR"/>
        </w:rPr>
        <w:tab/>
      </w:r>
      <w:r w:rsidRPr="007D496E">
        <w:rPr>
          <w:lang w:val="fr-FR" w:eastAsia="fr-CH"/>
        </w:rPr>
        <w:t xml:space="preserve">examiner les conditions techniques et opérationnelles applicables à l'utilisation des bandes de fréquences 47,2-50,2 GHz (Terre vers espace) et 50,4-51,4 GHz (Terre vers espace), ou de parties de ces bandes de fréquences, par les stations terriennes aéronautiques et maritimes en mouvement communiquant avec des stations spatiales du service fixe par satellite et élaborer des mesures d'ordre réglementaire, selon le cas, pour faciliter l'utilisation des bandes de fréquences </w:t>
      </w:r>
      <w:r w:rsidRPr="007D496E">
        <w:rPr>
          <w:lang w:val="fr-FR"/>
        </w:rPr>
        <w:t>47,2</w:t>
      </w:r>
      <w:r w:rsidRPr="007D496E">
        <w:rPr>
          <w:lang w:val="fr-FR"/>
        </w:rPr>
        <w:noBreakHyphen/>
        <w:t xml:space="preserve">50,2 GHz </w:t>
      </w:r>
      <w:r w:rsidRPr="007D496E">
        <w:rPr>
          <w:lang w:val="fr-FR" w:eastAsia="fr-CH"/>
        </w:rPr>
        <w:t xml:space="preserve">(Terre vers espace) </w:t>
      </w:r>
      <w:r w:rsidRPr="007D496E">
        <w:rPr>
          <w:lang w:val="fr-FR"/>
        </w:rPr>
        <w:t>et 50,4</w:t>
      </w:r>
      <w:r w:rsidRPr="007D496E">
        <w:rPr>
          <w:lang w:val="fr-FR"/>
        </w:rPr>
        <w:noBreakHyphen/>
        <w:t>51,4 GHz (Terre vers espace), ou de parties de ces bandes de fréquences,</w:t>
      </w:r>
      <w:r w:rsidRPr="007D496E">
        <w:rPr>
          <w:lang w:val="fr-FR" w:eastAsia="zh-CN"/>
        </w:rPr>
        <w:t xml:space="preserve"> </w:t>
      </w:r>
      <w:r w:rsidRPr="007D496E">
        <w:rPr>
          <w:lang w:val="fr-FR" w:eastAsia="fr-CH"/>
        </w:rPr>
        <w:t xml:space="preserve">par les stations terriennes aéronautiques et maritimes en mouvement communiquant avec des stations spatiales géostationnaires et des stations spatiales non géostationnaires du service fixe par satellite, conformément à la Résolution </w:t>
      </w:r>
      <w:r w:rsidRPr="007D496E">
        <w:rPr>
          <w:b/>
          <w:bCs/>
          <w:lang w:val="fr-FR" w:eastAsia="fr-CH"/>
        </w:rPr>
        <w:t>176 (Rév.CMR-23)</w:t>
      </w:r>
      <w:r w:rsidRPr="007D496E">
        <w:rPr>
          <w:lang w:val="fr-FR" w:eastAsia="fr-CH"/>
        </w:rPr>
        <w:t>;</w:t>
      </w:r>
    </w:p>
    <w:p w14:paraId="130BD4EA" w14:textId="77777777" w:rsidR="006B78FA" w:rsidRPr="007D496E" w:rsidRDefault="006B78FA" w:rsidP="00A26744">
      <w:pPr>
        <w:jc w:val="left"/>
        <w:rPr>
          <w:lang w:val="fr-FR"/>
        </w:rPr>
      </w:pPr>
      <w:r w:rsidRPr="007D496E">
        <w:rPr>
          <w:lang w:val="fr-FR" w:eastAsia="fr-CH"/>
        </w:rPr>
        <w:t>1.2</w:t>
      </w:r>
      <w:r w:rsidRPr="007D496E">
        <w:rPr>
          <w:lang w:val="fr-FR" w:eastAsia="fr-CH"/>
        </w:rPr>
        <w:tab/>
      </w:r>
      <w:r w:rsidRPr="007D496E">
        <w:rPr>
          <w:lang w:val="fr-FR"/>
        </w:rPr>
        <w:t xml:space="preserve">examiner la révision éventuelle des conditions de partage dans la bande de fréquences 13,75-14 GHz pour permettre l'utilisation des stations terriennes du service fixe par satellite en liaison montante avec des antennes de petite dimension, conformément à la Résolution </w:t>
      </w:r>
      <w:r w:rsidRPr="007D496E">
        <w:rPr>
          <w:b/>
          <w:bCs/>
          <w:caps/>
          <w:lang w:val="fr-FR"/>
        </w:rPr>
        <w:t>129 (CMR</w:t>
      </w:r>
      <w:r w:rsidRPr="007D496E">
        <w:rPr>
          <w:b/>
          <w:bCs/>
          <w:caps/>
          <w:lang w:val="fr-FR"/>
        </w:rPr>
        <w:noBreakHyphen/>
        <w:t>23)</w:t>
      </w:r>
      <w:r w:rsidRPr="007D496E">
        <w:rPr>
          <w:lang w:val="fr-FR"/>
        </w:rPr>
        <w:t>;</w:t>
      </w:r>
    </w:p>
    <w:p w14:paraId="47F3C569" w14:textId="77777777" w:rsidR="006B78FA" w:rsidRPr="007D496E" w:rsidRDefault="006B78FA" w:rsidP="00A26744">
      <w:pPr>
        <w:jc w:val="left"/>
        <w:rPr>
          <w:lang w:val="fr-FR"/>
        </w:rPr>
      </w:pPr>
      <w:r w:rsidRPr="007D496E">
        <w:rPr>
          <w:lang w:val="fr-FR"/>
        </w:rPr>
        <w:t>1.3</w:t>
      </w:r>
      <w:r w:rsidRPr="007D496E">
        <w:rPr>
          <w:lang w:val="fr-FR"/>
        </w:rPr>
        <w:tab/>
      </w:r>
      <w:r w:rsidRPr="007D496E">
        <w:rPr>
          <w:rFonts w:eastAsiaTheme="minorHAnsi"/>
          <w:lang w:val="fr-FR"/>
        </w:rPr>
        <w:t xml:space="preserve">examiner des études relatives à l'utilisation de la bande de fréquences 51,4-52,4 GHz pour en permettre </w:t>
      </w:r>
      <w:r w:rsidRPr="007D496E">
        <w:rPr>
          <w:lang w:val="fr-FR"/>
        </w:rPr>
        <w:t xml:space="preserve">l'utilisation </w:t>
      </w:r>
      <w:r w:rsidRPr="007D496E">
        <w:rPr>
          <w:rFonts w:eastAsiaTheme="minorHAnsi"/>
          <w:lang w:val="fr-FR"/>
        </w:rPr>
        <w:t>par les stations terriennes passerelles émettant vers des systèmes à satellites non géostationnaires du service fixe par satellite (Terre vers espace), conformément à la Résolution </w:t>
      </w:r>
      <w:r w:rsidRPr="007D496E">
        <w:rPr>
          <w:b/>
          <w:bCs/>
          <w:lang w:val="fr-FR"/>
        </w:rPr>
        <w:t>130 (CMR-23)</w:t>
      </w:r>
      <w:r w:rsidRPr="007D496E">
        <w:rPr>
          <w:lang w:val="fr-FR"/>
        </w:rPr>
        <w:t>;</w:t>
      </w:r>
    </w:p>
    <w:p w14:paraId="6DE93405" w14:textId="7484AE72" w:rsidR="006B78FA" w:rsidRPr="007D496E" w:rsidRDefault="006B78FA" w:rsidP="00FF034C">
      <w:pPr>
        <w:keepLines/>
        <w:spacing w:line="240" w:lineRule="auto"/>
        <w:jc w:val="left"/>
        <w:rPr>
          <w:lang w:val="fr-FR"/>
        </w:rPr>
      </w:pPr>
      <w:r w:rsidRPr="007D496E">
        <w:rPr>
          <w:lang w:val="fr-FR"/>
        </w:rPr>
        <w:lastRenderedPageBreak/>
        <w:t>1.4</w:t>
      </w:r>
      <w:r w:rsidRPr="007D496E">
        <w:rPr>
          <w:lang w:val="fr-FR"/>
        </w:rPr>
        <w:tab/>
        <w:t>examiner une nouvelle attribution éventuelle à titre primaire au service fixe par satellite (espace vers Terre) dans la bande de fréquences 17,3-17,7 GHz et une nouvelle attribution éventuelle à titre primaire au service de radiodiffusion par satellite (espace vers Terre) dans la bande de fréquences 17,3</w:t>
      </w:r>
      <w:r w:rsidRPr="007D496E">
        <w:rPr>
          <w:lang w:val="fr-FR"/>
        </w:rPr>
        <w:noBreakHyphen/>
        <w:t>17,8 GHz en Région 3, tout en assurant la protection des attributions existantes à titre primaire dans la même bande de fréquences et dans les bandes de fréquences adjacentes, et examiner des limites de puissance surfacique équivalente à appliquer dans les Régions</w:t>
      </w:r>
      <w:r w:rsidR="00AB69F5" w:rsidRPr="007D496E">
        <w:rPr>
          <w:lang w:val="fr-FR"/>
        </w:rPr>
        <w:t> </w:t>
      </w:r>
      <w:r w:rsidRPr="007D496E">
        <w:rPr>
          <w:lang w:val="fr-FR"/>
        </w:rPr>
        <w:t>1 et 3 aux systèmes à satellites non géostationnaires du service fixe par satellite (espace vers Terre) dans la bande de fréquences 17,3-17,7 GHz, conformément à la Résolution</w:t>
      </w:r>
      <w:r w:rsidR="00AB69F5" w:rsidRPr="007D496E">
        <w:rPr>
          <w:lang w:val="fr-FR"/>
        </w:rPr>
        <w:t> </w:t>
      </w:r>
      <w:r w:rsidRPr="007D496E">
        <w:rPr>
          <w:b/>
          <w:bCs/>
          <w:lang w:val="fr-FR"/>
        </w:rPr>
        <w:t>726</w:t>
      </w:r>
      <w:r w:rsidR="00AB69F5" w:rsidRPr="007D496E">
        <w:rPr>
          <w:b/>
          <w:bCs/>
          <w:lang w:val="fr-FR"/>
        </w:rPr>
        <w:t> </w:t>
      </w:r>
      <w:r w:rsidRPr="007D496E">
        <w:rPr>
          <w:b/>
          <w:bCs/>
          <w:lang w:val="fr-FR"/>
        </w:rPr>
        <w:t>(CMR</w:t>
      </w:r>
      <w:r w:rsidRPr="007D496E">
        <w:rPr>
          <w:b/>
          <w:bCs/>
          <w:lang w:val="fr-FR"/>
        </w:rPr>
        <w:noBreakHyphen/>
        <w:t>23)</w:t>
      </w:r>
      <w:r w:rsidRPr="007D496E">
        <w:rPr>
          <w:lang w:val="fr-FR"/>
        </w:rPr>
        <w:t>;</w:t>
      </w:r>
    </w:p>
    <w:p w14:paraId="267D8CB8" w14:textId="43D76964" w:rsidR="006B78FA" w:rsidRPr="007D496E" w:rsidRDefault="006B78FA" w:rsidP="00FF034C">
      <w:pPr>
        <w:spacing w:line="240" w:lineRule="auto"/>
        <w:jc w:val="left"/>
        <w:rPr>
          <w:rFonts w:eastAsiaTheme="minorHAnsi"/>
          <w:lang w:val="fr-FR"/>
        </w:rPr>
      </w:pPr>
      <w:r w:rsidRPr="007D496E">
        <w:rPr>
          <w:lang w:val="fr-FR"/>
        </w:rPr>
        <w:t>1.5</w:t>
      </w:r>
      <w:r w:rsidRPr="007D496E">
        <w:rPr>
          <w:lang w:val="fr-FR"/>
        </w:rPr>
        <w:tab/>
      </w:r>
      <w:r w:rsidRPr="007D496E">
        <w:rPr>
          <w:rFonts w:eastAsiaTheme="minorHAnsi"/>
          <w:lang w:val="fr-FR"/>
        </w:rPr>
        <w:t xml:space="preserve">étudier les mesures réglementaires, et la possibilité de mettre en œuvre ces mesures, pour limiter l'exploitation non autorisée de stations terriennes sur l'orbite des satellites non géostationnaires du service fixe par satellite et du service mobile par satellite, et examiner les questions </w:t>
      </w:r>
      <w:r w:rsidRPr="007D496E">
        <w:rPr>
          <w:lang w:val="fr-FR"/>
        </w:rPr>
        <w:t xml:space="preserve">connexes relatives </w:t>
      </w:r>
      <w:r w:rsidRPr="007D496E">
        <w:rPr>
          <w:rFonts w:eastAsiaTheme="minorHAnsi"/>
          <w:lang w:val="fr-FR"/>
        </w:rPr>
        <w:t>à la zone de service des systèmes à satellites non géostationnaires du service fixe par satellite et du service mobile par satellite, conformément à la Résolution </w:t>
      </w:r>
      <w:r w:rsidRPr="007D496E">
        <w:rPr>
          <w:rFonts w:eastAsiaTheme="minorHAnsi"/>
          <w:b/>
          <w:bCs/>
          <w:lang w:val="fr-FR"/>
        </w:rPr>
        <w:t>14 (CMR-</w:t>
      </w:r>
      <w:r w:rsidRPr="007D496E">
        <w:rPr>
          <w:rFonts w:eastAsiaTheme="minorHAnsi"/>
          <w:b/>
          <w:bCs/>
          <w:lang w:val="fr-FR"/>
        </w:rPr>
        <w:noBreakHyphen/>
        <w:t>23)</w:t>
      </w:r>
      <w:r w:rsidRPr="007D496E">
        <w:rPr>
          <w:rFonts w:eastAsiaTheme="minorHAnsi"/>
          <w:lang w:val="fr-FR"/>
        </w:rPr>
        <w:t>;</w:t>
      </w:r>
    </w:p>
    <w:p w14:paraId="398C2DB6" w14:textId="77777777" w:rsidR="006B78FA" w:rsidRPr="007D496E" w:rsidRDefault="006B78FA" w:rsidP="00FF034C">
      <w:pPr>
        <w:spacing w:line="240" w:lineRule="auto"/>
        <w:jc w:val="left"/>
        <w:rPr>
          <w:rFonts w:eastAsiaTheme="minorHAnsi"/>
          <w:lang w:val="fr-FR"/>
        </w:rPr>
      </w:pPr>
      <w:r w:rsidRPr="007D496E">
        <w:rPr>
          <w:rFonts w:eastAsiaTheme="minorHAnsi"/>
          <w:lang w:val="fr-FR"/>
        </w:rPr>
        <w:t>1.6</w:t>
      </w:r>
      <w:r w:rsidRPr="007D496E">
        <w:rPr>
          <w:rFonts w:eastAsiaTheme="minorHAnsi"/>
          <w:lang w:val="fr-FR"/>
        </w:rPr>
        <w:tab/>
        <w:t>examiner des mesures techniques et réglementaires relatives aux réseaux à satellite/systèmes à satellites du service fixe par satellite dans les bandes de fréquences 37,5</w:t>
      </w:r>
      <w:r w:rsidRPr="007D496E">
        <w:rPr>
          <w:rFonts w:eastAsiaTheme="minorHAnsi"/>
          <w:lang w:val="fr-FR"/>
        </w:rPr>
        <w:noBreakHyphen/>
        <w:t>42,5 GHz (espace vers Terre), 42,5-43,5 GHz (Terre vers espace), 47,2</w:t>
      </w:r>
      <w:r w:rsidRPr="007D496E">
        <w:rPr>
          <w:rFonts w:eastAsiaTheme="minorHAnsi"/>
          <w:lang w:val="fr-FR"/>
        </w:rPr>
        <w:noBreakHyphen/>
        <w:t>50,2 GHz (Terre vers espace) et 50,4</w:t>
      </w:r>
      <w:r w:rsidRPr="007D496E">
        <w:rPr>
          <w:rFonts w:eastAsiaTheme="minorHAnsi"/>
          <w:lang w:val="fr-FR"/>
        </w:rPr>
        <w:noBreakHyphen/>
        <w:t xml:space="preserve">51,4 GHz (Terre vers espace) pour garantir un accès équitable à ces bandes de fréquences, conformément à la Résolution </w:t>
      </w:r>
      <w:r w:rsidRPr="007D496E">
        <w:rPr>
          <w:rFonts w:eastAsiaTheme="minorHAnsi"/>
          <w:b/>
          <w:bCs/>
          <w:lang w:val="fr-FR"/>
        </w:rPr>
        <w:t>131 (CMR-23)</w:t>
      </w:r>
      <w:r w:rsidRPr="007D496E">
        <w:rPr>
          <w:rFonts w:eastAsiaTheme="minorHAnsi"/>
          <w:lang w:val="fr-FR"/>
        </w:rPr>
        <w:t>;</w:t>
      </w:r>
    </w:p>
    <w:p w14:paraId="51C261CD" w14:textId="4CAC15F1" w:rsidR="006B78FA" w:rsidRPr="007D496E" w:rsidRDefault="006B78FA" w:rsidP="00FF034C">
      <w:pPr>
        <w:spacing w:line="240" w:lineRule="auto"/>
        <w:jc w:val="left"/>
        <w:rPr>
          <w:b/>
          <w:lang w:val="fr-FR"/>
        </w:rPr>
      </w:pPr>
      <w:r w:rsidRPr="007D496E">
        <w:rPr>
          <w:rFonts w:eastAsiaTheme="minorEastAsia"/>
          <w:lang w:val="fr-FR"/>
        </w:rPr>
        <w:t>1.7</w:t>
      </w:r>
      <w:r w:rsidRPr="007D496E">
        <w:rPr>
          <w:rFonts w:eastAsiaTheme="minorEastAsia"/>
          <w:lang w:val="fr-FR"/>
        </w:rPr>
        <w:tab/>
      </w:r>
      <w:r w:rsidRPr="007D496E">
        <w:rPr>
          <w:lang w:val="fr-FR"/>
        </w:rPr>
        <w:t>examiner des études de partage et de compatibilité et définir des conditions techniques en vue de l'utilisation des Télécommunications mobiles internationales (IMT) dans les bandes de fréquences 4 400-4 800 MHz, et 7 125-8 400 MHz (ou des parties de ces bandes de fréquences) et 14,8-15,35 GHz, compte tenu des services primaires existants fonctionnant dans ces bandes de fréquences et dans les bandes de fréquences adjacentes, conformément à la Résolution</w:t>
      </w:r>
      <w:r w:rsidR="00AB69F5" w:rsidRPr="007D496E">
        <w:rPr>
          <w:lang w:val="fr-FR"/>
        </w:rPr>
        <w:t> </w:t>
      </w:r>
      <w:r w:rsidRPr="007D496E">
        <w:rPr>
          <w:b/>
          <w:lang w:val="fr-FR"/>
        </w:rPr>
        <w:t>256</w:t>
      </w:r>
      <w:r w:rsidR="00AB69F5" w:rsidRPr="007D496E">
        <w:rPr>
          <w:b/>
          <w:lang w:val="fr-FR"/>
        </w:rPr>
        <w:t xml:space="preserve"> </w:t>
      </w:r>
      <w:r w:rsidRPr="007D496E">
        <w:rPr>
          <w:b/>
          <w:lang w:val="fr-FR"/>
        </w:rPr>
        <w:t>(CMR</w:t>
      </w:r>
      <w:r w:rsidRPr="007D496E">
        <w:rPr>
          <w:b/>
          <w:lang w:val="fr-FR"/>
        </w:rPr>
        <w:noBreakHyphen/>
        <w:t>23)</w:t>
      </w:r>
      <w:r w:rsidRPr="007D496E">
        <w:rPr>
          <w:lang w:val="fr-FR"/>
        </w:rPr>
        <w:t>;</w:t>
      </w:r>
    </w:p>
    <w:p w14:paraId="292EE8A4" w14:textId="77777777" w:rsidR="006B78FA" w:rsidRPr="007D496E" w:rsidRDefault="006B78FA" w:rsidP="00FF034C">
      <w:pPr>
        <w:spacing w:line="240" w:lineRule="auto"/>
        <w:jc w:val="left"/>
        <w:rPr>
          <w:lang w:val="fr-FR"/>
        </w:rPr>
      </w:pPr>
      <w:r w:rsidRPr="007D496E">
        <w:rPr>
          <w:rFonts w:eastAsiaTheme="minorEastAsia"/>
          <w:lang w:val="fr-FR"/>
        </w:rPr>
        <w:t>1.8</w:t>
      </w:r>
      <w:r w:rsidRPr="007D496E">
        <w:rPr>
          <w:rFonts w:eastAsiaTheme="minorEastAsia"/>
          <w:lang w:val="fr-FR"/>
        </w:rPr>
        <w:tab/>
      </w:r>
      <w:r w:rsidRPr="007D496E">
        <w:rPr>
          <w:lang w:val="fr-FR"/>
        </w:rPr>
        <w:t xml:space="preserve">examiner des attributions de fréquences additionnelles éventuelles au service de radiolocalisation à titre primaire dans la gamme de fréquences 231,5-275 GHz et de nouvelles identifications éventuelles pour les applications du service de radiolocalisation dans les bandes de fréquences comprises dans la gamme de fréquences 275-700 GHz pour les systèmes d'imagerie en ondes millimétriques et submillimétriques, conformément à la Résolution </w:t>
      </w:r>
      <w:r w:rsidRPr="007D496E">
        <w:rPr>
          <w:b/>
          <w:bCs/>
          <w:lang w:val="fr-FR"/>
        </w:rPr>
        <w:t>663 (Rév.CMR-23)</w:t>
      </w:r>
      <w:r w:rsidRPr="007D496E">
        <w:rPr>
          <w:lang w:val="fr-FR"/>
        </w:rPr>
        <w:t>;</w:t>
      </w:r>
    </w:p>
    <w:p w14:paraId="079F9607" w14:textId="2D712DFB" w:rsidR="006B78FA" w:rsidRPr="007D496E" w:rsidRDefault="006B78FA" w:rsidP="00FF034C">
      <w:pPr>
        <w:spacing w:line="240" w:lineRule="auto"/>
        <w:jc w:val="left"/>
        <w:rPr>
          <w:szCs w:val="24"/>
          <w:lang w:val="fr-FR"/>
        </w:rPr>
      </w:pPr>
      <w:r w:rsidRPr="007D496E">
        <w:rPr>
          <w:szCs w:val="24"/>
          <w:lang w:val="fr-FR"/>
        </w:rPr>
        <w:t>1.9</w:t>
      </w:r>
      <w:r w:rsidRPr="007D496E">
        <w:rPr>
          <w:szCs w:val="24"/>
          <w:lang w:val="fr-FR"/>
        </w:rPr>
        <w:tab/>
      </w:r>
      <w:r w:rsidRPr="007D496E">
        <w:rPr>
          <w:lang w:val="fr-FR"/>
        </w:rPr>
        <w:t xml:space="preserve">examiner </w:t>
      </w:r>
      <w:r w:rsidRPr="007D496E">
        <w:rPr>
          <w:szCs w:val="24"/>
          <w:lang w:val="fr-FR"/>
        </w:rPr>
        <w:t>des mesures réglementaires appropriées pour mettre à jour l'Appendice </w:t>
      </w:r>
      <w:r w:rsidRPr="007D496E">
        <w:rPr>
          <w:b/>
          <w:bCs/>
          <w:szCs w:val="24"/>
          <w:lang w:val="fr-FR"/>
        </w:rPr>
        <w:t>26</w:t>
      </w:r>
      <w:r w:rsidRPr="007D496E">
        <w:rPr>
          <w:szCs w:val="24"/>
          <w:lang w:val="fr-FR"/>
        </w:rPr>
        <w:t xml:space="preserve"> du Règlement des radiocommunications </w:t>
      </w:r>
      <w:r w:rsidRPr="007D496E">
        <w:rPr>
          <w:lang w:val="fr-FR"/>
        </w:rPr>
        <w:t xml:space="preserve">en vue de permettre </w:t>
      </w:r>
      <w:r w:rsidRPr="007D496E">
        <w:rPr>
          <w:szCs w:val="24"/>
          <w:lang w:val="fr-FR"/>
        </w:rPr>
        <w:t xml:space="preserve">la modernisation </w:t>
      </w:r>
      <w:r w:rsidRPr="007D496E">
        <w:rPr>
          <w:lang w:val="fr-FR"/>
        </w:rPr>
        <w:t xml:space="preserve">de l'utilisation des bandes d'ondes décamétriques du service mobile aéronautique (OR), </w:t>
      </w:r>
      <w:r w:rsidRPr="007D496E">
        <w:rPr>
          <w:szCs w:val="24"/>
          <w:lang w:val="fr-FR"/>
        </w:rPr>
        <w:t>conformément à la Résolution</w:t>
      </w:r>
      <w:r w:rsidR="00AB69F5" w:rsidRPr="007D496E">
        <w:rPr>
          <w:szCs w:val="24"/>
          <w:lang w:val="fr-FR"/>
        </w:rPr>
        <w:t> </w:t>
      </w:r>
      <w:r w:rsidRPr="007D496E">
        <w:rPr>
          <w:b/>
          <w:bCs/>
          <w:szCs w:val="24"/>
          <w:lang w:val="fr-FR"/>
        </w:rPr>
        <w:t>411 (</w:t>
      </w:r>
      <w:r w:rsidRPr="007D496E">
        <w:rPr>
          <w:b/>
          <w:szCs w:val="24"/>
          <w:lang w:val="fr-FR"/>
        </w:rPr>
        <w:t>CMR</w:t>
      </w:r>
      <w:r w:rsidRPr="007D496E">
        <w:rPr>
          <w:b/>
          <w:szCs w:val="24"/>
          <w:lang w:val="fr-FR"/>
        </w:rPr>
        <w:noBreakHyphen/>
        <w:t>23)</w:t>
      </w:r>
      <w:r w:rsidRPr="007D496E">
        <w:rPr>
          <w:szCs w:val="24"/>
          <w:lang w:val="fr-FR"/>
        </w:rPr>
        <w:t>;</w:t>
      </w:r>
    </w:p>
    <w:p w14:paraId="104B31BC" w14:textId="77777777" w:rsidR="006B78FA" w:rsidRPr="007D496E" w:rsidRDefault="006B78FA" w:rsidP="00FF034C">
      <w:pPr>
        <w:spacing w:line="240" w:lineRule="auto"/>
        <w:jc w:val="left"/>
        <w:rPr>
          <w:lang w:val="fr-FR"/>
        </w:rPr>
      </w:pPr>
      <w:r w:rsidRPr="007D496E">
        <w:rPr>
          <w:szCs w:val="24"/>
          <w:lang w:val="fr-FR"/>
        </w:rPr>
        <w:t>1.10</w:t>
      </w:r>
      <w:r w:rsidRPr="007D496E">
        <w:rPr>
          <w:szCs w:val="24"/>
          <w:lang w:val="fr-FR"/>
        </w:rPr>
        <w:tab/>
        <w:t xml:space="preserve">envisager de </w:t>
      </w:r>
      <w:r w:rsidRPr="007D496E">
        <w:rPr>
          <w:lang w:val="fr-FR"/>
        </w:rPr>
        <w:t xml:space="preserve">définir des limites de puissance surfacique et de puissance isotrope rayonnée équivalente à inclure dans l'Article </w:t>
      </w:r>
      <w:r w:rsidRPr="007D496E">
        <w:rPr>
          <w:b/>
          <w:bCs/>
          <w:lang w:val="fr-FR"/>
        </w:rPr>
        <w:t>21</w:t>
      </w:r>
      <w:r w:rsidRPr="007D496E">
        <w:rPr>
          <w:lang w:val="fr-FR"/>
        </w:rPr>
        <w:t xml:space="preserve"> du Règlement des radiocommunications pour les services fixe par satellite, mobile par satellite et de radiodiffusion par satellite aux fins de la protection des services fixe et mobile dans les bandes de fréquences 71</w:t>
      </w:r>
      <w:r w:rsidRPr="007D496E">
        <w:rPr>
          <w:lang w:val="fr-FR"/>
        </w:rPr>
        <w:noBreakHyphen/>
        <w:t>76 GHz et 81-86 GHz, conformément à la Résolution </w:t>
      </w:r>
      <w:r w:rsidRPr="007D496E">
        <w:rPr>
          <w:b/>
          <w:bCs/>
          <w:lang w:val="fr-FR"/>
        </w:rPr>
        <w:t>775 (Rév.CMR-23)</w:t>
      </w:r>
      <w:r w:rsidRPr="007D496E">
        <w:rPr>
          <w:lang w:val="fr-FR"/>
        </w:rPr>
        <w:t>;</w:t>
      </w:r>
    </w:p>
    <w:p w14:paraId="2FBFACB3" w14:textId="77777777" w:rsidR="006B78FA" w:rsidRPr="007D496E" w:rsidRDefault="006B78FA" w:rsidP="00FF034C">
      <w:pPr>
        <w:spacing w:line="240" w:lineRule="auto"/>
        <w:jc w:val="left"/>
        <w:rPr>
          <w:lang w:val="fr-FR"/>
        </w:rPr>
      </w:pPr>
      <w:r w:rsidRPr="007D496E">
        <w:rPr>
          <w:lang w:val="fr-FR"/>
        </w:rPr>
        <w:t>1.11</w:t>
      </w:r>
      <w:r w:rsidRPr="007D496E">
        <w:rPr>
          <w:lang w:val="fr-FR"/>
        </w:rPr>
        <w:tab/>
        <w:t>examiner les questions techniques et opérationnelles ainsi que des dispositions réglementaires relatives aux liaisons espace-espace entre les satellites non géostationnaires et les satellites géostationnaires dans les bandes de fréquences 1 518-1 544 MHz, 1 545</w:t>
      </w:r>
      <w:r w:rsidRPr="007D496E">
        <w:rPr>
          <w:lang w:val="fr-FR"/>
        </w:rPr>
        <w:noBreakHyphen/>
        <w:t>1 559 MHz, 1 610</w:t>
      </w:r>
      <w:r w:rsidRPr="007D496E">
        <w:rPr>
          <w:lang w:val="fr-FR"/>
        </w:rPr>
        <w:noBreakHyphen/>
        <w:t>1 645,5 MHz, 1 646,5-1 660 MHz, 1 670-1 675 MHz et 2 483,5</w:t>
      </w:r>
      <w:r w:rsidRPr="007D496E">
        <w:rPr>
          <w:lang w:val="fr-FR"/>
        </w:rPr>
        <w:noBreakHyphen/>
        <w:t xml:space="preserve">2 500 MHz attribuées au service mobile par satellite, conformément à la Résolution </w:t>
      </w:r>
      <w:r w:rsidRPr="007D496E">
        <w:rPr>
          <w:b/>
          <w:bCs/>
          <w:lang w:val="fr-FR"/>
        </w:rPr>
        <w:t>249 (Rév.CMR-23)</w:t>
      </w:r>
      <w:r w:rsidRPr="007D496E">
        <w:rPr>
          <w:lang w:val="fr-FR"/>
        </w:rPr>
        <w:t>;</w:t>
      </w:r>
    </w:p>
    <w:p w14:paraId="675119BB" w14:textId="2B3A066B" w:rsidR="006B78FA" w:rsidRPr="007D496E" w:rsidRDefault="006B78FA" w:rsidP="00FF034C">
      <w:pPr>
        <w:keepLines/>
        <w:spacing w:line="240" w:lineRule="auto"/>
        <w:jc w:val="left"/>
        <w:rPr>
          <w:lang w:val="fr-FR"/>
        </w:rPr>
      </w:pPr>
      <w:r w:rsidRPr="007D496E">
        <w:rPr>
          <w:lang w:val="fr-FR"/>
        </w:rPr>
        <w:lastRenderedPageBreak/>
        <w:t>1.12</w:t>
      </w:r>
      <w:r w:rsidRPr="007D496E">
        <w:rPr>
          <w:lang w:val="fr-FR"/>
        </w:rPr>
        <w:tab/>
        <w:t>examiner, sur la base des résultats des études, de nouvelles attributions éventuelles au service mobile par satellite et d'éventuelles mesures réglementaires dans les bandes de fréquences 1 427-1 432 MHz (espace vers Terre), 1 645,5-1 646,5 MHz (espace vers Terre) (Terre</w:t>
      </w:r>
      <w:r w:rsidR="00AB69F5" w:rsidRPr="007D496E">
        <w:rPr>
          <w:lang w:val="fr-FR"/>
        </w:rPr>
        <w:t> </w:t>
      </w:r>
      <w:r w:rsidRPr="007D496E">
        <w:rPr>
          <w:lang w:val="fr-FR"/>
        </w:rPr>
        <w:t>vers espace), 1 880-1 920 MHz (espace vers Terre) (Terre vers espace) et 2 010</w:t>
      </w:r>
      <w:r w:rsidRPr="007D496E">
        <w:rPr>
          <w:lang w:val="fr-FR"/>
        </w:rPr>
        <w:noBreakHyphen/>
        <w:t>2 025 MHz (espace vers Terre) (Terre vers espace) nécessaires au développement futur des systèmes à satellites mobiles non géostationnaires à faible débit de données, conformément à la Résolution </w:t>
      </w:r>
      <w:r w:rsidRPr="007D496E">
        <w:rPr>
          <w:b/>
          <w:bCs/>
          <w:lang w:val="fr-FR"/>
        </w:rPr>
        <w:t>252 (CMR</w:t>
      </w:r>
      <w:r w:rsidRPr="007D496E">
        <w:rPr>
          <w:b/>
          <w:bCs/>
          <w:lang w:val="fr-FR"/>
        </w:rPr>
        <w:noBreakHyphen/>
        <w:t>23)</w:t>
      </w:r>
      <w:r w:rsidRPr="007D496E">
        <w:rPr>
          <w:lang w:val="fr-FR"/>
        </w:rPr>
        <w:t>;</w:t>
      </w:r>
    </w:p>
    <w:p w14:paraId="2D54F872" w14:textId="77777777" w:rsidR="006B78FA" w:rsidRPr="007D496E" w:rsidRDefault="006B78FA" w:rsidP="00FF034C">
      <w:pPr>
        <w:spacing w:line="240" w:lineRule="auto"/>
        <w:jc w:val="left"/>
        <w:rPr>
          <w:lang w:val="fr-FR"/>
        </w:rPr>
      </w:pPr>
      <w:r w:rsidRPr="007D496E">
        <w:rPr>
          <w:lang w:val="fr-FR"/>
        </w:rPr>
        <w:t>1.13</w:t>
      </w:r>
      <w:r w:rsidRPr="007D496E">
        <w:rPr>
          <w:lang w:val="fr-FR"/>
        </w:rPr>
        <w:tab/>
        <w:t xml:space="preserve">examiner les études concernant de nouvelles attributions éventuelles au service mobile par satellite pour permettre une connectivité directe entre les stations spatiales et les équipements d'utilisateur des Télécommunications mobiles internationales (IMT) afin de compléter la couverture des réseaux IMT de Terre, conformément à la Résolution </w:t>
      </w:r>
      <w:r w:rsidRPr="007D496E">
        <w:rPr>
          <w:b/>
          <w:bCs/>
          <w:lang w:val="fr-FR"/>
        </w:rPr>
        <w:t>253 (CMR</w:t>
      </w:r>
      <w:r w:rsidRPr="007D496E">
        <w:rPr>
          <w:b/>
          <w:bCs/>
          <w:lang w:val="fr-FR"/>
        </w:rPr>
        <w:noBreakHyphen/>
        <w:t>23)</w:t>
      </w:r>
      <w:r w:rsidRPr="007D496E">
        <w:rPr>
          <w:lang w:val="fr-FR"/>
        </w:rPr>
        <w:t>;</w:t>
      </w:r>
    </w:p>
    <w:p w14:paraId="2FCBFB44" w14:textId="77777777" w:rsidR="006B78FA" w:rsidRPr="007D496E" w:rsidRDefault="006B78FA" w:rsidP="00FF034C">
      <w:pPr>
        <w:spacing w:line="240" w:lineRule="auto"/>
        <w:jc w:val="left"/>
        <w:rPr>
          <w:bCs/>
          <w:lang w:val="fr-FR"/>
        </w:rPr>
      </w:pPr>
      <w:r w:rsidRPr="007D496E">
        <w:rPr>
          <w:lang w:val="fr-FR"/>
        </w:rPr>
        <w:t>1.14</w:t>
      </w:r>
      <w:r w:rsidRPr="007D496E">
        <w:rPr>
          <w:lang w:val="fr-FR"/>
        </w:rPr>
        <w:tab/>
        <w:t xml:space="preserve">examiner des attributions additionnelles éventuelles au service mobile par satellite, conformément à la Résolution </w:t>
      </w:r>
      <w:r w:rsidRPr="007D496E">
        <w:rPr>
          <w:b/>
          <w:lang w:val="fr-FR"/>
        </w:rPr>
        <w:t>254 (CMR</w:t>
      </w:r>
      <w:r w:rsidRPr="007D496E">
        <w:rPr>
          <w:b/>
          <w:lang w:val="fr-FR"/>
        </w:rPr>
        <w:noBreakHyphen/>
        <w:t>23)</w:t>
      </w:r>
      <w:r w:rsidRPr="007D496E">
        <w:rPr>
          <w:bCs/>
          <w:lang w:val="fr-FR"/>
        </w:rPr>
        <w:t>;</w:t>
      </w:r>
    </w:p>
    <w:p w14:paraId="3F732EFA" w14:textId="77777777" w:rsidR="006B78FA" w:rsidRPr="007D496E" w:rsidRDefault="006B78FA" w:rsidP="00FF034C">
      <w:pPr>
        <w:spacing w:line="240" w:lineRule="auto"/>
        <w:jc w:val="left"/>
        <w:rPr>
          <w:rFonts w:eastAsiaTheme="minorHAnsi"/>
          <w:bCs/>
          <w:szCs w:val="24"/>
          <w:lang w:val="fr-FR"/>
        </w:rPr>
      </w:pPr>
      <w:r w:rsidRPr="007D496E">
        <w:rPr>
          <w:bCs/>
          <w:lang w:val="fr-FR"/>
        </w:rPr>
        <w:t>1.15</w:t>
      </w:r>
      <w:r w:rsidRPr="007D496E">
        <w:rPr>
          <w:bCs/>
          <w:lang w:val="fr-FR"/>
        </w:rPr>
        <w:tab/>
      </w:r>
      <w:r w:rsidRPr="007D496E">
        <w:rPr>
          <w:rFonts w:eastAsiaTheme="minorHAnsi"/>
          <w:bCs/>
          <w:szCs w:val="24"/>
          <w:lang w:val="fr-FR"/>
        </w:rPr>
        <w:t xml:space="preserve">examiner des études sur les questions liées aux fréquences, y compris les éventuelles attributions, nouvelles ou modifiées au service de recherche spatiale (espace-espace) pour le développement futur des communications à la surface de la Lune et entre l'orbite lunaire et la surface de la Lune, conformément à la Résolution </w:t>
      </w:r>
      <w:r w:rsidRPr="007D496E">
        <w:rPr>
          <w:rFonts w:eastAsiaTheme="minorHAnsi"/>
          <w:b/>
          <w:bCs/>
          <w:szCs w:val="24"/>
          <w:lang w:val="fr-FR"/>
        </w:rPr>
        <w:t>680 (CMR-23)</w:t>
      </w:r>
      <w:r w:rsidRPr="007D496E">
        <w:rPr>
          <w:rFonts w:eastAsiaTheme="minorHAnsi"/>
          <w:bCs/>
          <w:szCs w:val="24"/>
          <w:lang w:val="fr-FR"/>
        </w:rPr>
        <w:t>;</w:t>
      </w:r>
    </w:p>
    <w:p w14:paraId="40DE0D67" w14:textId="7DEA1666" w:rsidR="006B78FA" w:rsidRPr="007D496E" w:rsidRDefault="006B78FA" w:rsidP="00FF034C">
      <w:pPr>
        <w:spacing w:line="240" w:lineRule="auto"/>
        <w:jc w:val="left"/>
        <w:rPr>
          <w:lang w:val="fr-FR"/>
        </w:rPr>
      </w:pPr>
      <w:r w:rsidRPr="007D496E">
        <w:rPr>
          <w:rFonts w:eastAsiaTheme="minorHAnsi"/>
          <w:bCs/>
          <w:szCs w:val="24"/>
          <w:lang w:val="fr-FR"/>
        </w:rPr>
        <w:t>1.16</w:t>
      </w:r>
      <w:r w:rsidRPr="007D496E">
        <w:rPr>
          <w:rFonts w:eastAsiaTheme="minorHAnsi"/>
          <w:bCs/>
          <w:szCs w:val="24"/>
          <w:lang w:val="fr-FR"/>
        </w:rPr>
        <w:tab/>
      </w:r>
      <w:r w:rsidRPr="007D496E">
        <w:rPr>
          <w:rFonts w:eastAsiaTheme="minorHAnsi"/>
          <w:bCs/>
          <w:lang w:val="fr-FR"/>
        </w:rPr>
        <w:t>examiner les études sur les dispositions techniques et réglementaires nécessaires pour protéger le service de radioastronomie fonctionnant dans certaines zones de silence radioélectrique et, dans les bandes de fréquences attribuées à titre primaire au service de radioastronomie à l'échelle mondiale, contre les brouillages radioélectriques cumulatifs causés par des systèmes sur l'orbite des satellites non géostationnaires</w:t>
      </w:r>
      <w:r w:rsidRPr="007D496E">
        <w:rPr>
          <w:lang w:val="fr-FR"/>
        </w:rPr>
        <w:t>, conformément à la Résolution</w:t>
      </w:r>
      <w:r w:rsidR="00AB69F5" w:rsidRPr="007D496E">
        <w:rPr>
          <w:lang w:val="fr-FR"/>
        </w:rPr>
        <w:t> </w:t>
      </w:r>
      <w:r w:rsidRPr="007D496E">
        <w:rPr>
          <w:b/>
          <w:bCs/>
          <w:lang w:val="fr-FR"/>
        </w:rPr>
        <w:t>681 (CMR</w:t>
      </w:r>
      <w:r w:rsidRPr="007D496E">
        <w:rPr>
          <w:b/>
          <w:bCs/>
          <w:lang w:val="fr-FR"/>
        </w:rPr>
        <w:noBreakHyphen/>
        <w:t>23)</w:t>
      </w:r>
      <w:r w:rsidRPr="007D496E">
        <w:rPr>
          <w:lang w:val="fr-FR"/>
        </w:rPr>
        <w:t>;</w:t>
      </w:r>
    </w:p>
    <w:p w14:paraId="21B5076E" w14:textId="77777777" w:rsidR="006B78FA" w:rsidRPr="007D496E" w:rsidRDefault="006B78FA" w:rsidP="00FF034C">
      <w:pPr>
        <w:keepLines/>
        <w:spacing w:line="240" w:lineRule="auto"/>
        <w:jc w:val="left"/>
        <w:rPr>
          <w:rFonts w:eastAsiaTheme="minorHAnsi"/>
          <w:lang w:val="fr-FR"/>
        </w:rPr>
      </w:pPr>
      <w:r w:rsidRPr="007D496E">
        <w:rPr>
          <w:lang w:val="fr-FR"/>
        </w:rPr>
        <w:t>1.17</w:t>
      </w:r>
      <w:r w:rsidRPr="007D496E">
        <w:rPr>
          <w:lang w:val="fr-FR"/>
        </w:rPr>
        <w:tab/>
      </w:r>
      <w:r w:rsidRPr="007D496E">
        <w:rPr>
          <w:rFonts w:eastAsiaTheme="minorHAnsi"/>
          <w:bCs/>
          <w:lang w:val="fr-FR"/>
        </w:rPr>
        <w:t xml:space="preserve">examiner des dispositions réglementaires concernant les capteurs de météorologie spatiale en mode réception seulement et leur protection dans le Règlement des radiocommunications, compte tenu des résultats des études menées par le Secteur des radiocommunications de l'UIT, conformément à la Résolution </w:t>
      </w:r>
      <w:r w:rsidRPr="007D496E">
        <w:rPr>
          <w:rFonts w:eastAsiaTheme="minorHAnsi"/>
          <w:b/>
          <w:bCs/>
          <w:lang w:val="fr-FR"/>
        </w:rPr>
        <w:t>682 (CMR-23)</w:t>
      </w:r>
      <w:r w:rsidRPr="007D496E">
        <w:rPr>
          <w:rFonts w:eastAsiaTheme="minorHAnsi"/>
          <w:lang w:val="fr-FR"/>
        </w:rPr>
        <w:t>;</w:t>
      </w:r>
    </w:p>
    <w:p w14:paraId="38EAC6BA" w14:textId="77777777" w:rsidR="006B78FA" w:rsidRPr="007D496E" w:rsidRDefault="006B78FA" w:rsidP="00FF034C">
      <w:pPr>
        <w:spacing w:line="240" w:lineRule="auto"/>
        <w:jc w:val="left"/>
        <w:rPr>
          <w:lang w:val="fr-FR"/>
        </w:rPr>
      </w:pPr>
      <w:r w:rsidRPr="007D496E">
        <w:rPr>
          <w:rFonts w:eastAsiaTheme="minorHAnsi"/>
          <w:lang w:val="fr-FR"/>
        </w:rPr>
        <w:t>1.18</w:t>
      </w:r>
      <w:r w:rsidRPr="007D496E">
        <w:rPr>
          <w:rFonts w:eastAsiaTheme="minorHAnsi"/>
          <w:lang w:val="fr-FR"/>
        </w:rPr>
        <w:tab/>
      </w:r>
      <w:r w:rsidRPr="007D496E">
        <w:rPr>
          <w:rFonts w:eastAsiaTheme="minorHAnsi"/>
          <w:bCs/>
          <w:lang w:val="fr-FR"/>
        </w:rPr>
        <w:t xml:space="preserve">examiner, sur la base des résultats des études du Secteur des radiocommunications de l'UIT, les éventuelles mesures réglementaires à prendre concernant la protection du service d'exploration de la Terre par satellite (passive) et du service de radioastronomie dans certaines bandes de fréquences au-dessus de 76 GHz contre les rayonnements non désirés des services actifs, conformément à la Résolution </w:t>
      </w:r>
      <w:r w:rsidRPr="007D496E">
        <w:rPr>
          <w:rFonts w:eastAsiaTheme="minorHAnsi"/>
          <w:b/>
          <w:lang w:val="fr-FR"/>
        </w:rPr>
        <w:t>712 (CMR-23)</w:t>
      </w:r>
      <w:r w:rsidRPr="007D496E">
        <w:rPr>
          <w:rFonts w:eastAsiaTheme="minorHAnsi"/>
          <w:bCs/>
          <w:lang w:val="fr-FR"/>
        </w:rPr>
        <w:t>;</w:t>
      </w:r>
    </w:p>
    <w:p w14:paraId="21D69727" w14:textId="3B06BAE2" w:rsidR="006B78FA" w:rsidRPr="007D496E" w:rsidRDefault="006B78FA" w:rsidP="00FF034C">
      <w:pPr>
        <w:spacing w:line="240" w:lineRule="auto"/>
        <w:jc w:val="left"/>
        <w:rPr>
          <w:szCs w:val="24"/>
          <w:lang w:val="fr-FR"/>
        </w:rPr>
      </w:pPr>
      <w:r w:rsidRPr="007D496E">
        <w:rPr>
          <w:szCs w:val="24"/>
          <w:lang w:val="fr-FR"/>
        </w:rPr>
        <w:t>1.19</w:t>
      </w:r>
      <w:r w:rsidRPr="007D496E">
        <w:rPr>
          <w:szCs w:val="24"/>
          <w:lang w:val="fr-FR"/>
        </w:rPr>
        <w:tab/>
        <w:t>examiner d'éventuelles attributions à titre primaire dans toutes les Régions au service d'exploration de la Terre par satellite (passive) dans les bandes de fréquences 4 200</w:t>
      </w:r>
      <w:r w:rsidRPr="007D496E">
        <w:rPr>
          <w:szCs w:val="24"/>
          <w:lang w:val="fr-FR"/>
        </w:rPr>
        <w:noBreakHyphen/>
        <w:t>4 400 MHz et</w:t>
      </w:r>
      <w:r w:rsidR="00A26744" w:rsidRPr="007D496E">
        <w:rPr>
          <w:szCs w:val="24"/>
          <w:lang w:val="fr-FR"/>
        </w:rPr>
        <w:t> </w:t>
      </w:r>
      <w:r w:rsidRPr="007D496E">
        <w:rPr>
          <w:szCs w:val="24"/>
          <w:lang w:val="fr-FR"/>
        </w:rPr>
        <w:t xml:space="preserve">8 400-8 500 MHz, conformément à la Résolution </w:t>
      </w:r>
      <w:r w:rsidRPr="007D496E">
        <w:rPr>
          <w:b/>
          <w:bCs/>
          <w:szCs w:val="24"/>
          <w:lang w:val="fr-FR"/>
        </w:rPr>
        <w:t>674 (CMR-23)</w:t>
      </w:r>
      <w:r w:rsidRPr="007D496E">
        <w:rPr>
          <w:szCs w:val="24"/>
          <w:lang w:val="fr-FR"/>
        </w:rPr>
        <w:t>;</w:t>
      </w:r>
    </w:p>
    <w:p w14:paraId="407174E1" w14:textId="77777777" w:rsidR="006B78FA" w:rsidRPr="007D496E" w:rsidRDefault="006B78FA" w:rsidP="00FF034C">
      <w:pPr>
        <w:spacing w:line="240" w:lineRule="auto"/>
        <w:jc w:val="left"/>
        <w:rPr>
          <w:lang w:val="fr-FR"/>
        </w:rPr>
      </w:pPr>
      <w:r w:rsidRPr="007D496E">
        <w:rPr>
          <w:lang w:val="fr-FR"/>
        </w:rPr>
        <w:t>2</w:t>
      </w:r>
      <w:r w:rsidRPr="007D496E">
        <w:rPr>
          <w:lang w:val="fr-FR"/>
        </w:rPr>
        <w:tab/>
        <w:t xml:space="preserve">examiner les Recommandations du Secteur des radiocommunications de l'UIT révisées et incorporées par référence dans le Règlement des radiocommunications, communiquées par l'Assemblée des radiocommunications, conformément au </w:t>
      </w:r>
      <w:r w:rsidRPr="007D496E">
        <w:rPr>
          <w:i/>
          <w:lang w:val="fr-FR"/>
        </w:rPr>
        <w:t>décide en outre</w:t>
      </w:r>
      <w:r w:rsidRPr="007D496E">
        <w:rPr>
          <w:lang w:val="fr-FR"/>
        </w:rPr>
        <w:t xml:space="preserve"> de la Résolution </w:t>
      </w:r>
      <w:r w:rsidRPr="007D496E">
        <w:rPr>
          <w:b/>
          <w:bCs/>
          <w:lang w:val="fr-FR"/>
        </w:rPr>
        <w:t>27</w:t>
      </w:r>
      <w:r w:rsidRPr="007D496E">
        <w:rPr>
          <w:lang w:val="fr-FR"/>
        </w:rPr>
        <w:t xml:space="preserve"> </w:t>
      </w:r>
      <w:r w:rsidRPr="007D496E">
        <w:rPr>
          <w:b/>
          <w:bCs/>
          <w:lang w:val="fr-FR"/>
        </w:rPr>
        <w:t>(Rév.CMR-19)</w:t>
      </w:r>
      <w:r w:rsidRPr="007D496E">
        <w:rPr>
          <w:lang w:val="fr-FR"/>
        </w:rPr>
        <w:t xml:space="preserve">, et décider s'il convient ou non de mettre à jour les références correspondantes dans le Règlement des radiocommunications, conformément aux principes énoncés dans le </w:t>
      </w:r>
      <w:r w:rsidRPr="007D496E">
        <w:rPr>
          <w:i/>
          <w:lang w:val="fr-FR"/>
        </w:rPr>
        <w:t>décide</w:t>
      </w:r>
      <w:r w:rsidRPr="007D496E">
        <w:rPr>
          <w:lang w:val="fr-FR"/>
        </w:rPr>
        <w:t xml:space="preserve"> de cette Résolution;</w:t>
      </w:r>
    </w:p>
    <w:p w14:paraId="5B9DC10A" w14:textId="77777777" w:rsidR="006B78FA" w:rsidRPr="007D496E" w:rsidRDefault="006B78FA" w:rsidP="00FF034C">
      <w:pPr>
        <w:spacing w:line="240" w:lineRule="auto"/>
        <w:jc w:val="left"/>
        <w:rPr>
          <w:lang w:val="fr-FR"/>
        </w:rPr>
      </w:pPr>
      <w:r w:rsidRPr="007D496E">
        <w:rPr>
          <w:lang w:val="fr-FR"/>
        </w:rPr>
        <w:t>3</w:t>
      </w:r>
      <w:r w:rsidRPr="007D496E">
        <w:rPr>
          <w:lang w:val="fr-FR"/>
        </w:rPr>
        <w:tab/>
        <w:t>examiner les modifications et amendements à apporter éventuellement au Règlement des radiocommunications à la suite des décisions prises par la Conférence;</w:t>
      </w:r>
    </w:p>
    <w:p w14:paraId="4E038CA6" w14:textId="77777777" w:rsidR="006B78FA" w:rsidRPr="007D496E" w:rsidRDefault="006B78FA" w:rsidP="00FF034C">
      <w:pPr>
        <w:spacing w:line="240" w:lineRule="auto"/>
        <w:jc w:val="left"/>
        <w:rPr>
          <w:lang w:val="fr-FR"/>
        </w:rPr>
      </w:pPr>
      <w:r w:rsidRPr="007D496E">
        <w:rPr>
          <w:lang w:val="fr-FR"/>
        </w:rPr>
        <w:lastRenderedPageBreak/>
        <w:t>4</w:t>
      </w:r>
      <w:r w:rsidRPr="007D496E">
        <w:rPr>
          <w:lang w:val="fr-FR"/>
        </w:rPr>
        <w:tab/>
        <w:t xml:space="preserve">conformément à la Résolution </w:t>
      </w:r>
      <w:r w:rsidRPr="007D496E">
        <w:rPr>
          <w:b/>
          <w:bCs/>
          <w:lang w:val="fr-FR"/>
        </w:rPr>
        <w:t>95 (Rév.CMR-19)</w:t>
      </w:r>
      <w:r w:rsidRPr="007D496E">
        <w:rPr>
          <w:lang w:val="fr-FR"/>
        </w:rPr>
        <w:t>, examiner les Résolutions et Recommandations des conférences précédentes en vue, le cas échéant, de les réviser, de les remplacer ou de les supprimer;</w:t>
      </w:r>
    </w:p>
    <w:p w14:paraId="7937AB58" w14:textId="77777777" w:rsidR="006B78FA" w:rsidRPr="007D496E" w:rsidRDefault="006B78FA" w:rsidP="00FF034C">
      <w:pPr>
        <w:spacing w:line="240" w:lineRule="auto"/>
        <w:jc w:val="left"/>
        <w:rPr>
          <w:lang w:val="fr-FR"/>
        </w:rPr>
      </w:pPr>
      <w:r w:rsidRPr="007D496E">
        <w:rPr>
          <w:lang w:val="fr-FR"/>
        </w:rPr>
        <w:t>5</w:t>
      </w:r>
      <w:r w:rsidRPr="007D496E">
        <w:rPr>
          <w:lang w:val="fr-FR"/>
        </w:rPr>
        <w:tab/>
        <w:t>examiner le Rapport de l'Assemblée des radiocommunications soumis conformément aux numéros 135 et 136 de la Convention de l'UIT et lui donner la suite voulue;</w:t>
      </w:r>
    </w:p>
    <w:p w14:paraId="67B55683" w14:textId="77777777" w:rsidR="006B78FA" w:rsidRPr="007D496E" w:rsidRDefault="006B78FA" w:rsidP="00FF034C">
      <w:pPr>
        <w:spacing w:line="240" w:lineRule="auto"/>
        <w:jc w:val="left"/>
        <w:rPr>
          <w:lang w:val="fr-FR"/>
        </w:rPr>
      </w:pPr>
      <w:r w:rsidRPr="007D496E">
        <w:rPr>
          <w:lang w:val="fr-FR"/>
        </w:rPr>
        <w:t>6</w:t>
      </w:r>
      <w:r w:rsidRPr="007D496E">
        <w:rPr>
          <w:lang w:val="fr-FR"/>
        </w:rPr>
        <w:tab/>
        <w:t>identifier les points auxquels les commissions d'études des radiocommunications doivent d'urgence donner suite, en vue de la conférence mondiale des radiocommunications suivante;</w:t>
      </w:r>
    </w:p>
    <w:p w14:paraId="32C4D00F" w14:textId="6A6E54E8" w:rsidR="006B78FA" w:rsidRPr="007D496E" w:rsidRDefault="006B78FA" w:rsidP="00FF034C">
      <w:pPr>
        <w:spacing w:line="240" w:lineRule="auto"/>
        <w:jc w:val="left"/>
        <w:rPr>
          <w:lang w:val="fr-FR"/>
        </w:rPr>
      </w:pPr>
      <w:r w:rsidRPr="007D496E">
        <w:rPr>
          <w:lang w:val="fr-FR"/>
        </w:rPr>
        <w:t>7</w:t>
      </w:r>
      <w:r w:rsidRPr="007D496E">
        <w:rPr>
          <w:lang w:val="fr-FR"/>
        </w:rPr>
        <w:tab/>
        <w:t xml:space="preserve">examiner d'éventuels changements à apporter en application de la Résolution 86 (Rév. Marrakech, 2002) de la Conférence de plénipotentiaires, intitulée </w:t>
      </w:r>
      <w:r w:rsidR="00AB69F5" w:rsidRPr="007D496E">
        <w:rPr>
          <w:lang w:val="fr-FR"/>
        </w:rPr>
        <w:t>"</w:t>
      </w:r>
      <w:r w:rsidRPr="007D496E">
        <w:rPr>
          <w:lang w:val="fr-FR"/>
        </w:rPr>
        <w:t>Procédures de publication anticipée, de coordination, de notification et d'inscription des assignations de fréquence relatives aux réseaux à satellite</w:t>
      </w:r>
      <w:r w:rsidR="00AB69F5" w:rsidRPr="007D496E">
        <w:rPr>
          <w:lang w:val="fr-FR"/>
        </w:rPr>
        <w:t>"</w:t>
      </w:r>
      <w:r w:rsidRPr="007D496E">
        <w:rPr>
          <w:lang w:val="fr-FR"/>
        </w:rPr>
        <w:t xml:space="preserve">, conformément à la Résolution </w:t>
      </w:r>
      <w:r w:rsidRPr="007D496E">
        <w:rPr>
          <w:b/>
          <w:bCs/>
          <w:lang w:val="fr-FR"/>
        </w:rPr>
        <w:t>86 (Rév.CMR-07)</w:t>
      </w:r>
      <w:r w:rsidRPr="007D496E">
        <w:rPr>
          <w:lang w:val="fr-FR"/>
        </w:rPr>
        <w:t>, afin de faciliter l'utilisation rationnelle, efficace et économique des fréquences radioélectriques et des orbites associées, y compris de l'orbite des satellites géostationnaires;</w:t>
      </w:r>
    </w:p>
    <w:p w14:paraId="436E9B94" w14:textId="77777777" w:rsidR="006B78FA" w:rsidRPr="007D496E" w:rsidRDefault="006B78FA" w:rsidP="00FF034C">
      <w:pPr>
        <w:spacing w:line="240" w:lineRule="auto"/>
        <w:jc w:val="left"/>
        <w:rPr>
          <w:lang w:val="fr-FR"/>
        </w:rPr>
      </w:pPr>
      <w:r w:rsidRPr="007D496E">
        <w:rPr>
          <w:lang w:val="fr-FR"/>
        </w:rPr>
        <w:t>8</w:t>
      </w:r>
      <w:r w:rsidRPr="007D496E">
        <w:rPr>
          <w:lang w:val="fr-FR"/>
        </w:rPr>
        <w:tab/>
        <w:t xml:space="preserve">examiner les demandes des administrations qui souhaitent supprimer des renvois relatifs à leur pays ou le nom de leur pays de certains renvois, s'ils ne sont plus nécessaires, compte tenu de la Résolution </w:t>
      </w:r>
      <w:r w:rsidRPr="007D496E">
        <w:rPr>
          <w:b/>
          <w:bCs/>
          <w:lang w:val="fr-FR"/>
        </w:rPr>
        <w:t>26 (Rév.CMR-23)</w:t>
      </w:r>
      <w:r w:rsidRPr="007D496E">
        <w:rPr>
          <w:lang w:val="fr-FR"/>
        </w:rPr>
        <w:t>, et prendre les mesures voulues à ce sujet;</w:t>
      </w:r>
    </w:p>
    <w:p w14:paraId="0553453A" w14:textId="77777777" w:rsidR="006B78FA" w:rsidRPr="007D496E" w:rsidRDefault="006B78FA" w:rsidP="00FF034C">
      <w:pPr>
        <w:spacing w:line="240" w:lineRule="auto"/>
        <w:jc w:val="left"/>
        <w:rPr>
          <w:lang w:val="fr-FR"/>
        </w:rPr>
      </w:pPr>
      <w:r w:rsidRPr="007D496E">
        <w:rPr>
          <w:lang w:val="fr-FR"/>
        </w:rPr>
        <w:t>9</w:t>
      </w:r>
      <w:r w:rsidRPr="007D496E">
        <w:rPr>
          <w:lang w:val="fr-FR"/>
        </w:rPr>
        <w:tab/>
        <w:t>examiner et approuver le rapport du Directeur du Bureau des radiocommunications, conformément à l'article 7 de la Convention de l'UIT:</w:t>
      </w:r>
    </w:p>
    <w:p w14:paraId="669367FB" w14:textId="77777777" w:rsidR="006B78FA" w:rsidRPr="007D496E" w:rsidRDefault="006B78FA" w:rsidP="00FF034C">
      <w:pPr>
        <w:spacing w:line="240" w:lineRule="auto"/>
        <w:jc w:val="left"/>
        <w:rPr>
          <w:lang w:val="fr-FR"/>
        </w:rPr>
      </w:pPr>
      <w:r w:rsidRPr="007D496E">
        <w:rPr>
          <w:lang w:val="fr-FR"/>
        </w:rPr>
        <w:t>9.1</w:t>
      </w:r>
      <w:r w:rsidRPr="007D496E">
        <w:rPr>
          <w:lang w:val="fr-FR"/>
        </w:rPr>
        <w:tab/>
        <w:t>sur les activités du Secteur des radiocommunications de l'UIT depuis la CMR</w:t>
      </w:r>
      <w:r w:rsidRPr="007D496E">
        <w:rPr>
          <w:lang w:val="fr-FR"/>
        </w:rPr>
        <w:noBreakHyphen/>
        <w:t>23</w:t>
      </w:r>
      <w:r w:rsidRPr="007D496E">
        <w:rPr>
          <w:rStyle w:val="FootnoteReference"/>
          <w:lang w:val="fr-FR"/>
        </w:rPr>
        <w:footnoteReference w:customMarkFollows="1" w:id="1"/>
        <w:t>1</w:t>
      </w:r>
      <w:r w:rsidRPr="007D496E">
        <w:rPr>
          <w:lang w:val="fr-FR"/>
        </w:rPr>
        <w:t>;</w:t>
      </w:r>
    </w:p>
    <w:p w14:paraId="400904F1" w14:textId="77777777" w:rsidR="006B78FA" w:rsidRPr="007D496E" w:rsidRDefault="006B78FA" w:rsidP="00FF034C">
      <w:pPr>
        <w:spacing w:line="240" w:lineRule="auto"/>
        <w:jc w:val="left"/>
        <w:rPr>
          <w:lang w:val="fr-FR"/>
        </w:rPr>
      </w:pPr>
      <w:r w:rsidRPr="007D496E">
        <w:rPr>
          <w:lang w:val="fr-FR"/>
        </w:rPr>
        <w:t>9.2</w:t>
      </w:r>
      <w:r w:rsidRPr="007D496E">
        <w:rPr>
          <w:lang w:val="fr-FR"/>
        </w:rPr>
        <w:tab/>
        <w:t>sur les difficultés rencontrées ou les incohérences constatées dans l'application du Règlement des radiocommunications</w:t>
      </w:r>
      <w:r w:rsidRPr="007D496E">
        <w:rPr>
          <w:rStyle w:val="FootnoteReference"/>
          <w:lang w:val="fr-FR"/>
        </w:rPr>
        <w:footnoteReference w:customMarkFollows="1" w:id="2"/>
        <w:t>2</w:t>
      </w:r>
      <w:r w:rsidRPr="007D496E">
        <w:rPr>
          <w:lang w:val="fr-FR"/>
        </w:rPr>
        <w:t>; et</w:t>
      </w:r>
    </w:p>
    <w:p w14:paraId="350F5596" w14:textId="77777777" w:rsidR="006B78FA" w:rsidRPr="007D496E" w:rsidRDefault="006B78FA" w:rsidP="00FF034C">
      <w:pPr>
        <w:spacing w:line="240" w:lineRule="auto"/>
        <w:jc w:val="left"/>
        <w:rPr>
          <w:lang w:val="fr-FR"/>
        </w:rPr>
      </w:pPr>
      <w:r w:rsidRPr="007D496E">
        <w:rPr>
          <w:lang w:val="fr-FR"/>
        </w:rPr>
        <w:t>9.3</w:t>
      </w:r>
      <w:r w:rsidRPr="007D496E">
        <w:rPr>
          <w:lang w:val="fr-FR"/>
        </w:rPr>
        <w:tab/>
        <w:t xml:space="preserve">sur la suite donnée à la Résolution </w:t>
      </w:r>
      <w:r w:rsidRPr="007D496E">
        <w:rPr>
          <w:b/>
          <w:bCs/>
          <w:lang w:val="fr-FR"/>
        </w:rPr>
        <w:t>80 (Rév.CMR-07)</w:t>
      </w:r>
      <w:r w:rsidRPr="007D496E">
        <w:rPr>
          <w:lang w:val="fr-FR"/>
        </w:rPr>
        <w:t>;</w:t>
      </w:r>
    </w:p>
    <w:p w14:paraId="285332A3" w14:textId="4DBE2A94" w:rsidR="006B78FA" w:rsidRPr="007D496E" w:rsidRDefault="006B78FA" w:rsidP="00FF034C">
      <w:pPr>
        <w:spacing w:line="240" w:lineRule="auto"/>
        <w:jc w:val="left"/>
        <w:rPr>
          <w:lang w:val="fr-FR"/>
        </w:rPr>
      </w:pPr>
      <w:r w:rsidRPr="007D496E">
        <w:rPr>
          <w:lang w:val="fr-FR"/>
        </w:rPr>
        <w:t>10</w:t>
      </w:r>
      <w:r w:rsidRPr="007D496E">
        <w:rPr>
          <w:lang w:val="fr-FR"/>
        </w:rPr>
        <w:tab/>
        <w:t>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7D496E">
        <w:rPr>
          <w:b/>
          <w:lang w:val="fr-FR"/>
        </w:rPr>
        <w:t>804</w:t>
      </w:r>
      <w:r w:rsidR="00AB69F5" w:rsidRPr="007D496E">
        <w:rPr>
          <w:b/>
          <w:lang w:val="fr-FR"/>
        </w:rPr>
        <w:t xml:space="preserve"> </w:t>
      </w:r>
      <w:r w:rsidRPr="007D496E">
        <w:rPr>
          <w:b/>
          <w:lang w:val="fr-FR"/>
        </w:rPr>
        <w:t>(Rév.CMR-</w:t>
      </w:r>
      <w:r w:rsidRPr="007D496E">
        <w:rPr>
          <w:b/>
          <w:bCs/>
          <w:iCs/>
          <w:lang w:val="fr-FR"/>
        </w:rPr>
        <w:t>23</w:t>
      </w:r>
      <w:r w:rsidRPr="007D496E">
        <w:rPr>
          <w:b/>
          <w:lang w:val="fr-FR"/>
        </w:rPr>
        <w:t>)</w:t>
      </w:r>
      <w:r w:rsidRPr="007D496E">
        <w:rPr>
          <w:lang w:val="fr-FR"/>
        </w:rPr>
        <w:t>.</w:t>
      </w:r>
    </w:p>
    <w:p w14:paraId="2C90F0B8" w14:textId="4D37E394" w:rsidR="006B78FA" w:rsidRPr="007D496E" w:rsidRDefault="006B78FA" w:rsidP="00FF034C">
      <w:pPr>
        <w:spacing w:line="240" w:lineRule="auto"/>
        <w:jc w:val="left"/>
        <w:rPr>
          <w:lang w:val="fr-FR"/>
        </w:rPr>
      </w:pPr>
      <w:r w:rsidRPr="007D496E">
        <w:rPr>
          <w:lang w:val="fr-FR"/>
        </w:rPr>
        <w:br w:type="page"/>
      </w:r>
    </w:p>
    <w:p w14:paraId="74227D1A" w14:textId="239295AE" w:rsidR="006B78FA" w:rsidRPr="007D496E" w:rsidRDefault="006B78FA" w:rsidP="00A26744">
      <w:pPr>
        <w:pStyle w:val="AnnexNo"/>
        <w:spacing w:after="240"/>
        <w:rPr>
          <w:b/>
          <w:bCs/>
        </w:rPr>
      </w:pPr>
      <w:bookmarkStart w:id="11" w:name="AnnexeE"/>
      <w:r w:rsidRPr="007D496E">
        <w:rPr>
          <w:b/>
          <w:bCs/>
        </w:rPr>
        <w:lastRenderedPageBreak/>
        <w:t>ANNEXE E</w:t>
      </w:r>
      <w:bookmarkEnd w:id="11"/>
    </w:p>
    <w:p w14:paraId="4079C134" w14:textId="77777777" w:rsidR="006B78FA" w:rsidRPr="007D496E" w:rsidRDefault="006B78FA" w:rsidP="00FF034C">
      <w:pPr>
        <w:pStyle w:val="ResNo"/>
        <w:spacing w:line="240" w:lineRule="auto"/>
        <w:rPr>
          <w:lang w:val="fr-FR"/>
        </w:rPr>
      </w:pPr>
      <w:bookmarkStart w:id="12" w:name="_Hlk169259509"/>
      <w:r w:rsidRPr="007D496E">
        <w:rPr>
          <w:lang w:val="fr-FR"/>
        </w:rPr>
        <w:t>DÉCISION 640</w:t>
      </w:r>
    </w:p>
    <w:p w14:paraId="19F5BAD7" w14:textId="77777777" w:rsidR="006B78FA" w:rsidRPr="007D496E" w:rsidRDefault="006B78FA" w:rsidP="00FF034C">
      <w:pPr>
        <w:pStyle w:val="Resref"/>
        <w:spacing w:line="240" w:lineRule="auto"/>
        <w:rPr>
          <w:lang w:val="fr-FR"/>
        </w:rPr>
      </w:pPr>
      <w:r w:rsidRPr="007D496E">
        <w:rPr>
          <w:lang w:val="fr-FR"/>
        </w:rPr>
        <w:t>(adoptée à la dixième séance plénière)</w:t>
      </w:r>
      <w:bookmarkEnd w:id="12"/>
    </w:p>
    <w:p w14:paraId="030D8082" w14:textId="77777777" w:rsidR="006B78FA" w:rsidRPr="007D496E" w:rsidRDefault="006B78FA" w:rsidP="00FF034C">
      <w:pPr>
        <w:pStyle w:val="Restitle"/>
        <w:rPr>
          <w:bCs/>
          <w:lang w:val="fr-FR"/>
        </w:rPr>
      </w:pPr>
      <w:bookmarkStart w:id="13" w:name="dtitle1" w:colFirst="0" w:colLast="0"/>
      <w:r w:rsidRPr="007D496E">
        <w:rPr>
          <w:lang w:val="fr-FR"/>
        </w:rPr>
        <w:t>Nouveau projet réévalué pour les locaux du siège de l'UIT</w:t>
      </w:r>
    </w:p>
    <w:bookmarkEnd w:id="13"/>
    <w:p w14:paraId="3807A9C2" w14:textId="77777777" w:rsidR="006B78FA" w:rsidRPr="007D496E" w:rsidRDefault="006B78FA" w:rsidP="00FF034C">
      <w:pPr>
        <w:pStyle w:val="Normalaftertitle"/>
        <w:spacing w:line="240" w:lineRule="auto"/>
        <w:rPr>
          <w:lang w:val="fr-FR"/>
        </w:rPr>
      </w:pPr>
      <w:r w:rsidRPr="007D496E">
        <w:rPr>
          <w:lang w:val="fr-FR"/>
        </w:rPr>
        <w:t>Le Conseil de l'UIT,</w:t>
      </w:r>
    </w:p>
    <w:p w14:paraId="1908499A" w14:textId="77777777" w:rsidR="006B78FA" w:rsidRPr="007D496E" w:rsidRDefault="006B78FA" w:rsidP="00A26744">
      <w:pPr>
        <w:pStyle w:val="Call"/>
        <w:rPr>
          <w:lang w:val="fr-FR"/>
        </w:rPr>
      </w:pPr>
      <w:r w:rsidRPr="007D496E">
        <w:rPr>
          <w:lang w:val="fr-FR"/>
        </w:rPr>
        <w:t>rappelant</w:t>
      </w:r>
    </w:p>
    <w:p w14:paraId="6DFC666B" w14:textId="77777777" w:rsidR="006B78FA" w:rsidRPr="007D496E" w:rsidRDefault="006B78FA" w:rsidP="00FF034C">
      <w:pPr>
        <w:spacing w:line="240" w:lineRule="auto"/>
        <w:jc w:val="left"/>
        <w:rPr>
          <w:rFonts w:asciiTheme="minorHAnsi" w:hAnsiTheme="minorHAnsi" w:cstheme="minorBidi"/>
          <w:color w:val="000000" w:themeColor="text1"/>
          <w:lang w:val="fr-FR"/>
        </w:rPr>
      </w:pPr>
      <w:r w:rsidRPr="007D496E">
        <w:rPr>
          <w:lang w:val="fr-FR"/>
        </w:rPr>
        <w:t>la Résolution 212 (Rév. Bucarest, 2022) de la Conférence de plénipotentiaires sur les locaux futurs du siège de l'Union et les Décisions 588 et 619 du Conseil relatives aux locaux du siège de l'UIT,</w:t>
      </w:r>
    </w:p>
    <w:p w14:paraId="06F21009" w14:textId="77777777" w:rsidR="006B78FA" w:rsidRPr="007D496E" w:rsidRDefault="006B78FA" w:rsidP="00A26744">
      <w:pPr>
        <w:pStyle w:val="Call"/>
        <w:rPr>
          <w:lang w:val="fr-FR"/>
        </w:rPr>
      </w:pPr>
      <w:r w:rsidRPr="007D496E">
        <w:rPr>
          <w:lang w:val="fr-FR"/>
        </w:rPr>
        <w:t>reconnaissant</w:t>
      </w:r>
    </w:p>
    <w:p w14:paraId="0F5DD1CF" w14:textId="32E4ADAD" w:rsidR="006B78FA" w:rsidRPr="007D496E" w:rsidRDefault="006B78FA" w:rsidP="00FF034C">
      <w:pPr>
        <w:spacing w:line="240" w:lineRule="auto"/>
        <w:jc w:val="left"/>
        <w:rPr>
          <w:rFonts w:asciiTheme="minorHAnsi" w:hAnsiTheme="minorHAnsi" w:cstheme="minorBidi"/>
          <w:color w:val="000000" w:themeColor="text1"/>
          <w:lang w:val="fr-FR"/>
        </w:rPr>
      </w:pPr>
      <w:r w:rsidRPr="007D496E">
        <w:rPr>
          <w:i/>
          <w:iCs/>
          <w:lang w:val="fr-FR"/>
        </w:rPr>
        <w:t>a)</w:t>
      </w:r>
      <w:r w:rsidRPr="007D496E">
        <w:rPr>
          <w:lang w:val="fr-FR"/>
        </w:rPr>
        <w:tab/>
        <w:t>que les propositions soumises en vue de la désignation d'une entreprise générale pour</w:t>
      </w:r>
      <w:r w:rsidR="00010910" w:rsidRPr="007D496E">
        <w:rPr>
          <w:lang w:val="fr-FR"/>
        </w:rPr>
        <w:t xml:space="preserve"> </w:t>
      </w:r>
      <w:r w:rsidRPr="007D496E">
        <w:rPr>
          <w:lang w:val="fr-FR"/>
        </w:rPr>
        <w:t>le projet de locaux du siège dépassent largement le budget approuvé de 172,69 millions CHF;</w:t>
      </w:r>
    </w:p>
    <w:p w14:paraId="1D46AFF1" w14:textId="77777777" w:rsidR="006B78FA" w:rsidRPr="007D496E" w:rsidRDefault="006B78FA" w:rsidP="00FF034C">
      <w:pPr>
        <w:spacing w:line="240" w:lineRule="auto"/>
        <w:jc w:val="left"/>
        <w:rPr>
          <w:rFonts w:asciiTheme="minorHAnsi" w:hAnsiTheme="minorHAnsi" w:cstheme="minorBidi"/>
          <w:color w:val="000000" w:themeColor="text1"/>
          <w:lang w:val="fr-FR"/>
        </w:rPr>
      </w:pPr>
      <w:r w:rsidRPr="007D496E">
        <w:rPr>
          <w:i/>
          <w:iCs/>
          <w:lang w:val="fr-FR"/>
        </w:rPr>
        <w:t>b)</w:t>
      </w:r>
      <w:r w:rsidRPr="007D496E">
        <w:rPr>
          <w:lang w:val="fr-FR"/>
        </w:rPr>
        <w:tab/>
        <w:t>que les deux appels lancés en vue d'obtenir des contributions volontaires et des parrainages supplémentaires n'ont suscité aucun intérêt;</w:t>
      </w:r>
    </w:p>
    <w:p w14:paraId="3BD87DCD" w14:textId="77777777" w:rsidR="006B78FA" w:rsidRPr="007D496E" w:rsidRDefault="006B78FA" w:rsidP="00FF034C">
      <w:pPr>
        <w:spacing w:line="240" w:lineRule="auto"/>
        <w:jc w:val="left"/>
        <w:rPr>
          <w:rFonts w:asciiTheme="minorHAnsi" w:hAnsiTheme="minorHAnsi" w:cstheme="minorBidi"/>
          <w:color w:val="000000" w:themeColor="text1"/>
          <w:lang w:val="fr-FR"/>
        </w:rPr>
      </w:pPr>
      <w:r w:rsidRPr="007D496E">
        <w:rPr>
          <w:i/>
          <w:iCs/>
          <w:lang w:val="fr-FR"/>
        </w:rPr>
        <w:t>c)</w:t>
      </w:r>
      <w:r w:rsidRPr="007D496E">
        <w:rPr>
          <w:lang w:val="fr-FR"/>
        </w:rPr>
        <w:tab/>
        <w:t>qu'il faut d'urgence décider du remplacement du bâtiment Varembé, qui approche de la fin de sa durée de vie utile,</w:t>
      </w:r>
    </w:p>
    <w:p w14:paraId="7B5F05B9" w14:textId="77777777" w:rsidR="006B78FA" w:rsidRPr="007D496E" w:rsidRDefault="006B78FA" w:rsidP="00A26744">
      <w:pPr>
        <w:pStyle w:val="Call"/>
        <w:rPr>
          <w:rFonts w:cstheme="minorBidi"/>
          <w:lang w:val="fr-FR"/>
        </w:rPr>
      </w:pPr>
      <w:r w:rsidRPr="007D496E">
        <w:rPr>
          <w:lang w:val="fr-FR"/>
        </w:rPr>
        <w:t>notant</w:t>
      </w:r>
    </w:p>
    <w:p w14:paraId="076B8BC3" w14:textId="77777777" w:rsidR="006B78FA" w:rsidRPr="007D496E" w:rsidRDefault="006B78FA" w:rsidP="00FF034C">
      <w:pPr>
        <w:spacing w:line="240" w:lineRule="auto"/>
        <w:jc w:val="left"/>
        <w:rPr>
          <w:rFonts w:asciiTheme="minorHAnsi" w:hAnsiTheme="minorHAnsi" w:cstheme="minorBidi"/>
          <w:color w:val="000000" w:themeColor="text1"/>
          <w:lang w:val="fr-FR"/>
        </w:rPr>
      </w:pPr>
      <w:r w:rsidRPr="007D496E">
        <w:rPr>
          <w:i/>
          <w:iCs/>
          <w:lang w:val="fr-FR"/>
        </w:rPr>
        <w:t>a)</w:t>
      </w:r>
      <w:r w:rsidRPr="007D496E">
        <w:rPr>
          <w:lang w:val="fr-FR"/>
        </w:rPr>
        <w:tab/>
        <w:t xml:space="preserve">la proposition de la Secrétaire générale relative à un nouveau projet réévalué tenant compte des besoins des membres et du personnel de l'UIT dans les limites du budget actuel, ainsi qu'il ressort du Tableau 4 du Document </w:t>
      </w:r>
      <w:hyperlink r:id="rId21" w:history="1">
        <w:r w:rsidRPr="007D496E">
          <w:rPr>
            <w:rStyle w:val="Hyperlink"/>
            <w:lang w:val="fr-FR"/>
          </w:rPr>
          <w:t>C24</w:t>
        </w:r>
        <w:r w:rsidRPr="007D496E">
          <w:rPr>
            <w:rStyle w:val="Hyperlink"/>
            <w:lang w:val="fr-FR"/>
          </w:rPr>
          <w:t>/</w:t>
        </w:r>
        <w:r w:rsidRPr="007D496E">
          <w:rPr>
            <w:rStyle w:val="Hyperlink"/>
            <w:lang w:val="fr-FR"/>
          </w:rPr>
          <w:t>7</w:t>
        </w:r>
      </w:hyperlink>
      <w:r w:rsidRPr="007D496E">
        <w:rPr>
          <w:lang w:val="fr-FR"/>
        </w:rPr>
        <w:t xml:space="preserve"> du Conseil;</w:t>
      </w:r>
    </w:p>
    <w:p w14:paraId="43DD6D90" w14:textId="77777777" w:rsidR="006B78FA" w:rsidRPr="007D496E" w:rsidRDefault="006B78FA" w:rsidP="00FF034C">
      <w:pPr>
        <w:spacing w:line="240" w:lineRule="auto"/>
        <w:jc w:val="left"/>
        <w:rPr>
          <w:rFonts w:eastAsia="SimSun" w:cstheme="minorHAnsi"/>
          <w:color w:val="000000"/>
          <w:szCs w:val="24"/>
          <w:shd w:val="clear" w:color="auto" w:fill="FFFFFF"/>
          <w:lang w:val="fr-FR"/>
        </w:rPr>
      </w:pPr>
      <w:r w:rsidRPr="007D496E">
        <w:rPr>
          <w:i/>
          <w:iCs/>
          <w:lang w:val="fr-FR"/>
        </w:rPr>
        <w:t>b)</w:t>
      </w:r>
      <w:r w:rsidRPr="007D496E">
        <w:rPr>
          <w:lang w:val="fr-FR"/>
        </w:rPr>
        <w:tab/>
        <w:t>les rapports du Groupe consultatif d'États Membres (MSAG) et de la Présidente du Groupe de travail du Conseil sur les ressources financières et les ressources humaines (GTC</w:t>
      </w:r>
      <w:r w:rsidRPr="007D496E">
        <w:rPr>
          <w:lang w:val="fr-FR"/>
        </w:rPr>
        <w:noBreakHyphen/>
        <w:t>FHR) à la session de 2024 du Conseil, qui appuient le nouveau projet réévalué soumis par la Secrétaire générale,</w:t>
      </w:r>
    </w:p>
    <w:p w14:paraId="20C11038" w14:textId="77777777" w:rsidR="006B78FA" w:rsidRPr="007D496E" w:rsidRDefault="006B78FA" w:rsidP="00A26744">
      <w:pPr>
        <w:pStyle w:val="Call"/>
        <w:rPr>
          <w:lang w:val="fr-FR"/>
        </w:rPr>
      </w:pPr>
      <w:r w:rsidRPr="007D496E">
        <w:rPr>
          <w:lang w:val="fr-FR"/>
        </w:rPr>
        <w:t>décide</w:t>
      </w:r>
    </w:p>
    <w:p w14:paraId="29980531" w14:textId="312DC421" w:rsidR="006B78FA" w:rsidRPr="007D496E" w:rsidRDefault="006B78FA" w:rsidP="00FF034C">
      <w:pPr>
        <w:spacing w:line="240" w:lineRule="auto"/>
        <w:jc w:val="left"/>
        <w:rPr>
          <w:rFonts w:cstheme="minorHAnsi"/>
          <w:szCs w:val="24"/>
          <w:lang w:val="fr-FR"/>
        </w:rPr>
      </w:pPr>
      <w:r w:rsidRPr="007D496E">
        <w:rPr>
          <w:lang w:val="fr-FR"/>
        </w:rPr>
        <w:t>d'approuver, sous réserve de l'accord de la majorité des États Membres de l'UIT, conformément au numéro 79 de la Convention, le nouveau projet réévalué, pour un budget ne dépassant pas</w:t>
      </w:r>
      <w:r w:rsidR="00010910" w:rsidRPr="007D496E">
        <w:rPr>
          <w:lang w:val="fr-FR"/>
        </w:rPr>
        <w:t> </w:t>
      </w:r>
      <w:r w:rsidRPr="007D496E">
        <w:rPr>
          <w:lang w:val="fr-FR"/>
        </w:rPr>
        <w:t>172,69 millions CHF,</w:t>
      </w:r>
    </w:p>
    <w:p w14:paraId="480C0244" w14:textId="77777777" w:rsidR="006B78FA" w:rsidRPr="007D496E" w:rsidRDefault="006B78FA" w:rsidP="00A26744">
      <w:pPr>
        <w:pStyle w:val="Call"/>
        <w:rPr>
          <w:lang w:val="fr-FR"/>
        </w:rPr>
      </w:pPr>
      <w:r w:rsidRPr="007D496E">
        <w:rPr>
          <w:lang w:val="fr-FR"/>
        </w:rPr>
        <w:t>charge la Secrétaire générale, sous réserve de l'accord susmentionné de la majorité des États Membres de l'UIT,</w:t>
      </w:r>
    </w:p>
    <w:p w14:paraId="0FBFBFE6" w14:textId="52AC7B76" w:rsidR="006B78FA" w:rsidRPr="007D496E" w:rsidRDefault="006B78FA" w:rsidP="00FF034C">
      <w:pPr>
        <w:spacing w:line="240" w:lineRule="auto"/>
        <w:jc w:val="left"/>
        <w:rPr>
          <w:rFonts w:cstheme="minorHAnsi"/>
          <w:szCs w:val="24"/>
          <w:lang w:val="fr-FR"/>
        </w:rPr>
      </w:pPr>
      <w:r w:rsidRPr="007D496E">
        <w:rPr>
          <w:lang w:val="fr-FR"/>
        </w:rPr>
        <w:t>1</w:t>
      </w:r>
      <w:r w:rsidRPr="007D496E">
        <w:rPr>
          <w:lang w:val="fr-FR"/>
        </w:rPr>
        <w:tab/>
        <w:t>de prendre toutes les mesures qui s'imposent pour mettre en œuvre le nouveau projet réévalué, afin de répondre aux besoins des membres et du personnel de l'UIT, ainsi qu'il ressort de</w:t>
      </w:r>
      <w:r w:rsidR="00AB69F5" w:rsidRPr="007D496E">
        <w:rPr>
          <w:lang w:val="fr-FR"/>
        </w:rPr>
        <w:t> </w:t>
      </w:r>
      <w:r w:rsidRPr="007D496E">
        <w:rPr>
          <w:lang w:val="fr-FR"/>
        </w:rPr>
        <w:t>l'Annexe;</w:t>
      </w:r>
    </w:p>
    <w:p w14:paraId="4A31A230" w14:textId="77777777" w:rsidR="006B78FA" w:rsidRPr="007D496E" w:rsidRDefault="006B78FA" w:rsidP="00FF034C">
      <w:pPr>
        <w:spacing w:line="240" w:lineRule="auto"/>
        <w:jc w:val="left"/>
        <w:rPr>
          <w:rFonts w:cstheme="minorHAnsi"/>
          <w:szCs w:val="24"/>
          <w:lang w:val="fr-FR"/>
        </w:rPr>
      </w:pPr>
      <w:r w:rsidRPr="007D496E">
        <w:rPr>
          <w:lang w:val="fr-FR"/>
        </w:rPr>
        <w:t>2</w:t>
      </w:r>
      <w:r w:rsidRPr="007D496E">
        <w:rPr>
          <w:lang w:val="fr-FR"/>
        </w:rPr>
        <w:tab/>
        <w:t>d'assurer la liaison avec le pays hôte et de prendre les mesures nécessaires pour réaffecter le prêt de 150 millions CHF au nouveau projet réévalué;</w:t>
      </w:r>
    </w:p>
    <w:p w14:paraId="6D27D7C9" w14:textId="77777777" w:rsidR="006B78FA" w:rsidRPr="007D496E" w:rsidRDefault="006B78FA" w:rsidP="00FF034C">
      <w:pPr>
        <w:keepLines/>
        <w:spacing w:line="240" w:lineRule="auto"/>
        <w:jc w:val="left"/>
        <w:rPr>
          <w:rFonts w:cstheme="minorHAnsi"/>
          <w:szCs w:val="24"/>
          <w:lang w:val="fr-FR"/>
        </w:rPr>
      </w:pPr>
      <w:r w:rsidRPr="007D496E">
        <w:rPr>
          <w:lang w:val="fr-FR"/>
        </w:rPr>
        <w:lastRenderedPageBreak/>
        <w:t>3</w:t>
      </w:r>
      <w:r w:rsidRPr="007D496E">
        <w:rPr>
          <w:lang w:val="fr-FR"/>
        </w:rPr>
        <w:tab/>
        <w:t>de dialoguer avec les sponsors et les parties intéressées, en vue de maintenir les engagements de parrainage et autres accords tels qu'exposés dans la Résolution 212 (Rév. Bucarest, 2022) de la Conférence de plénipotentiaires, et de trouver des solutions mutuellement acceptables concernant les engagements qu'il ne serait peut-être pas possible de respecter dans le cadre du nouveau projet réévalué;</w:t>
      </w:r>
    </w:p>
    <w:p w14:paraId="2C8E3DBF" w14:textId="77777777" w:rsidR="006B78FA" w:rsidRPr="007D496E" w:rsidRDefault="006B78FA" w:rsidP="00FF034C">
      <w:pPr>
        <w:spacing w:line="240" w:lineRule="auto"/>
        <w:jc w:val="left"/>
        <w:rPr>
          <w:rFonts w:cstheme="minorHAnsi"/>
          <w:szCs w:val="24"/>
          <w:lang w:val="fr-FR"/>
        </w:rPr>
      </w:pPr>
      <w:r w:rsidRPr="007D496E">
        <w:rPr>
          <w:lang w:val="fr-FR"/>
        </w:rPr>
        <w:t>4</w:t>
      </w:r>
      <w:r w:rsidRPr="007D496E">
        <w:rPr>
          <w:lang w:val="fr-FR"/>
        </w:rPr>
        <w:tab/>
        <w:t>de veiller à ce que la conception et la mise en œuvre du nouveau projet réévalué répondent aux besoins de l'Union, en concertation avec le Groupe MSAG et en fournissant à ce dernier les informations nécessaires pour:</w:t>
      </w:r>
    </w:p>
    <w:p w14:paraId="67E38873" w14:textId="3AD28028" w:rsidR="006B78FA" w:rsidRPr="007D496E" w:rsidRDefault="006B78FA" w:rsidP="00FF034C">
      <w:pPr>
        <w:pStyle w:val="enumlev2"/>
        <w:spacing w:line="240" w:lineRule="auto"/>
        <w:jc w:val="left"/>
        <w:rPr>
          <w:lang w:val="fr-FR"/>
        </w:rPr>
      </w:pPr>
      <w:r w:rsidRPr="007D496E">
        <w:rPr>
          <w:lang w:val="fr-FR"/>
        </w:rPr>
        <w:t>a</w:t>
      </w:r>
      <w:r w:rsidR="00010910" w:rsidRPr="007D496E">
        <w:rPr>
          <w:lang w:val="fr-FR"/>
        </w:rPr>
        <w:t>)</w:t>
      </w:r>
      <w:r w:rsidRPr="007D496E">
        <w:rPr>
          <w:lang w:val="fr-FR"/>
        </w:rPr>
        <w:tab/>
        <w:t>formuler des avis d'ordre général et des recommandations sur la mise en œuvre du projet, dans le but de garantir le respect des délais et du budget (qui ne doit pas dépasser 172,69 millions CHF);</w:t>
      </w:r>
    </w:p>
    <w:p w14:paraId="1EF6893C" w14:textId="511E1079" w:rsidR="006B78FA" w:rsidRPr="007D496E" w:rsidRDefault="006B78FA" w:rsidP="00FF034C">
      <w:pPr>
        <w:pStyle w:val="enumlev2"/>
        <w:spacing w:line="240" w:lineRule="auto"/>
        <w:jc w:val="left"/>
        <w:rPr>
          <w:lang w:val="fr-FR"/>
        </w:rPr>
      </w:pPr>
      <w:r w:rsidRPr="007D496E">
        <w:rPr>
          <w:lang w:val="fr-FR"/>
        </w:rPr>
        <w:t>b</w:t>
      </w:r>
      <w:r w:rsidR="00010910" w:rsidRPr="007D496E">
        <w:rPr>
          <w:lang w:val="fr-FR"/>
        </w:rPr>
        <w:t>)</w:t>
      </w:r>
      <w:r w:rsidRPr="007D496E">
        <w:rPr>
          <w:lang w:val="fr-FR"/>
        </w:rPr>
        <w:tab/>
        <w:t>fournir des avis concernant tout changement de financement résultant d'économies ou tout changement éventuel concernant les parrainages ou les dons; et</w:t>
      </w:r>
    </w:p>
    <w:p w14:paraId="72FB7406" w14:textId="096AD038" w:rsidR="006B78FA" w:rsidRPr="007D496E" w:rsidRDefault="006B78FA" w:rsidP="00FF034C">
      <w:pPr>
        <w:pStyle w:val="enumlev2"/>
        <w:spacing w:line="240" w:lineRule="auto"/>
        <w:jc w:val="left"/>
        <w:rPr>
          <w:lang w:val="fr-FR"/>
        </w:rPr>
      </w:pPr>
      <w:r w:rsidRPr="007D496E">
        <w:rPr>
          <w:lang w:val="fr-FR"/>
        </w:rPr>
        <w:t>c</w:t>
      </w:r>
      <w:r w:rsidR="00010910" w:rsidRPr="007D496E">
        <w:rPr>
          <w:lang w:val="fr-FR"/>
        </w:rPr>
        <w:t>)</w:t>
      </w:r>
      <w:r w:rsidRPr="007D496E">
        <w:rPr>
          <w:lang w:val="fr-FR"/>
        </w:rPr>
        <w:tab/>
        <w:t>fournir des orientations sur les échanges avec les sponsors et les parties intéressées;</w:t>
      </w:r>
    </w:p>
    <w:p w14:paraId="339EF0FB" w14:textId="77777777" w:rsidR="006B78FA" w:rsidRPr="007D496E" w:rsidRDefault="006B78FA" w:rsidP="00FF034C">
      <w:pPr>
        <w:spacing w:line="240" w:lineRule="auto"/>
        <w:jc w:val="left"/>
        <w:rPr>
          <w:rFonts w:cstheme="minorHAnsi"/>
          <w:szCs w:val="24"/>
          <w:lang w:val="fr-FR"/>
        </w:rPr>
      </w:pPr>
      <w:r w:rsidRPr="007D496E">
        <w:rPr>
          <w:lang w:val="fr-FR"/>
        </w:rPr>
        <w:t>5</w:t>
      </w:r>
      <w:r w:rsidRPr="007D496E">
        <w:rPr>
          <w:lang w:val="fr-FR"/>
        </w:rPr>
        <w:tab/>
        <w:t>d'informer régulièrement le Groupe MSAG, le GTC-FHR et le Conseil de l'état d'avancement des activités décrites dans l'Annexe, dans le respect des règles en matière de passation des marchés;</w:t>
      </w:r>
    </w:p>
    <w:p w14:paraId="738FAF1D" w14:textId="77777777" w:rsidR="006B78FA" w:rsidRPr="007D496E" w:rsidRDefault="006B78FA" w:rsidP="00FF034C">
      <w:pPr>
        <w:spacing w:line="240" w:lineRule="auto"/>
        <w:jc w:val="left"/>
        <w:rPr>
          <w:rFonts w:cstheme="minorHAnsi"/>
          <w:szCs w:val="24"/>
          <w:lang w:val="fr-FR"/>
        </w:rPr>
      </w:pPr>
      <w:r w:rsidRPr="007D496E">
        <w:rPr>
          <w:lang w:val="fr-FR"/>
        </w:rPr>
        <w:t>6</w:t>
      </w:r>
      <w:r w:rsidRPr="007D496E">
        <w:rPr>
          <w:lang w:val="fr-FR"/>
        </w:rPr>
        <w:tab/>
        <w:t>de poursuivre les consultations avec le Groupe MSAG pendant toute la durée du processus de conception et de construction, dans le respect des règles en matière de passation des marchés;</w:t>
      </w:r>
    </w:p>
    <w:p w14:paraId="6A3DD4E2" w14:textId="38C97B94" w:rsidR="006B78FA" w:rsidRPr="007D496E" w:rsidRDefault="006B78FA" w:rsidP="00FF034C">
      <w:pPr>
        <w:spacing w:line="240" w:lineRule="auto"/>
        <w:jc w:val="left"/>
        <w:rPr>
          <w:rFonts w:cstheme="minorHAnsi"/>
          <w:szCs w:val="24"/>
          <w:lang w:val="fr-FR"/>
        </w:rPr>
      </w:pPr>
      <w:r w:rsidRPr="007D496E">
        <w:rPr>
          <w:lang w:val="fr-FR"/>
        </w:rPr>
        <w:t>7</w:t>
      </w:r>
      <w:r w:rsidRPr="007D496E">
        <w:rPr>
          <w:lang w:val="fr-FR"/>
        </w:rPr>
        <w:tab/>
        <w:t>d'élaborer un plan d'évaluation et un plan stratégique, en concertation avec les parties prenantes concernées, y compris le Conseil du personnel, et de soumettre un avant-projet au</w:t>
      </w:r>
      <w:r w:rsidR="007D496E" w:rsidRPr="007D496E">
        <w:rPr>
          <w:lang w:val="fr-FR"/>
        </w:rPr>
        <w:t> </w:t>
      </w:r>
      <w:r w:rsidRPr="007D496E">
        <w:rPr>
          <w:lang w:val="fr-FR"/>
        </w:rPr>
        <w:t>GTC</w:t>
      </w:r>
      <w:r w:rsidR="00AB69F5" w:rsidRPr="007D496E">
        <w:rPr>
          <w:lang w:val="fr-FR"/>
        </w:rPr>
        <w:noBreakHyphen/>
      </w:r>
      <w:r w:rsidRPr="007D496E">
        <w:rPr>
          <w:lang w:val="fr-FR"/>
        </w:rPr>
        <w:t>FHR à sa réunion de janvier 2025, concernant la vision à long terme de la totalité du complexe immobilier de l'UIT à Genève, compte tenu au moins des facteurs suivants:</w:t>
      </w:r>
    </w:p>
    <w:p w14:paraId="611CCAED" w14:textId="08E890C9" w:rsidR="006B78FA" w:rsidRPr="007D496E" w:rsidRDefault="006B78FA" w:rsidP="00FF034C">
      <w:pPr>
        <w:pStyle w:val="enumlev2"/>
        <w:spacing w:line="240" w:lineRule="auto"/>
        <w:jc w:val="left"/>
        <w:rPr>
          <w:lang w:val="fr-FR"/>
        </w:rPr>
      </w:pPr>
      <w:r w:rsidRPr="007D496E">
        <w:rPr>
          <w:lang w:val="fr-FR"/>
        </w:rPr>
        <w:t>a</w:t>
      </w:r>
      <w:r w:rsidR="00010910" w:rsidRPr="007D496E">
        <w:rPr>
          <w:lang w:val="fr-FR"/>
        </w:rPr>
        <w:t>)</w:t>
      </w:r>
      <w:r w:rsidRPr="007D496E">
        <w:rPr>
          <w:lang w:val="fr-FR"/>
        </w:rPr>
        <w:tab/>
        <w:t>les incidences financières globales et la viabilité dudit complexe;</w:t>
      </w:r>
    </w:p>
    <w:p w14:paraId="28A1C45C" w14:textId="77D13C24" w:rsidR="006B78FA" w:rsidRPr="007D496E" w:rsidRDefault="006B78FA" w:rsidP="00FF034C">
      <w:pPr>
        <w:pStyle w:val="enumlev2"/>
        <w:spacing w:line="240" w:lineRule="auto"/>
        <w:jc w:val="left"/>
        <w:rPr>
          <w:lang w:val="fr-FR"/>
        </w:rPr>
      </w:pPr>
      <w:r w:rsidRPr="007D496E">
        <w:rPr>
          <w:lang w:val="fr-FR"/>
        </w:rPr>
        <w:t>b</w:t>
      </w:r>
      <w:r w:rsidR="00010910" w:rsidRPr="007D496E">
        <w:rPr>
          <w:lang w:val="fr-FR"/>
        </w:rPr>
        <w:t>)</w:t>
      </w:r>
      <w:r w:rsidRPr="007D496E">
        <w:rPr>
          <w:lang w:val="fr-FR"/>
        </w:rPr>
        <w:tab/>
        <w:t>les exigences de sûreté et de sécurité;</w:t>
      </w:r>
    </w:p>
    <w:p w14:paraId="60F6C43A" w14:textId="787E752F" w:rsidR="006B78FA" w:rsidRPr="007D496E" w:rsidRDefault="006B78FA" w:rsidP="00FF034C">
      <w:pPr>
        <w:pStyle w:val="enumlev2"/>
        <w:spacing w:line="240" w:lineRule="auto"/>
        <w:jc w:val="left"/>
        <w:rPr>
          <w:lang w:val="fr-FR"/>
        </w:rPr>
      </w:pPr>
      <w:r w:rsidRPr="007D496E">
        <w:rPr>
          <w:lang w:val="fr-FR"/>
        </w:rPr>
        <w:t>c</w:t>
      </w:r>
      <w:r w:rsidR="00010910" w:rsidRPr="007D496E">
        <w:rPr>
          <w:lang w:val="fr-FR"/>
        </w:rPr>
        <w:t>)</w:t>
      </w:r>
      <w:r w:rsidRPr="007D496E">
        <w:rPr>
          <w:lang w:val="fr-FR"/>
        </w:rPr>
        <w:tab/>
        <w:t>les exigences opérationnelles et de gestion;</w:t>
      </w:r>
    </w:p>
    <w:p w14:paraId="75D2D7DC" w14:textId="2CB7FC9C" w:rsidR="006B78FA" w:rsidRPr="007D496E" w:rsidRDefault="006B78FA" w:rsidP="00FF034C">
      <w:pPr>
        <w:pStyle w:val="enumlev2"/>
        <w:spacing w:line="240" w:lineRule="auto"/>
        <w:jc w:val="left"/>
        <w:rPr>
          <w:lang w:val="fr-FR"/>
        </w:rPr>
      </w:pPr>
      <w:r w:rsidRPr="007D496E">
        <w:rPr>
          <w:lang w:val="fr-FR"/>
        </w:rPr>
        <w:t>d</w:t>
      </w:r>
      <w:r w:rsidR="00010910" w:rsidRPr="007D496E">
        <w:rPr>
          <w:lang w:val="fr-FR"/>
        </w:rPr>
        <w:t>)</w:t>
      </w:r>
      <w:r w:rsidRPr="007D496E">
        <w:rPr>
          <w:lang w:val="fr-FR"/>
        </w:rPr>
        <w:tab/>
        <w:t>l'utilisation optimale de toutes les installations;</w:t>
      </w:r>
    </w:p>
    <w:p w14:paraId="34AFF740" w14:textId="4A6CA388" w:rsidR="006B78FA" w:rsidRPr="007D496E" w:rsidRDefault="006B78FA" w:rsidP="00FF034C">
      <w:pPr>
        <w:pStyle w:val="enumlev2"/>
        <w:spacing w:line="240" w:lineRule="auto"/>
        <w:jc w:val="left"/>
        <w:rPr>
          <w:lang w:val="fr-FR"/>
        </w:rPr>
      </w:pPr>
      <w:r w:rsidRPr="007D496E">
        <w:rPr>
          <w:lang w:val="fr-FR"/>
        </w:rPr>
        <w:t>e</w:t>
      </w:r>
      <w:r w:rsidR="00010910" w:rsidRPr="007D496E">
        <w:rPr>
          <w:lang w:val="fr-FR"/>
        </w:rPr>
        <w:t>)</w:t>
      </w:r>
      <w:r w:rsidRPr="007D496E">
        <w:rPr>
          <w:lang w:val="fr-FR"/>
        </w:rPr>
        <w:tab/>
        <w:t>la garantie de continuité des activités;</w:t>
      </w:r>
    </w:p>
    <w:p w14:paraId="5DAD347B" w14:textId="282B6E6D" w:rsidR="006B78FA" w:rsidRPr="007D496E" w:rsidRDefault="006B78FA" w:rsidP="00FF034C">
      <w:pPr>
        <w:pStyle w:val="enumlev2"/>
        <w:spacing w:line="240" w:lineRule="auto"/>
        <w:jc w:val="left"/>
        <w:rPr>
          <w:lang w:val="fr-FR"/>
        </w:rPr>
      </w:pPr>
      <w:r w:rsidRPr="007D496E">
        <w:rPr>
          <w:lang w:val="fr-FR"/>
        </w:rPr>
        <w:t>f</w:t>
      </w:r>
      <w:r w:rsidR="00010910" w:rsidRPr="007D496E">
        <w:rPr>
          <w:lang w:val="fr-FR"/>
        </w:rPr>
        <w:t>)</w:t>
      </w:r>
      <w:r w:rsidRPr="007D496E">
        <w:rPr>
          <w:lang w:val="fr-FR"/>
        </w:rPr>
        <w:tab/>
        <w:t>la prise en compte de l'affectation du budget ordinaire à l'entretien de la totalité du complexe immobilier;</w:t>
      </w:r>
    </w:p>
    <w:p w14:paraId="58C3318B" w14:textId="75C4AE12" w:rsidR="006B78FA" w:rsidRPr="007D496E" w:rsidRDefault="006B78FA" w:rsidP="00FF034C">
      <w:pPr>
        <w:pStyle w:val="enumlev2"/>
        <w:spacing w:line="240" w:lineRule="auto"/>
        <w:jc w:val="left"/>
        <w:rPr>
          <w:lang w:val="fr-FR"/>
        </w:rPr>
      </w:pPr>
      <w:r w:rsidRPr="007D496E">
        <w:rPr>
          <w:lang w:val="fr-FR"/>
        </w:rPr>
        <w:t>g</w:t>
      </w:r>
      <w:r w:rsidR="00010910" w:rsidRPr="007D496E">
        <w:rPr>
          <w:lang w:val="fr-FR"/>
        </w:rPr>
        <w:t>)</w:t>
      </w:r>
      <w:r w:rsidRPr="007D496E">
        <w:rPr>
          <w:lang w:val="fr-FR"/>
        </w:rPr>
        <w:tab/>
        <w:t>la flexibilité de travail du personnel (c'est-à-dire, les modalités de travail hybrides);</w:t>
      </w:r>
    </w:p>
    <w:p w14:paraId="535079B0" w14:textId="4392E288" w:rsidR="006B78FA" w:rsidRPr="007D496E" w:rsidRDefault="006B78FA" w:rsidP="00FF034C">
      <w:pPr>
        <w:pStyle w:val="enumlev2"/>
        <w:spacing w:line="240" w:lineRule="auto"/>
        <w:jc w:val="left"/>
        <w:rPr>
          <w:lang w:val="fr-FR"/>
        </w:rPr>
      </w:pPr>
      <w:r w:rsidRPr="007D496E">
        <w:rPr>
          <w:lang w:val="fr-FR"/>
        </w:rPr>
        <w:t>h</w:t>
      </w:r>
      <w:r w:rsidR="00010910" w:rsidRPr="007D496E">
        <w:rPr>
          <w:lang w:val="fr-FR"/>
        </w:rPr>
        <w:t>)</w:t>
      </w:r>
      <w:r w:rsidRPr="007D496E">
        <w:rPr>
          <w:lang w:val="fr-FR"/>
        </w:rPr>
        <w:tab/>
        <w:t>la possibilité de trouver d'autres lieux pour les réunions de l'UIT en dehors du complexe immobilier; et</w:t>
      </w:r>
    </w:p>
    <w:p w14:paraId="515926C2" w14:textId="7F9160A7" w:rsidR="006B78FA" w:rsidRPr="007D496E" w:rsidRDefault="006B78FA" w:rsidP="00FF034C">
      <w:pPr>
        <w:pStyle w:val="enumlev2"/>
        <w:spacing w:line="240" w:lineRule="auto"/>
        <w:jc w:val="left"/>
        <w:rPr>
          <w:lang w:val="fr-FR"/>
        </w:rPr>
      </w:pPr>
      <w:r w:rsidRPr="007D496E">
        <w:rPr>
          <w:lang w:val="fr-FR"/>
        </w:rPr>
        <w:t>i</w:t>
      </w:r>
      <w:r w:rsidR="00010910" w:rsidRPr="007D496E">
        <w:rPr>
          <w:lang w:val="fr-FR"/>
        </w:rPr>
        <w:t>)</w:t>
      </w:r>
      <w:r w:rsidRPr="007D496E">
        <w:rPr>
          <w:lang w:val="fr-FR"/>
        </w:rPr>
        <w:tab/>
        <w:t>la collaboration avec le Groupe de travail sur le plan stratégique et le plan financier, le cas échéant;</w:t>
      </w:r>
    </w:p>
    <w:p w14:paraId="6430C7CD" w14:textId="77777777" w:rsidR="006B78FA" w:rsidRPr="007D496E" w:rsidRDefault="006B78FA" w:rsidP="00FF034C">
      <w:pPr>
        <w:spacing w:line="240" w:lineRule="auto"/>
        <w:jc w:val="left"/>
        <w:rPr>
          <w:rFonts w:cstheme="minorHAnsi"/>
          <w:szCs w:val="24"/>
          <w:lang w:val="fr-FR"/>
        </w:rPr>
      </w:pPr>
      <w:r w:rsidRPr="007D496E">
        <w:rPr>
          <w:lang w:val="fr-FR"/>
        </w:rPr>
        <w:t>8</w:t>
      </w:r>
      <w:r w:rsidRPr="007D496E">
        <w:rPr>
          <w:lang w:val="fr-FR"/>
        </w:rPr>
        <w:tab/>
        <w:t xml:space="preserve">de soumettre tous les rapports sur la mise en œuvre du point 7 du </w:t>
      </w:r>
      <w:r w:rsidRPr="007D496E">
        <w:rPr>
          <w:i/>
          <w:iCs/>
          <w:lang w:val="fr-FR"/>
        </w:rPr>
        <w:t>charge la Secrétaire générale</w:t>
      </w:r>
      <w:r w:rsidRPr="007D496E">
        <w:rPr>
          <w:lang w:val="fr-FR"/>
        </w:rPr>
        <w:t xml:space="preserve"> au Conseil de l'UIT pour examen,</w:t>
      </w:r>
    </w:p>
    <w:p w14:paraId="3E6DEFD2" w14:textId="77777777" w:rsidR="006B78FA" w:rsidRPr="007D496E" w:rsidRDefault="006B78FA" w:rsidP="007D496E">
      <w:pPr>
        <w:pStyle w:val="Call"/>
        <w:rPr>
          <w:lang w:val="fr-FR"/>
        </w:rPr>
      </w:pPr>
      <w:r w:rsidRPr="007D496E">
        <w:rPr>
          <w:lang w:val="fr-FR"/>
        </w:rPr>
        <w:lastRenderedPageBreak/>
        <w:t>charge en outre la Secrétaire générale</w:t>
      </w:r>
    </w:p>
    <w:p w14:paraId="1A9617CB" w14:textId="77777777" w:rsidR="006B78FA" w:rsidRPr="007D496E" w:rsidRDefault="006B78FA" w:rsidP="007D496E">
      <w:pPr>
        <w:keepNext/>
        <w:keepLines/>
        <w:spacing w:line="240" w:lineRule="auto"/>
        <w:jc w:val="left"/>
        <w:rPr>
          <w:rFonts w:cstheme="minorHAnsi"/>
          <w:szCs w:val="24"/>
          <w:lang w:val="fr-FR"/>
        </w:rPr>
      </w:pPr>
      <w:r w:rsidRPr="007D496E">
        <w:rPr>
          <w:lang w:val="fr-FR"/>
        </w:rPr>
        <w:t>de procéder à une consultation de tous les États Membres au sujet de la présente Décision, conformément au numéro 79 de la Convention,</w:t>
      </w:r>
    </w:p>
    <w:p w14:paraId="0B1B8BAF" w14:textId="77777777" w:rsidR="006B78FA" w:rsidRPr="007D496E" w:rsidRDefault="006B78FA" w:rsidP="007D496E">
      <w:pPr>
        <w:pStyle w:val="Call"/>
        <w:rPr>
          <w:lang w:val="fr-FR"/>
        </w:rPr>
      </w:pPr>
      <w:r w:rsidRPr="007D496E">
        <w:rPr>
          <w:lang w:val="fr-FR"/>
        </w:rPr>
        <w:t>charge le Groupe consultatif d'États Membres</w:t>
      </w:r>
    </w:p>
    <w:p w14:paraId="3ACA703F" w14:textId="77777777" w:rsidR="006B78FA" w:rsidRPr="007D496E" w:rsidRDefault="006B78FA" w:rsidP="00FF034C">
      <w:pPr>
        <w:spacing w:line="240" w:lineRule="auto"/>
        <w:jc w:val="left"/>
        <w:rPr>
          <w:rFonts w:cstheme="minorHAnsi"/>
          <w:szCs w:val="24"/>
          <w:lang w:val="fr-FR"/>
        </w:rPr>
      </w:pPr>
      <w:r w:rsidRPr="007D496E">
        <w:rPr>
          <w:lang w:val="fr-FR"/>
        </w:rPr>
        <w:t>d'assurer la conformité de son mandat avec la présente Décision et de fournir régulièrement des informations actualisées et des rapports au GTC-FHR.</w:t>
      </w:r>
    </w:p>
    <w:p w14:paraId="0340F928" w14:textId="7D8C549C" w:rsidR="006B78FA" w:rsidRPr="007D496E" w:rsidRDefault="006B78FA" w:rsidP="00FF034C">
      <w:pPr>
        <w:spacing w:before="720" w:line="240" w:lineRule="auto"/>
        <w:rPr>
          <w:lang w:val="fr-FR"/>
        </w:rPr>
      </w:pPr>
      <w:r w:rsidRPr="007D496E">
        <w:rPr>
          <w:b/>
          <w:bCs/>
          <w:lang w:val="fr-FR"/>
        </w:rPr>
        <w:t>Annexe</w:t>
      </w:r>
      <w:r w:rsidRPr="007D496E">
        <w:rPr>
          <w:lang w:val="fr-FR"/>
        </w:rPr>
        <w:t>:</w:t>
      </w:r>
      <w:r w:rsidRPr="007D496E">
        <w:rPr>
          <w:lang w:val="fr-FR"/>
        </w:rPr>
        <w:tab/>
        <w:t>1</w:t>
      </w:r>
    </w:p>
    <w:p w14:paraId="6EA325F5" w14:textId="77777777" w:rsidR="006B78FA" w:rsidRPr="007D496E" w:rsidRDefault="006B78FA" w:rsidP="00FF034C">
      <w:pPr>
        <w:overflowPunct/>
        <w:autoSpaceDE/>
        <w:autoSpaceDN/>
        <w:adjustRightInd/>
        <w:spacing w:before="0" w:line="240" w:lineRule="auto"/>
        <w:textAlignment w:val="auto"/>
        <w:rPr>
          <w:lang w:val="fr-FR"/>
        </w:rPr>
      </w:pPr>
      <w:r w:rsidRPr="007D496E">
        <w:rPr>
          <w:lang w:val="fr-FR"/>
        </w:rPr>
        <w:br w:type="page"/>
      </w:r>
    </w:p>
    <w:p w14:paraId="03F40B37" w14:textId="55518682" w:rsidR="006B78FA" w:rsidRPr="007D496E" w:rsidRDefault="006B78FA" w:rsidP="00FF034C">
      <w:pPr>
        <w:pStyle w:val="AnnexNo"/>
        <w:spacing w:after="240"/>
      </w:pPr>
      <w:r w:rsidRPr="007D496E">
        <w:lastRenderedPageBreak/>
        <w:t>ANNEXE 1</w:t>
      </w:r>
    </w:p>
    <w:tbl>
      <w:tblPr>
        <w:tblStyle w:val="TableGrid"/>
        <w:tblW w:w="8364" w:type="dxa"/>
        <w:jc w:val="center"/>
        <w:tblLayout w:type="fixed"/>
        <w:tblLook w:val="04A0" w:firstRow="1" w:lastRow="0" w:firstColumn="1" w:lastColumn="0" w:noHBand="0" w:noVBand="1"/>
      </w:tblPr>
      <w:tblGrid>
        <w:gridCol w:w="2689"/>
        <w:gridCol w:w="5675"/>
      </w:tblGrid>
      <w:tr w:rsidR="006B78FA" w:rsidRPr="007D496E" w14:paraId="09C583F9" w14:textId="77777777" w:rsidTr="008B0A97">
        <w:trPr>
          <w:trHeight w:val="381"/>
          <w:jc w:val="center"/>
        </w:trPr>
        <w:tc>
          <w:tcPr>
            <w:tcW w:w="8364" w:type="dxa"/>
            <w:gridSpan w:val="2"/>
            <w:tcBorders>
              <w:top w:val="single" w:sz="4" w:space="0" w:color="auto"/>
              <w:left w:val="single" w:sz="4" w:space="0" w:color="auto"/>
              <w:bottom w:val="single" w:sz="4" w:space="0" w:color="auto"/>
              <w:right w:val="single" w:sz="4" w:space="0" w:color="auto"/>
            </w:tcBorders>
            <w:hideMark/>
          </w:tcPr>
          <w:p w14:paraId="445EF40E" w14:textId="77777777" w:rsidR="006B78FA" w:rsidRPr="007D496E" w:rsidRDefault="006B78FA" w:rsidP="00FF034C">
            <w:pPr>
              <w:pStyle w:val="Tablehead"/>
              <w:rPr>
                <w:rFonts w:eastAsia="Calibri" w:cstheme="minorHAnsi"/>
                <w:kern w:val="24"/>
                <w:lang w:val="fr-FR"/>
              </w:rPr>
            </w:pPr>
            <w:r w:rsidRPr="007D496E">
              <w:rPr>
                <w:lang w:val="fr-FR"/>
              </w:rPr>
              <w:t>Portée du nouveau projet réévalué</w:t>
            </w:r>
          </w:p>
        </w:tc>
      </w:tr>
      <w:tr w:rsidR="006B78FA" w:rsidRPr="007D496E" w14:paraId="198908D5" w14:textId="77777777" w:rsidTr="008B0A97">
        <w:trPr>
          <w:trHeight w:val="815"/>
          <w:jc w:val="center"/>
        </w:trPr>
        <w:tc>
          <w:tcPr>
            <w:tcW w:w="2689" w:type="dxa"/>
            <w:tcBorders>
              <w:top w:val="single" w:sz="4" w:space="0" w:color="auto"/>
              <w:left w:val="single" w:sz="4" w:space="0" w:color="auto"/>
              <w:bottom w:val="single" w:sz="4" w:space="0" w:color="auto"/>
              <w:right w:val="single" w:sz="4" w:space="0" w:color="auto"/>
            </w:tcBorders>
            <w:hideMark/>
          </w:tcPr>
          <w:p w14:paraId="7964947C" w14:textId="77777777" w:rsidR="006B78FA" w:rsidRPr="007D496E" w:rsidRDefault="006B78FA" w:rsidP="00FF034C">
            <w:pPr>
              <w:pStyle w:val="Tabletext"/>
              <w:rPr>
                <w:rFonts w:cstheme="minorHAnsi"/>
                <w:b/>
                <w:bCs/>
                <w:lang w:val="fr-FR"/>
              </w:rPr>
            </w:pPr>
            <w:r w:rsidRPr="007D496E">
              <w:rPr>
                <w:b/>
                <w:bCs/>
                <w:lang w:val="fr-FR"/>
              </w:rPr>
              <w:t>Installations de conférence</w:t>
            </w:r>
          </w:p>
        </w:tc>
        <w:tc>
          <w:tcPr>
            <w:tcW w:w="5675" w:type="dxa"/>
            <w:tcBorders>
              <w:top w:val="single" w:sz="4" w:space="0" w:color="auto"/>
              <w:left w:val="single" w:sz="4" w:space="0" w:color="auto"/>
              <w:bottom w:val="single" w:sz="4" w:space="0" w:color="auto"/>
              <w:right w:val="single" w:sz="4" w:space="0" w:color="auto"/>
            </w:tcBorders>
            <w:hideMark/>
          </w:tcPr>
          <w:p w14:paraId="22A15F9F" w14:textId="77777777" w:rsidR="006B78FA" w:rsidRPr="007D496E" w:rsidRDefault="006B78FA" w:rsidP="00FF034C">
            <w:pPr>
              <w:pStyle w:val="Tabletext"/>
              <w:ind w:right="-103"/>
              <w:rPr>
                <w:lang w:val="fr-FR"/>
              </w:rPr>
            </w:pPr>
            <w:r w:rsidRPr="007D496E">
              <w:rPr>
                <w:b/>
                <w:bCs/>
                <w:lang w:val="fr-FR"/>
              </w:rPr>
              <w:t>Grande salle de conférence (parrainée par l'Arabie saoudite)</w:t>
            </w:r>
            <w:r w:rsidRPr="007D496E">
              <w:rPr>
                <w:b/>
                <w:bCs/>
                <w:lang w:val="fr-FR"/>
              </w:rPr>
              <w:br/>
            </w:r>
            <w:r w:rsidRPr="007D496E">
              <w:rPr>
                <w:lang w:val="fr-FR"/>
              </w:rPr>
              <w:t>Environ 500 places</w:t>
            </w:r>
          </w:p>
          <w:p w14:paraId="23DE12EE" w14:textId="77777777" w:rsidR="006B78FA" w:rsidRPr="007D496E" w:rsidRDefault="006B78FA" w:rsidP="00FF034C">
            <w:pPr>
              <w:pStyle w:val="Tabletext"/>
              <w:rPr>
                <w:lang w:val="fr-FR"/>
              </w:rPr>
            </w:pPr>
            <w:r w:rsidRPr="007D496E">
              <w:rPr>
                <w:b/>
                <w:bCs/>
                <w:lang w:val="fr-FR"/>
              </w:rPr>
              <w:t>Hall de conférence</w:t>
            </w:r>
            <w:r w:rsidRPr="007D496E">
              <w:rPr>
                <w:lang w:val="fr-FR"/>
              </w:rPr>
              <w:br/>
              <w:t>Taille proportionnelle</w:t>
            </w:r>
          </w:p>
        </w:tc>
      </w:tr>
      <w:tr w:rsidR="006B78FA" w:rsidRPr="007D496E" w14:paraId="623C8C9F" w14:textId="77777777" w:rsidTr="008B0A97">
        <w:trPr>
          <w:trHeight w:val="745"/>
          <w:jc w:val="center"/>
        </w:trPr>
        <w:tc>
          <w:tcPr>
            <w:tcW w:w="2689" w:type="dxa"/>
            <w:tcBorders>
              <w:top w:val="single" w:sz="4" w:space="0" w:color="auto"/>
              <w:left w:val="single" w:sz="4" w:space="0" w:color="auto"/>
              <w:bottom w:val="single" w:sz="4" w:space="0" w:color="auto"/>
              <w:right w:val="single" w:sz="4" w:space="0" w:color="auto"/>
            </w:tcBorders>
            <w:hideMark/>
          </w:tcPr>
          <w:p w14:paraId="39249B16" w14:textId="77777777" w:rsidR="006B78FA" w:rsidRPr="007D496E" w:rsidRDefault="006B78FA" w:rsidP="00FF034C">
            <w:pPr>
              <w:pStyle w:val="Tabletext"/>
              <w:rPr>
                <w:rFonts w:cstheme="minorHAnsi"/>
                <w:b/>
                <w:bCs/>
                <w:lang w:val="fr-FR"/>
              </w:rPr>
            </w:pPr>
            <w:r w:rsidRPr="007D496E">
              <w:rPr>
                <w:b/>
                <w:bCs/>
                <w:lang w:val="fr-FR"/>
              </w:rPr>
              <w:t>Restauration</w:t>
            </w:r>
          </w:p>
        </w:tc>
        <w:tc>
          <w:tcPr>
            <w:tcW w:w="5675" w:type="dxa"/>
            <w:tcBorders>
              <w:top w:val="single" w:sz="4" w:space="0" w:color="auto"/>
              <w:left w:val="single" w:sz="4" w:space="0" w:color="auto"/>
              <w:bottom w:val="single" w:sz="4" w:space="0" w:color="auto"/>
              <w:right w:val="single" w:sz="4" w:space="0" w:color="auto"/>
            </w:tcBorders>
            <w:hideMark/>
          </w:tcPr>
          <w:p w14:paraId="4C5E6E50" w14:textId="77777777" w:rsidR="006B78FA" w:rsidRPr="007D496E" w:rsidRDefault="006B78FA" w:rsidP="00FF034C">
            <w:pPr>
              <w:pStyle w:val="Tabletext"/>
              <w:rPr>
                <w:lang w:val="fr-FR"/>
              </w:rPr>
            </w:pPr>
            <w:r w:rsidRPr="007D496E">
              <w:rPr>
                <w:b/>
                <w:bCs/>
                <w:lang w:val="fr-FR"/>
              </w:rPr>
              <w:t>Cafétéria</w:t>
            </w:r>
            <w:r w:rsidRPr="007D496E">
              <w:rPr>
                <w:b/>
                <w:bCs/>
                <w:lang w:val="fr-FR"/>
              </w:rPr>
              <w:br/>
            </w:r>
            <w:r w:rsidRPr="007D496E">
              <w:rPr>
                <w:lang w:val="fr-FR"/>
              </w:rPr>
              <w:t>Réfectoire d'environ 150 places</w:t>
            </w:r>
          </w:p>
          <w:p w14:paraId="5DBACC4D" w14:textId="77777777" w:rsidR="006B78FA" w:rsidRPr="007D496E" w:rsidRDefault="006B78FA" w:rsidP="00FF034C">
            <w:pPr>
              <w:pStyle w:val="Tabletext"/>
              <w:rPr>
                <w:lang w:val="fr-FR"/>
              </w:rPr>
            </w:pPr>
            <w:r w:rsidRPr="007D496E">
              <w:rPr>
                <w:b/>
                <w:bCs/>
                <w:lang w:val="fr-FR"/>
              </w:rPr>
              <w:t>Salon des délégués</w:t>
            </w:r>
            <w:r w:rsidRPr="007D496E">
              <w:rPr>
                <w:lang w:val="fr-FR"/>
              </w:rPr>
              <w:br/>
              <w:t>Environ 120 places</w:t>
            </w:r>
          </w:p>
        </w:tc>
      </w:tr>
      <w:tr w:rsidR="006B78FA" w:rsidRPr="007D496E" w14:paraId="519FCD56" w14:textId="77777777" w:rsidTr="008B0A97">
        <w:trPr>
          <w:trHeight w:val="186"/>
          <w:jc w:val="center"/>
        </w:trPr>
        <w:tc>
          <w:tcPr>
            <w:tcW w:w="2689" w:type="dxa"/>
            <w:tcBorders>
              <w:top w:val="single" w:sz="4" w:space="0" w:color="auto"/>
              <w:left w:val="single" w:sz="4" w:space="0" w:color="auto"/>
              <w:bottom w:val="single" w:sz="4" w:space="0" w:color="auto"/>
              <w:right w:val="single" w:sz="4" w:space="0" w:color="auto"/>
            </w:tcBorders>
            <w:hideMark/>
          </w:tcPr>
          <w:p w14:paraId="47EBAA1F" w14:textId="77777777" w:rsidR="006B78FA" w:rsidRPr="007D496E" w:rsidRDefault="006B78FA" w:rsidP="00FF034C">
            <w:pPr>
              <w:pStyle w:val="Tabletext"/>
              <w:rPr>
                <w:rFonts w:cstheme="minorHAnsi"/>
                <w:b/>
                <w:bCs/>
                <w:lang w:val="fr-FR"/>
              </w:rPr>
            </w:pPr>
            <w:r w:rsidRPr="007D496E">
              <w:rPr>
                <w:b/>
                <w:bCs/>
                <w:lang w:val="fr-FR"/>
              </w:rPr>
              <w:t>Salles de réunion</w:t>
            </w:r>
          </w:p>
        </w:tc>
        <w:tc>
          <w:tcPr>
            <w:tcW w:w="5675" w:type="dxa"/>
            <w:tcBorders>
              <w:top w:val="single" w:sz="4" w:space="0" w:color="auto"/>
              <w:left w:val="single" w:sz="4" w:space="0" w:color="auto"/>
              <w:bottom w:val="single" w:sz="4" w:space="0" w:color="auto"/>
              <w:right w:val="single" w:sz="4" w:space="0" w:color="auto"/>
            </w:tcBorders>
            <w:hideMark/>
          </w:tcPr>
          <w:p w14:paraId="36EA327E" w14:textId="77777777" w:rsidR="006B78FA" w:rsidRPr="007D496E" w:rsidRDefault="006B78FA" w:rsidP="00FF034C">
            <w:pPr>
              <w:pStyle w:val="Tabletext"/>
              <w:rPr>
                <w:rFonts w:cstheme="minorHAnsi"/>
                <w:lang w:val="fr-FR"/>
              </w:rPr>
            </w:pPr>
            <w:r w:rsidRPr="007D496E">
              <w:rPr>
                <w:lang w:val="fr-FR"/>
              </w:rPr>
              <w:t>Environ 23 salles</w:t>
            </w:r>
          </w:p>
        </w:tc>
      </w:tr>
      <w:tr w:rsidR="006B78FA" w:rsidRPr="007D496E" w14:paraId="4980DE0B" w14:textId="77777777" w:rsidTr="008B0A97">
        <w:trPr>
          <w:trHeight w:val="47"/>
          <w:jc w:val="center"/>
        </w:trPr>
        <w:tc>
          <w:tcPr>
            <w:tcW w:w="2689" w:type="dxa"/>
            <w:tcBorders>
              <w:top w:val="single" w:sz="4" w:space="0" w:color="auto"/>
              <w:left w:val="single" w:sz="4" w:space="0" w:color="auto"/>
              <w:bottom w:val="single" w:sz="4" w:space="0" w:color="auto"/>
              <w:right w:val="single" w:sz="4" w:space="0" w:color="auto"/>
            </w:tcBorders>
            <w:hideMark/>
          </w:tcPr>
          <w:p w14:paraId="7A95339B" w14:textId="77777777" w:rsidR="006B78FA" w:rsidRPr="007D496E" w:rsidRDefault="006B78FA" w:rsidP="00FF034C">
            <w:pPr>
              <w:pStyle w:val="Tabletext"/>
              <w:rPr>
                <w:rFonts w:cstheme="minorHAnsi"/>
                <w:b/>
                <w:bCs/>
                <w:lang w:val="fr-FR"/>
              </w:rPr>
            </w:pPr>
            <w:r w:rsidRPr="007D496E">
              <w:rPr>
                <w:b/>
                <w:bCs/>
                <w:lang w:val="fr-FR"/>
              </w:rPr>
              <w:t>Espaces de bureau</w:t>
            </w:r>
          </w:p>
        </w:tc>
        <w:tc>
          <w:tcPr>
            <w:tcW w:w="5675" w:type="dxa"/>
            <w:tcBorders>
              <w:top w:val="single" w:sz="4" w:space="0" w:color="auto"/>
              <w:left w:val="single" w:sz="4" w:space="0" w:color="auto"/>
              <w:bottom w:val="single" w:sz="4" w:space="0" w:color="auto"/>
              <w:right w:val="single" w:sz="4" w:space="0" w:color="auto"/>
            </w:tcBorders>
            <w:hideMark/>
          </w:tcPr>
          <w:p w14:paraId="48E9B991" w14:textId="77777777" w:rsidR="006B78FA" w:rsidRPr="007D496E" w:rsidRDefault="006B78FA" w:rsidP="00FF034C">
            <w:pPr>
              <w:pStyle w:val="Tabletext"/>
              <w:rPr>
                <w:rFonts w:cstheme="minorHAnsi"/>
                <w:lang w:val="fr-FR"/>
              </w:rPr>
            </w:pPr>
            <w:r w:rsidRPr="007D496E">
              <w:rPr>
                <w:lang w:val="fr-FR"/>
              </w:rPr>
              <w:t>Environ 200 places</w:t>
            </w:r>
          </w:p>
        </w:tc>
      </w:tr>
      <w:tr w:rsidR="006B78FA" w:rsidRPr="007D496E" w14:paraId="329A22D0" w14:textId="77777777" w:rsidTr="008B0A97">
        <w:trPr>
          <w:trHeight w:val="47"/>
          <w:jc w:val="center"/>
        </w:trPr>
        <w:tc>
          <w:tcPr>
            <w:tcW w:w="2689" w:type="dxa"/>
            <w:tcBorders>
              <w:top w:val="single" w:sz="4" w:space="0" w:color="auto"/>
              <w:left w:val="single" w:sz="4" w:space="0" w:color="auto"/>
              <w:bottom w:val="single" w:sz="4" w:space="0" w:color="auto"/>
              <w:right w:val="single" w:sz="4" w:space="0" w:color="auto"/>
            </w:tcBorders>
            <w:hideMark/>
          </w:tcPr>
          <w:p w14:paraId="6FD33B30" w14:textId="77777777" w:rsidR="006B78FA" w:rsidRPr="007D496E" w:rsidRDefault="006B78FA" w:rsidP="00FF034C">
            <w:pPr>
              <w:pStyle w:val="Tabletext"/>
              <w:rPr>
                <w:rFonts w:cstheme="minorHAnsi"/>
                <w:b/>
                <w:bCs/>
                <w:lang w:val="fr-FR"/>
              </w:rPr>
            </w:pPr>
            <w:r w:rsidRPr="007D496E">
              <w:rPr>
                <w:b/>
                <w:bCs/>
                <w:lang w:val="fr-FR"/>
              </w:rPr>
              <w:t>Services essentiels</w:t>
            </w:r>
          </w:p>
        </w:tc>
        <w:tc>
          <w:tcPr>
            <w:tcW w:w="5675" w:type="dxa"/>
            <w:tcBorders>
              <w:top w:val="single" w:sz="4" w:space="0" w:color="auto"/>
              <w:left w:val="single" w:sz="4" w:space="0" w:color="auto"/>
              <w:bottom w:val="single" w:sz="4" w:space="0" w:color="auto"/>
              <w:right w:val="single" w:sz="4" w:space="0" w:color="auto"/>
            </w:tcBorders>
            <w:hideMark/>
          </w:tcPr>
          <w:p w14:paraId="15928F8F" w14:textId="77777777" w:rsidR="006B78FA" w:rsidRPr="007D496E" w:rsidRDefault="006B78FA" w:rsidP="00FF034C">
            <w:pPr>
              <w:pStyle w:val="Tabletext"/>
              <w:rPr>
                <w:rFonts w:cstheme="minorHAnsi"/>
                <w:lang w:val="fr-FR"/>
              </w:rPr>
            </w:pPr>
            <w:r w:rsidRPr="007D496E">
              <w:rPr>
                <w:lang w:val="fr-FR"/>
              </w:rPr>
              <w:t>Aptes à garantir le bon fonctionnement des installations</w:t>
            </w:r>
          </w:p>
        </w:tc>
      </w:tr>
      <w:tr w:rsidR="006B78FA" w:rsidRPr="007D496E" w14:paraId="1E37F0AA" w14:textId="77777777" w:rsidTr="008B0A97">
        <w:trPr>
          <w:trHeight w:val="47"/>
          <w:jc w:val="center"/>
        </w:trPr>
        <w:tc>
          <w:tcPr>
            <w:tcW w:w="2689" w:type="dxa"/>
            <w:tcBorders>
              <w:top w:val="single" w:sz="4" w:space="0" w:color="auto"/>
              <w:left w:val="single" w:sz="4" w:space="0" w:color="auto"/>
              <w:bottom w:val="single" w:sz="4" w:space="0" w:color="auto"/>
              <w:right w:val="single" w:sz="4" w:space="0" w:color="auto"/>
            </w:tcBorders>
            <w:hideMark/>
          </w:tcPr>
          <w:p w14:paraId="5E365270" w14:textId="77777777" w:rsidR="006B78FA" w:rsidRPr="007D496E" w:rsidRDefault="006B78FA" w:rsidP="00FF034C">
            <w:pPr>
              <w:pStyle w:val="Tabletext"/>
              <w:rPr>
                <w:rFonts w:cstheme="minorHAnsi"/>
                <w:b/>
                <w:bCs/>
                <w:lang w:val="fr-FR"/>
              </w:rPr>
            </w:pPr>
            <w:r w:rsidRPr="007D496E">
              <w:rPr>
                <w:b/>
                <w:bCs/>
                <w:lang w:val="fr-FR"/>
              </w:rPr>
              <w:t>Taille prévue du bâtiment</w:t>
            </w:r>
          </w:p>
        </w:tc>
        <w:tc>
          <w:tcPr>
            <w:tcW w:w="5675" w:type="dxa"/>
            <w:tcBorders>
              <w:top w:val="single" w:sz="4" w:space="0" w:color="auto"/>
              <w:left w:val="single" w:sz="4" w:space="0" w:color="auto"/>
              <w:bottom w:val="single" w:sz="4" w:space="0" w:color="auto"/>
              <w:right w:val="single" w:sz="4" w:space="0" w:color="auto"/>
            </w:tcBorders>
            <w:hideMark/>
          </w:tcPr>
          <w:p w14:paraId="65057A76" w14:textId="77777777" w:rsidR="006B78FA" w:rsidRPr="007D496E" w:rsidRDefault="006B78FA" w:rsidP="00FF034C">
            <w:pPr>
              <w:pStyle w:val="Tabletext"/>
              <w:rPr>
                <w:rFonts w:cstheme="minorHAnsi"/>
                <w:lang w:val="fr-FR"/>
              </w:rPr>
            </w:pPr>
            <w:r w:rsidRPr="007D496E">
              <w:rPr>
                <w:lang w:val="fr-FR"/>
              </w:rPr>
              <w:t>Environ 15 000 m² (similaire au bâtiment qu'il remplacera)</w:t>
            </w:r>
          </w:p>
        </w:tc>
      </w:tr>
    </w:tbl>
    <w:p w14:paraId="63185D88" w14:textId="77777777" w:rsidR="006B78FA" w:rsidRPr="007D496E" w:rsidRDefault="006B78FA" w:rsidP="00FF034C">
      <w:pPr>
        <w:spacing w:before="720" w:line="240" w:lineRule="auto"/>
        <w:rPr>
          <w:rFonts w:asciiTheme="minorHAnsi" w:hAnsiTheme="minorHAnsi" w:cstheme="minorHAnsi"/>
          <w:szCs w:val="24"/>
          <w:lang w:val="fr-FR"/>
        </w:rPr>
      </w:pPr>
    </w:p>
    <w:tbl>
      <w:tblPr>
        <w:tblStyle w:val="TableGrid"/>
        <w:tblW w:w="8364" w:type="dxa"/>
        <w:jc w:val="center"/>
        <w:tblLayout w:type="fixed"/>
        <w:tblLook w:val="0420" w:firstRow="1" w:lastRow="0" w:firstColumn="0" w:lastColumn="0" w:noHBand="0" w:noVBand="1"/>
      </w:tblPr>
      <w:tblGrid>
        <w:gridCol w:w="4531"/>
        <w:gridCol w:w="3833"/>
      </w:tblGrid>
      <w:tr w:rsidR="006B78FA" w:rsidRPr="007D496E" w14:paraId="15A8B48C" w14:textId="77777777" w:rsidTr="008B0A97">
        <w:trPr>
          <w:trHeight w:val="47"/>
          <w:jc w:val="center"/>
        </w:trPr>
        <w:tc>
          <w:tcPr>
            <w:tcW w:w="8364" w:type="dxa"/>
            <w:gridSpan w:val="2"/>
            <w:tcBorders>
              <w:top w:val="single" w:sz="4" w:space="0" w:color="auto"/>
              <w:left w:val="single" w:sz="4" w:space="0" w:color="auto"/>
              <w:bottom w:val="single" w:sz="4" w:space="0" w:color="auto"/>
              <w:right w:val="single" w:sz="4" w:space="0" w:color="auto"/>
            </w:tcBorders>
            <w:hideMark/>
          </w:tcPr>
          <w:p w14:paraId="38C917F4" w14:textId="77777777" w:rsidR="006B78FA" w:rsidRPr="007D496E" w:rsidRDefault="006B78FA" w:rsidP="00FF034C">
            <w:pPr>
              <w:pStyle w:val="Tablehead"/>
              <w:rPr>
                <w:rFonts w:cstheme="minorHAnsi"/>
                <w:lang w:val="fr-FR"/>
              </w:rPr>
            </w:pPr>
            <w:r w:rsidRPr="007D496E">
              <w:rPr>
                <w:lang w:val="fr-FR"/>
              </w:rPr>
              <w:t>Étapes relatives au nouveau projet réévalué à respecter par le Secrétariat</w:t>
            </w:r>
          </w:p>
        </w:tc>
      </w:tr>
      <w:tr w:rsidR="006B78FA" w:rsidRPr="007D496E" w14:paraId="3BC3612E" w14:textId="77777777" w:rsidTr="008B0A97">
        <w:trPr>
          <w:trHeight w:val="55"/>
          <w:jc w:val="center"/>
        </w:trPr>
        <w:tc>
          <w:tcPr>
            <w:tcW w:w="4531" w:type="dxa"/>
            <w:tcBorders>
              <w:top w:val="single" w:sz="4" w:space="0" w:color="auto"/>
              <w:left w:val="single" w:sz="4" w:space="0" w:color="auto"/>
              <w:bottom w:val="single" w:sz="4" w:space="0" w:color="auto"/>
              <w:right w:val="single" w:sz="4" w:space="0" w:color="auto"/>
            </w:tcBorders>
          </w:tcPr>
          <w:p w14:paraId="04232E96" w14:textId="558F2738" w:rsidR="006B78FA" w:rsidRPr="007D496E" w:rsidRDefault="006B78FA" w:rsidP="00FF034C">
            <w:pPr>
              <w:pStyle w:val="Tabletext"/>
              <w:rPr>
                <w:rFonts w:cstheme="minorHAnsi"/>
                <w:b/>
                <w:bCs/>
                <w:lang w:val="fr-FR"/>
              </w:rPr>
            </w:pPr>
            <w:r w:rsidRPr="007D496E">
              <w:rPr>
                <w:b/>
                <w:bCs/>
                <w:lang w:val="fr-FR"/>
              </w:rPr>
              <w:t>Processus de consultation concernant la présente</w:t>
            </w:r>
            <w:r w:rsidR="007D496E" w:rsidRPr="007D496E">
              <w:rPr>
                <w:b/>
                <w:bCs/>
                <w:lang w:val="fr-FR"/>
              </w:rPr>
              <w:t> </w:t>
            </w:r>
            <w:r w:rsidRPr="007D496E">
              <w:rPr>
                <w:b/>
                <w:bCs/>
                <w:lang w:val="fr-FR"/>
              </w:rPr>
              <w:t>Décision</w:t>
            </w:r>
          </w:p>
        </w:tc>
        <w:tc>
          <w:tcPr>
            <w:tcW w:w="3833" w:type="dxa"/>
            <w:tcBorders>
              <w:top w:val="single" w:sz="4" w:space="0" w:color="auto"/>
              <w:left w:val="single" w:sz="4" w:space="0" w:color="auto"/>
              <w:bottom w:val="single" w:sz="4" w:space="0" w:color="auto"/>
              <w:right w:val="single" w:sz="4" w:space="0" w:color="auto"/>
            </w:tcBorders>
          </w:tcPr>
          <w:p w14:paraId="54BEEE28" w14:textId="77777777" w:rsidR="006B78FA" w:rsidRPr="007D496E" w:rsidRDefault="006B78FA" w:rsidP="00FF034C">
            <w:pPr>
              <w:pStyle w:val="Tabletext"/>
              <w:jc w:val="center"/>
              <w:rPr>
                <w:rFonts w:cstheme="minorHAnsi"/>
                <w:lang w:val="fr-FR"/>
              </w:rPr>
            </w:pPr>
            <w:r w:rsidRPr="007D496E">
              <w:rPr>
                <w:lang w:val="fr-FR"/>
              </w:rPr>
              <w:t>T3-2024</w:t>
            </w:r>
          </w:p>
        </w:tc>
      </w:tr>
      <w:tr w:rsidR="006B78FA" w:rsidRPr="007D496E" w14:paraId="5E579E59" w14:textId="77777777" w:rsidTr="008B0A97">
        <w:trPr>
          <w:trHeight w:val="55"/>
          <w:jc w:val="center"/>
        </w:trPr>
        <w:tc>
          <w:tcPr>
            <w:tcW w:w="4531" w:type="dxa"/>
            <w:tcBorders>
              <w:top w:val="single" w:sz="4" w:space="0" w:color="auto"/>
              <w:left w:val="single" w:sz="4" w:space="0" w:color="auto"/>
              <w:bottom w:val="single" w:sz="4" w:space="0" w:color="auto"/>
              <w:right w:val="single" w:sz="4" w:space="0" w:color="auto"/>
            </w:tcBorders>
            <w:hideMark/>
          </w:tcPr>
          <w:p w14:paraId="5173E3B9" w14:textId="77777777" w:rsidR="006B78FA" w:rsidRPr="007D496E" w:rsidRDefault="006B78FA" w:rsidP="00FF034C">
            <w:pPr>
              <w:pStyle w:val="Tabletext"/>
              <w:rPr>
                <w:rFonts w:cstheme="minorHAnsi"/>
                <w:b/>
                <w:bCs/>
                <w:lang w:val="fr-FR"/>
              </w:rPr>
            </w:pPr>
            <w:r w:rsidRPr="007D496E">
              <w:rPr>
                <w:b/>
                <w:bCs/>
                <w:lang w:val="fr-FR"/>
              </w:rPr>
              <w:t>Planification</w:t>
            </w:r>
          </w:p>
        </w:tc>
        <w:tc>
          <w:tcPr>
            <w:tcW w:w="3833" w:type="dxa"/>
            <w:tcBorders>
              <w:top w:val="single" w:sz="4" w:space="0" w:color="auto"/>
              <w:left w:val="single" w:sz="4" w:space="0" w:color="auto"/>
              <w:bottom w:val="single" w:sz="4" w:space="0" w:color="auto"/>
              <w:right w:val="single" w:sz="4" w:space="0" w:color="auto"/>
            </w:tcBorders>
            <w:hideMark/>
          </w:tcPr>
          <w:p w14:paraId="65F40B05" w14:textId="77777777" w:rsidR="006B78FA" w:rsidRPr="007D496E" w:rsidRDefault="006B78FA" w:rsidP="00FF034C">
            <w:pPr>
              <w:pStyle w:val="Tabletext"/>
              <w:jc w:val="center"/>
              <w:rPr>
                <w:rFonts w:cstheme="minorHAnsi"/>
                <w:lang w:val="fr-FR"/>
              </w:rPr>
            </w:pPr>
            <w:r w:rsidRPr="007D496E">
              <w:rPr>
                <w:lang w:val="fr-FR"/>
              </w:rPr>
              <w:t>2024-2025</w:t>
            </w:r>
          </w:p>
        </w:tc>
      </w:tr>
      <w:tr w:rsidR="006B78FA" w:rsidRPr="007D496E" w14:paraId="4A46464B" w14:textId="77777777" w:rsidTr="008B0A97">
        <w:trPr>
          <w:trHeight w:val="47"/>
          <w:jc w:val="center"/>
        </w:trPr>
        <w:tc>
          <w:tcPr>
            <w:tcW w:w="4531" w:type="dxa"/>
            <w:tcBorders>
              <w:top w:val="single" w:sz="4" w:space="0" w:color="auto"/>
              <w:left w:val="single" w:sz="4" w:space="0" w:color="auto"/>
              <w:bottom w:val="single" w:sz="4" w:space="0" w:color="auto"/>
              <w:right w:val="single" w:sz="4" w:space="0" w:color="auto"/>
            </w:tcBorders>
          </w:tcPr>
          <w:p w14:paraId="6262ACDF" w14:textId="77777777" w:rsidR="006B78FA" w:rsidRPr="007D496E" w:rsidRDefault="006B78FA" w:rsidP="007D496E">
            <w:pPr>
              <w:pStyle w:val="Tabletext"/>
              <w:tabs>
                <w:tab w:val="clear" w:pos="567"/>
              </w:tabs>
              <w:ind w:left="600"/>
              <w:rPr>
                <w:rFonts w:cstheme="minorHAnsi"/>
                <w:lang w:val="fr-FR"/>
              </w:rPr>
            </w:pPr>
            <w:r w:rsidRPr="007D496E">
              <w:rPr>
                <w:lang w:val="fr-FR"/>
              </w:rPr>
              <w:t>Présélection des architectes</w:t>
            </w:r>
          </w:p>
        </w:tc>
        <w:tc>
          <w:tcPr>
            <w:tcW w:w="3833" w:type="dxa"/>
            <w:tcBorders>
              <w:top w:val="single" w:sz="4" w:space="0" w:color="auto"/>
              <w:left w:val="single" w:sz="4" w:space="0" w:color="auto"/>
              <w:bottom w:val="single" w:sz="4" w:space="0" w:color="auto"/>
              <w:right w:val="single" w:sz="4" w:space="0" w:color="auto"/>
            </w:tcBorders>
          </w:tcPr>
          <w:p w14:paraId="7E8EE078" w14:textId="77777777" w:rsidR="006B78FA" w:rsidRPr="007D496E" w:rsidRDefault="006B78FA" w:rsidP="00FF034C">
            <w:pPr>
              <w:pStyle w:val="Tabletext"/>
              <w:jc w:val="center"/>
              <w:rPr>
                <w:rFonts w:cstheme="minorHAnsi"/>
                <w:lang w:val="fr-FR"/>
              </w:rPr>
            </w:pPr>
            <w:r w:rsidRPr="007D496E">
              <w:rPr>
                <w:lang w:val="fr-FR"/>
              </w:rPr>
              <w:t>T4-2024</w:t>
            </w:r>
          </w:p>
        </w:tc>
      </w:tr>
      <w:tr w:rsidR="006B78FA" w:rsidRPr="007D496E" w14:paraId="47DA7C64" w14:textId="77777777" w:rsidTr="008B0A97">
        <w:trPr>
          <w:trHeight w:val="47"/>
          <w:jc w:val="center"/>
        </w:trPr>
        <w:tc>
          <w:tcPr>
            <w:tcW w:w="4531" w:type="dxa"/>
            <w:tcBorders>
              <w:top w:val="single" w:sz="4" w:space="0" w:color="auto"/>
              <w:left w:val="single" w:sz="4" w:space="0" w:color="auto"/>
              <w:bottom w:val="single" w:sz="4" w:space="0" w:color="auto"/>
              <w:right w:val="single" w:sz="4" w:space="0" w:color="auto"/>
            </w:tcBorders>
          </w:tcPr>
          <w:p w14:paraId="050377E7" w14:textId="77777777" w:rsidR="006B78FA" w:rsidRPr="007D496E" w:rsidRDefault="006B78FA" w:rsidP="007D496E">
            <w:pPr>
              <w:pStyle w:val="Tabletext"/>
              <w:tabs>
                <w:tab w:val="clear" w:pos="567"/>
              </w:tabs>
              <w:ind w:left="600"/>
              <w:rPr>
                <w:rFonts w:cstheme="minorHAnsi"/>
                <w:lang w:val="fr-FR"/>
              </w:rPr>
            </w:pPr>
            <w:r w:rsidRPr="007D496E">
              <w:rPr>
                <w:lang w:val="fr-FR"/>
              </w:rPr>
              <w:t>Sélection de l'architecte</w:t>
            </w:r>
          </w:p>
        </w:tc>
        <w:tc>
          <w:tcPr>
            <w:tcW w:w="3833" w:type="dxa"/>
            <w:tcBorders>
              <w:top w:val="single" w:sz="4" w:space="0" w:color="auto"/>
              <w:left w:val="single" w:sz="4" w:space="0" w:color="auto"/>
              <w:bottom w:val="single" w:sz="4" w:space="0" w:color="auto"/>
              <w:right w:val="single" w:sz="4" w:space="0" w:color="auto"/>
            </w:tcBorders>
          </w:tcPr>
          <w:p w14:paraId="711B856C" w14:textId="77777777" w:rsidR="006B78FA" w:rsidRPr="007D496E" w:rsidRDefault="006B78FA" w:rsidP="00FF034C">
            <w:pPr>
              <w:pStyle w:val="Tabletext"/>
              <w:jc w:val="center"/>
              <w:rPr>
                <w:rFonts w:cstheme="minorHAnsi"/>
                <w:lang w:val="fr-FR"/>
              </w:rPr>
            </w:pPr>
            <w:r w:rsidRPr="007D496E">
              <w:rPr>
                <w:lang w:val="fr-FR"/>
              </w:rPr>
              <w:t>T1-2025</w:t>
            </w:r>
          </w:p>
        </w:tc>
      </w:tr>
      <w:tr w:rsidR="006B78FA" w:rsidRPr="007D496E" w14:paraId="4A46BCBB" w14:textId="77777777" w:rsidTr="008B0A97">
        <w:trPr>
          <w:trHeight w:val="47"/>
          <w:jc w:val="center"/>
        </w:trPr>
        <w:tc>
          <w:tcPr>
            <w:tcW w:w="4531" w:type="dxa"/>
            <w:tcBorders>
              <w:top w:val="single" w:sz="4" w:space="0" w:color="auto"/>
              <w:left w:val="single" w:sz="4" w:space="0" w:color="auto"/>
              <w:bottom w:val="single" w:sz="4" w:space="0" w:color="auto"/>
              <w:right w:val="single" w:sz="4" w:space="0" w:color="auto"/>
            </w:tcBorders>
          </w:tcPr>
          <w:p w14:paraId="23E2E16B" w14:textId="77777777" w:rsidR="006B78FA" w:rsidRPr="007D496E" w:rsidRDefault="006B78FA" w:rsidP="007D496E">
            <w:pPr>
              <w:pStyle w:val="Tabletext"/>
              <w:tabs>
                <w:tab w:val="clear" w:pos="567"/>
              </w:tabs>
              <w:ind w:left="600"/>
              <w:rPr>
                <w:rFonts w:cstheme="minorHAnsi"/>
                <w:lang w:val="fr-FR"/>
              </w:rPr>
            </w:pPr>
            <w:r w:rsidRPr="007D496E">
              <w:rPr>
                <w:lang w:val="fr-FR"/>
              </w:rPr>
              <w:t>Études de faisabilité</w:t>
            </w:r>
          </w:p>
        </w:tc>
        <w:tc>
          <w:tcPr>
            <w:tcW w:w="3833" w:type="dxa"/>
            <w:tcBorders>
              <w:top w:val="single" w:sz="4" w:space="0" w:color="auto"/>
              <w:left w:val="single" w:sz="4" w:space="0" w:color="auto"/>
              <w:bottom w:val="single" w:sz="4" w:space="0" w:color="auto"/>
              <w:right w:val="single" w:sz="4" w:space="0" w:color="auto"/>
            </w:tcBorders>
          </w:tcPr>
          <w:p w14:paraId="51EE9E96" w14:textId="77777777" w:rsidR="006B78FA" w:rsidRPr="007D496E" w:rsidRDefault="006B78FA" w:rsidP="00FF034C">
            <w:pPr>
              <w:pStyle w:val="Tabletext"/>
              <w:jc w:val="center"/>
              <w:rPr>
                <w:rFonts w:cstheme="minorHAnsi"/>
                <w:lang w:val="fr-FR"/>
              </w:rPr>
            </w:pPr>
            <w:r w:rsidRPr="007D496E">
              <w:rPr>
                <w:lang w:val="fr-FR"/>
              </w:rPr>
              <w:t>T2-2025</w:t>
            </w:r>
          </w:p>
        </w:tc>
      </w:tr>
      <w:tr w:rsidR="006B78FA" w:rsidRPr="007D496E" w14:paraId="04BA4DC1" w14:textId="77777777" w:rsidTr="008B0A97">
        <w:trPr>
          <w:trHeight w:val="47"/>
          <w:jc w:val="center"/>
        </w:trPr>
        <w:tc>
          <w:tcPr>
            <w:tcW w:w="4531" w:type="dxa"/>
            <w:tcBorders>
              <w:top w:val="single" w:sz="4" w:space="0" w:color="auto"/>
              <w:left w:val="single" w:sz="4" w:space="0" w:color="auto"/>
              <w:bottom w:val="single" w:sz="4" w:space="0" w:color="auto"/>
              <w:right w:val="single" w:sz="4" w:space="0" w:color="auto"/>
            </w:tcBorders>
          </w:tcPr>
          <w:p w14:paraId="16C31C6A" w14:textId="77777777" w:rsidR="006B78FA" w:rsidRPr="007D496E" w:rsidRDefault="006B78FA" w:rsidP="007D496E">
            <w:pPr>
              <w:pStyle w:val="Tabletext"/>
              <w:tabs>
                <w:tab w:val="clear" w:pos="567"/>
              </w:tabs>
              <w:ind w:left="600"/>
              <w:rPr>
                <w:rFonts w:cstheme="minorHAnsi"/>
                <w:lang w:val="fr-FR"/>
              </w:rPr>
            </w:pPr>
            <w:r w:rsidRPr="007D496E">
              <w:rPr>
                <w:lang w:val="fr-FR"/>
              </w:rPr>
              <w:t>Concept architectural</w:t>
            </w:r>
          </w:p>
        </w:tc>
        <w:tc>
          <w:tcPr>
            <w:tcW w:w="3833" w:type="dxa"/>
            <w:tcBorders>
              <w:top w:val="single" w:sz="4" w:space="0" w:color="auto"/>
              <w:left w:val="single" w:sz="4" w:space="0" w:color="auto"/>
              <w:bottom w:val="single" w:sz="4" w:space="0" w:color="auto"/>
              <w:right w:val="single" w:sz="4" w:space="0" w:color="auto"/>
            </w:tcBorders>
          </w:tcPr>
          <w:p w14:paraId="5625D71D" w14:textId="77777777" w:rsidR="006B78FA" w:rsidRPr="007D496E" w:rsidRDefault="006B78FA" w:rsidP="00FF034C">
            <w:pPr>
              <w:pStyle w:val="Tabletext"/>
              <w:jc w:val="center"/>
              <w:rPr>
                <w:rFonts w:cstheme="minorHAnsi"/>
                <w:lang w:val="fr-FR"/>
              </w:rPr>
            </w:pPr>
            <w:r w:rsidRPr="007D496E">
              <w:rPr>
                <w:lang w:val="fr-FR"/>
              </w:rPr>
              <w:t>T4-2025</w:t>
            </w:r>
          </w:p>
        </w:tc>
      </w:tr>
      <w:tr w:rsidR="006B78FA" w:rsidRPr="007D496E" w14:paraId="50E14FA3" w14:textId="77777777" w:rsidTr="008B0A97">
        <w:trPr>
          <w:trHeight w:val="47"/>
          <w:jc w:val="center"/>
        </w:trPr>
        <w:tc>
          <w:tcPr>
            <w:tcW w:w="4531" w:type="dxa"/>
            <w:tcBorders>
              <w:top w:val="single" w:sz="4" w:space="0" w:color="auto"/>
              <w:left w:val="single" w:sz="4" w:space="0" w:color="auto"/>
              <w:bottom w:val="single" w:sz="4" w:space="0" w:color="auto"/>
              <w:right w:val="single" w:sz="4" w:space="0" w:color="auto"/>
            </w:tcBorders>
          </w:tcPr>
          <w:p w14:paraId="7A458CE6" w14:textId="77777777" w:rsidR="006B78FA" w:rsidRPr="007D496E" w:rsidRDefault="006B78FA" w:rsidP="00FF034C">
            <w:pPr>
              <w:pStyle w:val="Tabletext"/>
              <w:rPr>
                <w:rFonts w:cstheme="minorHAnsi"/>
                <w:b/>
                <w:bCs/>
                <w:lang w:val="fr-FR"/>
              </w:rPr>
            </w:pPr>
            <w:r w:rsidRPr="007D496E">
              <w:rPr>
                <w:b/>
                <w:bCs/>
                <w:lang w:val="fr-FR"/>
              </w:rPr>
              <w:t>Conception détaillée/Appel d'offres/Contrat</w:t>
            </w:r>
          </w:p>
        </w:tc>
        <w:tc>
          <w:tcPr>
            <w:tcW w:w="3833" w:type="dxa"/>
            <w:tcBorders>
              <w:top w:val="single" w:sz="4" w:space="0" w:color="auto"/>
              <w:left w:val="single" w:sz="4" w:space="0" w:color="auto"/>
              <w:bottom w:val="single" w:sz="4" w:space="0" w:color="auto"/>
              <w:right w:val="single" w:sz="4" w:space="0" w:color="auto"/>
            </w:tcBorders>
          </w:tcPr>
          <w:p w14:paraId="593B3EB3" w14:textId="77777777" w:rsidR="006B78FA" w:rsidRPr="007D496E" w:rsidRDefault="006B78FA" w:rsidP="00FF034C">
            <w:pPr>
              <w:pStyle w:val="Tabletext"/>
              <w:jc w:val="center"/>
              <w:rPr>
                <w:rFonts w:cstheme="minorHAnsi"/>
                <w:lang w:val="fr-FR"/>
              </w:rPr>
            </w:pPr>
            <w:r w:rsidRPr="007D496E">
              <w:rPr>
                <w:lang w:val="fr-FR"/>
              </w:rPr>
              <w:t>2026-2027</w:t>
            </w:r>
          </w:p>
        </w:tc>
      </w:tr>
      <w:tr w:rsidR="006B78FA" w:rsidRPr="007D496E" w14:paraId="21C2F7E0" w14:textId="77777777" w:rsidTr="008B0A97">
        <w:trPr>
          <w:trHeight w:val="47"/>
          <w:jc w:val="center"/>
        </w:trPr>
        <w:tc>
          <w:tcPr>
            <w:tcW w:w="4531" w:type="dxa"/>
            <w:tcBorders>
              <w:top w:val="single" w:sz="4" w:space="0" w:color="auto"/>
              <w:left w:val="single" w:sz="4" w:space="0" w:color="auto"/>
              <w:bottom w:val="single" w:sz="4" w:space="0" w:color="auto"/>
              <w:right w:val="single" w:sz="4" w:space="0" w:color="auto"/>
            </w:tcBorders>
            <w:hideMark/>
          </w:tcPr>
          <w:p w14:paraId="6EB90EA8" w14:textId="77777777" w:rsidR="006B78FA" w:rsidRPr="007D496E" w:rsidRDefault="006B78FA" w:rsidP="00FF034C">
            <w:pPr>
              <w:pStyle w:val="Tabletext"/>
              <w:rPr>
                <w:rFonts w:cstheme="minorHAnsi"/>
                <w:b/>
                <w:bCs/>
                <w:lang w:val="fr-FR"/>
              </w:rPr>
            </w:pPr>
            <w:r w:rsidRPr="007D496E">
              <w:rPr>
                <w:b/>
                <w:bCs/>
                <w:lang w:val="fr-FR"/>
              </w:rPr>
              <w:t>Exécution</w:t>
            </w:r>
          </w:p>
        </w:tc>
        <w:tc>
          <w:tcPr>
            <w:tcW w:w="3833" w:type="dxa"/>
            <w:tcBorders>
              <w:top w:val="single" w:sz="4" w:space="0" w:color="auto"/>
              <w:left w:val="single" w:sz="4" w:space="0" w:color="auto"/>
              <w:bottom w:val="single" w:sz="4" w:space="0" w:color="auto"/>
              <w:right w:val="single" w:sz="4" w:space="0" w:color="auto"/>
            </w:tcBorders>
            <w:hideMark/>
          </w:tcPr>
          <w:p w14:paraId="4C743931" w14:textId="77777777" w:rsidR="006B78FA" w:rsidRPr="007D496E" w:rsidRDefault="006B78FA" w:rsidP="00FF034C">
            <w:pPr>
              <w:pStyle w:val="Tabletext"/>
              <w:jc w:val="center"/>
              <w:rPr>
                <w:rFonts w:cstheme="minorHAnsi"/>
                <w:lang w:val="fr-FR"/>
              </w:rPr>
            </w:pPr>
            <w:r w:rsidRPr="007D496E">
              <w:rPr>
                <w:lang w:val="fr-FR"/>
              </w:rPr>
              <w:t>2028-2031</w:t>
            </w:r>
          </w:p>
        </w:tc>
      </w:tr>
      <w:tr w:rsidR="006B78FA" w:rsidRPr="007D496E" w14:paraId="02E7EB72" w14:textId="77777777" w:rsidTr="008B0A97">
        <w:trPr>
          <w:trHeight w:val="47"/>
          <w:jc w:val="center"/>
        </w:trPr>
        <w:tc>
          <w:tcPr>
            <w:tcW w:w="4531" w:type="dxa"/>
            <w:tcBorders>
              <w:top w:val="single" w:sz="4" w:space="0" w:color="auto"/>
              <w:left w:val="single" w:sz="4" w:space="0" w:color="auto"/>
              <w:bottom w:val="single" w:sz="4" w:space="0" w:color="auto"/>
              <w:right w:val="single" w:sz="4" w:space="0" w:color="auto"/>
            </w:tcBorders>
            <w:hideMark/>
          </w:tcPr>
          <w:p w14:paraId="4FAC1581" w14:textId="77777777" w:rsidR="006B78FA" w:rsidRPr="007D496E" w:rsidRDefault="006B78FA" w:rsidP="00FF034C">
            <w:pPr>
              <w:pStyle w:val="Tabletext"/>
              <w:rPr>
                <w:rFonts w:cstheme="minorHAnsi"/>
                <w:b/>
                <w:bCs/>
                <w:lang w:val="fr-FR"/>
              </w:rPr>
            </w:pPr>
            <w:r w:rsidRPr="007D496E">
              <w:rPr>
                <w:b/>
                <w:bCs/>
                <w:lang w:val="fr-FR"/>
              </w:rPr>
              <w:t>Livraison</w:t>
            </w:r>
          </w:p>
        </w:tc>
        <w:tc>
          <w:tcPr>
            <w:tcW w:w="3833" w:type="dxa"/>
            <w:tcBorders>
              <w:top w:val="single" w:sz="4" w:space="0" w:color="auto"/>
              <w:left w:val="single" w:sz="4" w:space="0" w:color="auto"/>
              <w:bottom w:val="single" w:sz="4" w:space="0" w:color="auto"/>
              <w:right w:val="single" w:sz="4" w:space="0" w:color="auto"/>
            </w:tcBorders>
            <w:hideMark/>
          </w:tcPr>
          <w:p w14:paraId="17C1DA7F" w14:textId="77777777" w:rsidR="006B78FA" w:rsidRPr="007D496E" w:rsidRDefault="006B78FA" w:rsidP="00FF034C">
            <w:pPr>
              <w:pStyle w:val="Tabletext"/>
              <w:jc w:val="center"/>
              <w:rPr>
                <w:rFonts w:cstheme="minorHAnsi"/>
                <w:lang w:val="fr-FR"/>
              </w:rPr>
            </w:pPr>
            <w:r w:rsidRPr="007D496E">
              <w:rPr>
                <w:lang w:val="fr-FR"/>
              </w:rPr>
              <w:t>2031</w:t>
            </w:r>
          </w:p>
        </w:tc>
      </w:tr>
    </w:tbl>
    <w:p w14:paraId="6629FA52" w14:textId="77777777" w:rsidR="006B78FA" w:rsidRPr="007D496E" w:rsidRDefault="006B78FA" w:rsidP="00FF034C">
      <w:pPr>
        <w:spacing w:line="240" w:lineRule="auto"/>
        <w:jc w:val="center"/>
        <w:rPr>
          <w:lang w:val="fr-FR"/>
        </w:rPr>
      </w:pPr>
      <w:r w:rsidRPr="007D496E">
        <w:rPr>
          <w:lang w:val="fr-FR"/>
        </w:rPr>
        <w:t>______________</w:t>
      </w:r>
    </w:p>
    <w:sectPr w:rsidR="006B78FA" w:rsidRPr="007D496E" w:rsidSect="003F2F3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5820" w14:textId="77777777" w:rsidR="00304636" w:rsidRDefault="00304636">
      <w:r>
        <w:separator/>
      </w:r>
    </w:p>
  </w:endnote>
  <w:endnote w:type="continuationSeparator" w:id="0">
    <w:p w14:paraId="4E24C3BF"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AE18" w14:textId="4DD2CA0A"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t>Tél</w:t>
    </w:r>
    <w:r w:rsidR="009E1329">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 xml:space="preserve">: +41 22 730 5111 • </w:t>
    </w:r>
    <w:r w:rsidR="009E1329">
      <w:rPr>
        <w:rFonts w:asciiTheme="minorHAnsi" w:hAnsiTheme="minorHAnsi"/>
        <w:color w:val="4F81BD" w:themeColor="accent1"/>
        <w:sz w:val="18"/>
        <w:szCs w:val="18"/>
        <w:lang w:val="fr-CH"/>
      </w:rPr>
      <w:t>C</w:t>
    </w:r>
    <w:r w:rsidRPr="00A52F04">
      <w:rPr>
        <w:rFonts w:asciiTheme="minorHAnsi" w:hAnsiTheme="minorHAnsi"/>
        <w:color w:val="4F81BD" w:themeColor="accent1"/>
        <w:sz w:val="18"/>
        <w:szCs w:val="18"/>
        <w:lang w:val="fr-CH"/>
      </w:rPr>
      <w:t xml:space="preserve">ourriel: </w:t>
    </w:r>
    <w:hyperlink r:id="rId1" w:history="1">
      <w:r w:rsidRPr="00A52F04">
        <w:rPr>
          <w:rStyle w:val="Hyperlink"/>
          <w:rFonts w:asciiTheme="minorHAnsi" w:hAnsiTheme="minorHAnsi"/>
          <w:color w:val="4F81BD" w:themeColor="accent1"/>
          <w:sz w:val="18"/>
          <w:szCs w:val="18"/>
          <w:lang w:val="fr-FR"/>
        </w:rPr>
        <w:t>itumail@itu.int</w:t>
      </w:r>
    </w:hyperlink>
    <w:r w:rsidRPr="00A52F04">
      <w:rPr>
        <w:rFonts w:asciiTheme="minorHAnsi" w:hAnsiTheme="minorHAnsi"/>
        <w:color w:val="4F81BD" w:themeColor="accent1"/>
        <w:sz w:val="18"/>
        <w:szCs w:val="18"/>
        <w:lang w:val="fr-CH"/>
      </w:rPr>
      <w:t xml:space="preserve"> • Fax: +41 22 733 7256 • </w:t>
    </w:r>
    <w:hyperlink r:id="rId2" w:history="1">
      <w:r w:rsidR="009E1329" w:rsidRPr="00976087">
        <w:rPr>
          <w:rStyle w:val="Hyperlink"/>
          <w:rFonts w:asciiTheme="minorHAnsi" w:hAnsiTheme="minorHAnsi"/>
          <w:sz w:val="18"/>
          <w:szCs w:val="18"/>
          <w:lang w:val="fr-FR"/>
        </w:rPr>
        <w:t>www.itu.int</w:t>
      </w:r>
    </w:hyperlink>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C59A" w14:textId="77777777" w:rsidR="00304636" w:rsidRDefault="00304636">
      <w:r>
        <w:t>____________________</w:t>
      </w:r>
    </w:p>
  </w:footnote>
  <w:footnote w:type="continuationSeparator" w:id="0">
    <w:p w14:paraId="3AF2B3CB" w14:textId="77777777" w:rsidR="00304636" w:rsidRDefault="00304636">
      <w:r>
        <w:continuationSeparator/>
      </w:r>
    </w:p>
  </w:footnote>
  <w:footnote w:id="1">
    <w:p w14:paraId="1ACA5436" w14:textId="31E58CAC" w:rsidR="006B78FA" w:rsidRPr="006B78FA" w:rsidRDefault="006B78FA" w:rsidP="00C9644F">
      <w:pPr>
        <w:pStyle w:val="FootnoteText"/>
        <w:jc w:val="left"/>
        <w:rPr>
          <w:lang w:val="fr-FR"/>
        </w:rPr>
      </w:pPr>
      <w:r w:rsidRPr="006B78FA">
        <w:rPr>
          <w:rStyle w:val="FootnoteReference"/>
          <w:lang w:val="fr-FR"/>
        </w:rPr>
        <w:t>1</w:t>
      </w:r>
      <w:r w:rsidRPr="006B78FA">
        <w:rPr>
          <w:lang w:val="fr-FR"/>
        </w:rPr>
        <w:tab/>
        <w:t xml:space="preserve">Ce sous-point de l'ordre du jour ne concerne que le rapport du Directeur du Bureau des radiocommunications sur les activités menées par le Secteur des radiocommunications de l'UIT-R depuis la conférence mondiale des radiocommunications précédente; toutes les questions </w:t>
      </w:r>
      <w:r w:rsidRPr="006B78FA">
        <w:rPr>
          <w:rStyle w:val="ui-provider"/>
          <w:lang w:val="fr-FR"/>
        </w:rPr>
        <w:t>ne relevant pas des points 1.1 à 1.19</w:t>
      </w:r>
      <w:r w:rsidRPr="006B78FA">
        <w:rPr>
          <w:lang w:val="fr-FR"/>
        </w:rPr>
        <w:t xml:space="preserve"> comme indiqué ci</w:t>
      </w:r>
      <w:r w:rsidR="00F8339E">
        <w:rPr>
          <w:lang w:val="fr-FR"/>
        </w:rPr>
        <w:noBreakHyphen/>
      </w:r>
      <w:r w:rsidRPr="006B78FA">
        <w:rPr>
          <w:lang w:val="fr-FR"/>
        </w:rPr>
        <w:t>dessus doivent être strictement évitées, en particulier celles qui appellent des modifications/amendements du Règlement des radiocommunications.</w:t>
      </w:r>
    </w:p>
  </w:footnote>
  <w:footnote w:id="2">
    <w:p w14:paraId="5F0D498C" w14:textId="77777777" w:rsidR="006B78FA" w:rsidRPr="006B78FA" w:rsidRDefault="006B78FA" w:rsidP="00C9644F">
      <w:pPr>
        <w:pStyle w:val="FootnoteText"/>
        <w:jc w:val="left"/>
        <w:rPr>
          <w:lang w:val="fr-FR"/>
        </w:rPr>
      </w:pPr>
      <w:r w:rsidRPr="006B78FA">
        <w:rPr>
          <w:rStyle w:val="FootnoteReference"/>
          <w:lang w:val="fr-FR"/>
        </w:rPr>
        <w:t>2</w:t>
      </w:r>
      <w:r w:rsidRPr="006B78FA">
        <w:rPr>
          <w:lang w:val="fr-FR"/>
        </w:rPr>
        <w:tab/>
        <w:t>Ce sous-point de l'ordre du jour ne concerne que le rapport du Directeur du Bureau des radiocommunications sur les difficultés rencontrées ou les incohérences constatées dans l'application du Règlement des radiocommunications et les observations formulées par les administrations. Les administrations sont invitées à informer le Directeur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396A"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173EC6" w14:paraId="45FB5953" w14:textId="77777777" w:rsidTr="00173EC6">
      <w:tc>
        <w:tcPr>
          <w:tcW w:w="10042" w:type="dxa"/>
          <w:tcMar>
            <w:left w:w="0" w:type="dxa"/>
          </w:tcMar>
        </w:tcPr>
        <w:p w14:paraId="165322FD" w14:textId="77777777" w:rsidR="00173EC6" w:rsidRDefault="00173EC6"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495493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2412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910"/>
    <w:rsid w:val="00010E30"/>
    <w:rsid w:val="00011162"/>
    <w:rsid w:val="00015C76"/>
    <w:rsid w:val="00026546"/>
    <w:rsid w:val="00026CF8"/>
    <w:rsid w:val="00030BD7"/>
    <w:rsid w:val="00031E64"/>
    <w:rsid w:val="00034340"/>
    <w:rsid w:val="00035CB3"/>
    <w:rsid w:val="00045A8D"/>
    <w:rsid w:val="0005167A"/>
    <w:rsid w:val="00054E5D"/>
    <w:rsid w:val="00070258"/>
    <w:rsid w:val="0007323C"/>
    <w:rsid w:val="000739C2"/>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08BC"/>
    <w:rsid w:val="00144DFB"/>
    <w:rsid w:val="00173EC6"/>
    <w:rsid w:val="00187CA3"/>
    <w:rsid w:val="00196710"/>
    <w:rsid w:val="00196770"/>
    <w:rsid w:val="00197324"/>
    <w:rsid w:val="001B351B"/>
    <w:rsid w:val="001B42C9"/>
    <w:rsid w:val="001C06DB"/>
    <w:rsid w:val="001C6971"/>
    <w:rsid w:val="001D2785"/>
    <w:rsid w:val="001D7070"/>
    <w:rsid w:val="001F2170"/>
    <w:rsid w:val="001F3948"/>
    <w:rsid w:val="001F5A49"/>
    <w:rsid w:val="001F619B"/>
    <w:rsid w:val="00200CBF"/>
    <w:rsid w:val="00201097"/>
    <w:rsid w:val="00201B6E"/>
    <w:rsid w:val="002043AB"/>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30E1"/>
    <w:rsid w:val="002F4967"/>
    <w:rsid w:val="002F5AA5"/>
    <w:rsid w:val="00304636"/>
    <w:rsid w:val="00316935"/>
    <w:rsid w:val="00317B59"/>
    <w:rsid w:val="003266ED"/>
    <w:rsid w:val="00326C68"/>
    <w:rsid w:val="003370B8"/>
    <w:rsid w:val="00345D38"/>
    <w:rsid w:val="003471C9"/>
    <w:rsid w:val="00352097"/>
    <w:rsid w:val="003666FF"/>
    <w:rsid w:val="0037145C"/>
    <w:rsid w:val="0037309C"/>
    <w:rsid w:val="00377435"/>
    <w:rsid w:val="00380A6E"/>
    <w:rsid w:val="003836D4"/>
    <w:rsid w:val="00387AE4"/>
    <w:rsid w:val="003A1F49"/>
    <w:rsid w:val="003A55ED"/>
    <w:rsid w:val="003A5D52"/>
    <w:rsid w:val="003B2BDA"/>
    <w:rsid w:val="003B4C92"/>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231FB"/>
    <w:rsid w:val="00642050"/>
    <w:rsid w:val="0064371D"/>
    <w:rsid w:val="00650543"/>
    <w:rsid w:val="00650B2A"/>
    <w:rsid w:val="00651777"/>
    <w:rsid w:val="006550F8"/>
    <w:rsid w:val="006829F3"/>
    <w:rsid w:val="006A518B"/>
    <w:rsid w:val="006B0590"/>
    <w:rsid w:val="006B49DA"/>
    <w:rsid w:val="006B78FA"/>
    <w:rsid w:val="006C53F8"/>
    <w:rsid w:val="006C72C3"/>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D496E"/>
    <w:rsid w:val="007E1833"/>
    <w:rsid w:val="007E3F13"/>
    <w:rsid w:val="007F751A"/>
    <w:rsid w:val="00800012"/>
    <w:rsid w:val="0080261F"/>
    <w:rsid w:val="00806160"/>
    <w:rsid w:val="008143A4"/>
    <w:rsid w:val="0081513E"/>
    <w:rsid w:val="00854131"/>
    <w:rsid w:val="0085652D"/>
    <w:rsid w:val="0087694B"/>
    <w:rsid w:val="00880F4D"/>
    <w:rsid w:val="0088443B"/>
    <w:rsid w:val="00894153"/>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A8B"/>
    <w:rsid w:val="00981B54"/>
    <w:rsid w:val="009842C3"/>
    <w:rsid w:val="009A009A"/>
    <w:rsid w:val="009A6BB6"/>
    <w:rsid w:val="009B3F43"/>
    <w:rsid w:val="009B5CFA"/>
    <w:rsid w:val="009C161F"/>
    <w:rsid w:val="009C56B4"/>
    <w:rsid w:val="009D51A2"/>
    <w:rsid w:val="009E04A8"/>
    <w:rsid w:val="009E1329"/>
    <w:rsid w:val="009E4AEC"/>
    <w:rsid w:val="009E5BD8"/>
    <w:rsid w:val="009E681E"/>
    <w:rsid w:val="009F5CC2"/>
    <w:rsid w:val="00A119E6"/>
    <w:rsid w:val="00A20FBC"/>
    <w:rsid w:val="00A231BC"/>
    <w:rsid w:val="00A26744"/>
    <w:rsid w:val="00A31370"/>
    <w:rsid w:val="00A34D6F"/>
    <w:rsid w:val="00A41F91"/>
    <w:rsid w:val="00A52F04"/>
    <w:rsid w:val="00A63355"/>
    <w:rsid w:val="00A7596D"/>
    <w:rsid w:val="00A963DF"/>
    <w:rsid w:val="00AA211B"/>
    <w:rsid w:val="00AA781A"/>
    <w:rsid w:val="00AB69F5"/>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5653"/>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9644F"/>
    <w:rsid w:val="00CA3F44"/>
    <w:rsid w:val="00CA4E58"/>
    <w:rsid w:val="00CB3771"/>
    <w:rsid w:val="00CB44BF"/>
    <w:rsid w:val="00CB5153"/>
    <w:rsid w:val="00CE076A"/>
    <w:rsid w:val="00CE463D"/>
    <w:rsid w:val="00D10BA0"/>
    <w:rsid w:val="00D2157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B17C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6637"/>
    <w:rsid w:val="00E67928"/>
    <w:rsid w:val="00E70FB5"/>
    <w:rsid w:val="00E81574"/>
    <w:rsid w:val="00E915AF"/>
    <w:rsid w:val="00E96415"/>
    <w:rsid w:val="00EA15B3"/>
    <w:rsid w:val="00EA2C83"/>
    <w:rsid w:val="00EB2358"/>
    <w:rsid w:val="00EB3EB8"/>
    <w:rsid w:val="00EB5CA6"/>
    <w:rsid w:val="00EC00EF"/>
    <w:rsid w:val="00EC02FE"/>
    <w:rsid w:val="00EC4A96"/>
    <w:rsid w:val="00EE03A0"/>
    <w:rsid w:val="00EE1A57"/>
    <w:rsid w:val="00F424BF"/>
    <w:rsid w:val="00F44FC3"/>
    <w:rsid w:val="00F46107"/>
    <w:rsid w:val="00F468C5"/>
    <w:rsid w:val="00F52F39"/>
    <w:rsid w:val="00F6184F"/>
    <w:rsid w:val="00F73DBD"/>
    <w:rsid w:val="00F8310E"/>
    <w:rsid w:val="00F8339E"/>
    <w:rsid w:val="00F914DD"/>
    <w:rsid w:val="00FA2358"/>
    <w:rsid w:val="00FB2592"/>
    <w:rsid w:val="00FB2810"/>
    <w:rsid w:val="00FB7A2C"/>
    <w:rsid w:val="00FC2947"/>
    <w:rsid w:val="00FC6F24"/>
    <w:rsid w:val="00FE0818"/>
    <w:rsid w:val="00FE6FB1"/>
    <w:rsid w:val="00FF034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Text 1,Footnote symbol,Style 12,(NECG) Footnote Reference,Style 124,Appel note de bas de p + 11 pt,Italic,Appel note de bas de p1,Appel note de bas de p2,Footnote,o,fr"/>
    <w:basedOn w:val="DefaultParagraphFont"/>
    <w:uiPriority w:val="99"/>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Style 58,超????,超?级链,하이퍼링크2,하이퍼링크21"/>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Normalaftertitle0">
    <w:name w:val="Normal after title"/>
    <w:basedOn w:val="Normal"/>
    <w:next w:val="Normal"/>
    <w:link w:val="NormalaftertitleChar"/>
    <w:qFormat/>
    <w:rsid w:val="002043AB"/>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link w:val="Normalaftertitle0"/>
    <w:locked/>
    <w:rsid w:val="002043AB"/>
    <w:rPr>
      <w:rFonts w:ascii="Times New Roman" w:hAnsi="Times New Roman" w:cs="Times New Roman"/>
      <w:sz w:val="24"/>
      <w:lang w:val="en-GB" w:eastAsia="en-US"/>
    </w:rPr>
  </w:style>
  <w:style w:type="character" w:styleId="UnresolvedMention">
    <w:name w:val="Unresolved Mention"/>
    <w:basedOn w:val="DefaultParagraphFont"/>
    <w:uiPriority w:val="99"/>
    <w:semiHidden/>
    <w:unhideWhenUsed/>
    <w:rsid w:val="009E1329"/>
    <w:rPr>
      <w:color w:val="605E5C"/>
      <w:shd w:val="clear" w:color="auto" w:fill="E1DFDD"/>
    </w:rPr>
  </w:style>
  <w:style w:type="character" w:styleId="FollowedHyperlink">
    <w:name w:val="FollowedHyperlink"/>
    <w:basedOn w:val="DefaultParagraphFont"/>
    <w:semiHidden/>
    <w:unhideWhenUsed/>
    <w:rsid w:val="00011162"/>
    <w:rPr>
      <w:color w:val="800080" w:themeColor="followedHyperlink"/>
      <w:u w:val="single"/>
    </w:rPr>
  </w:style>
  <w:style w:type="paragraph" w:customStyle="1" w:styleId="AnnexNo">
    <w:name w:val="Annex_No"/>
    <w:basedOn w:val="Normal"/>
    <w:next w:val="Normal"/>
    <w:rsid w:val="00011162"/>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lang w:val="fr-FR"/>
    </w:rPr>
  </w:style>
  <w:style w:type="paragraph" w:customStyle="1" w:styleId="Annextitle">
    <w:name w:val="Annex_title"/>
    <w:basedOn w:val="Normal"/>
    <w:next w:val="Normal"/>
    <w:rsid w:val="00011162"/>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lang w:val="fr-F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6B78FA"/>
    <w:rPr>
      <w:szCs w:val="22"/>
      <w:lang w:val="en-US" w:eastAsia="en-US"/>
    </w:rPr>
  </w:style>
  <w:style w:type="character" w:customStyle="1" w:styleId="CallChar">
    <w:name w:val="Call Char"/>
    <w:basedOn w:val="DefaultParagraphFont"/>
    <w:link w:val="Call"/>
    <w:locked/>
    <w:rsid w:val="006B78FA"/>
    <w:rPr>
      <w:i/>
      <w:sz w:val="24"/>
      <w:szCs w:val="22"/>
      <w:lang w:val="en-US" w:eastAsia="en-US"/>
    </w:rPr>
  </w:style>
  <w:style w:type="character" w:customStyle="1" w:styleId="ui-provider">
    <w:name w:val="ui-provider"/>
    <w:basedOn w:val="DefaultParagraphFont"/>
    <w:rsid w:val="006B78FA"/>
  </w:style>
  <w:style w:type="character" w:customStyle="1" w:styleId="RestitleChar">
    <w:name w:val="Res_title Char"/>
    <w:basedOn w:val="DefaultParagraphFont"/>
    <w:link w:val="Restitle"/>
    <w:rsid w:val="006B78FA"/>
    <w:rPr>
      <w:b/>
      <w:sz w:val="28"/>
      <w:szCs w:val="22"/>
      <w:lang w:val="en-US" w:eastAsia="en-US"/>
    </w:rPr>
  </w:style>
  <w:style w:type="character" w:customStyle="1" w:styleId="ResNoChar">
    <w:name w:val="Res_No Char"/>
    <w:basedOn w:val="DefaultParagraphFont"/>
    <w:link w:val="ResNo"/>
    <w:locked/>
    <w:rsid w:val="006B78FA"/>
    <w:rPr>
      <w:caps/>
      <w:sz w:val="28"/>
      <w:szCs w:val="22"/>
      <w:lang w:val="en-US" w:eastAsia="en-US"/>
    </w:rPr>
  </w:style>
  <w:style w:type="paragraph" w:customStyle="1" w:styleId="Tablefin">
    <w:name w:val="Table_fin"/>
    <w:basedOn w:val="Tabletext"/>
    <w:rsid w:val="006B78F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Pr>
      <w:rFonts w:cs="Times New Roman"/>
      <w:sz w:val="22"/>
      <w:szCs w:val="20"/>
      <w:lang w:val="fr-FR"/>
    </w:rPr>
  </w:style>
  <w:style w:type="paragraph" w:customStyle="1" w:styleId="Reasons">
    <w:name w:val="Reasons"/>
    <w:basedOn w:val="Normal"/>
    <w:qFormat/>
    <w:rsid w:val="006B78F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des">
    <w:name w:val="des"/>
    <w:basedOn w:val="ResNo"/>
    <w:rsid w:val="00FF034C"/>
    <w:pPr>
      <w:spacing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tates@itu.int" TargetMode="External"/><Relationship Id="rId13" Type="http://schemas.openxmlformats.org/officeDocument/2006/relationships/hyperlink" Target="mailto:memberstates@itu.int" TargetMode="External"/><Relationship Id="rId18" Type="http://schemas.openxmlformats.org/officeDocument/2006/relationships/hyperlink" Target="https://www.itu.int/md/S24-CL-C-0132/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24-CL-C-0007/fr" TargetMode="External"/><Relationship Id="rId7" Type="http://schemas.openxmlformats.org/officeDocument/2006/relationships/endnotes" Target="endnotes.xml"/><Relationship Id="rId12" Type="http://schemas.openxmlformats.org/officeDocument/2006/relationships/hyperlink" Target="https://www.itu.int/crmapp/online-consultation/" TargetMode="External"/><Relationship Id="rId17" Type="http://schemas.openxmlformats.org/officeDocument/2006/relationships/hyperlink" Target="https://www.itu.int/md/S24-CL-C-0125/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4-CL-C-0030/fr" TargetMode="External"/><Relationship Id="rId20" Type="http://schemas.openxmlformats.org/officeDocument/2006/relationships/hyperlink" Target="mailto:memberstate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32/f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S24-CL-C-0124/fr" TargetMode="External"/><Relationship Id="rId23" Type="http://schemas.openxmlformats.org/officeDocument/2006/relationships/header" Target="header2.xml"/><Relationship Id="rId10" Type="http://schemas.openxmlformats.org/officeDocument/2006/relationships/hyperlink" Target="https://www.itu.int/md/S24-CL-C-0125/fr" TargetMode="External"/><Relationship Id="rId19" Type="http://schemas.openxmlformats.org/officeDocument/2006/relationships/hyperlink" Target="https://www.itu.int/crmapp/online-consultation/" TargetMode="External"/><Relationship Id="rId4" Type="http://schemas.openxmlformats.org/officeDocument/2006/relationships/settings" Target="settings.xml"/><Relationship Id="rId9" Type="http://schemas.openxmlformats.org/officeDocument/2006/relationships/hyperlink" Target="https://www.itu.int/md/S24-CL-C-0124/fr" TargetMode="External"/><Relationship Id="rId14" Type="http://schemas.openxmlformats.org/officeDocument/2006/relationships/hyperlink" Target="mailto:memberstates@itu.in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F7C1-0834-4F07-8214-60836A83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3629</Words>
  <Characters>21497</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25076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Frenchm</cp:lastModifiedBy>
  <cp:revision>7</cp:revision>
  <cp:lastPrinted>2013-03-08T10:15:00Z</cp:lastPrinted>
  <dcterms:created xsi:type="dcterms:W3CDTF">2024-07-03T08:10:00Z</dcterms:created>
  <dcterms:modified xsi:type="dcterms:W3CDTF">2024-07-03T09:07:00Z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