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057C2E8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CF292D">
              <w:rPr>
                <w:b/>
                <w:lang w:val="fr-CH"/>
              </w:rPr>
              <w:t>I</w:t>
            </w:r>
            <w:r w:rsidR="00E20A20">
              <w:rPr>
                <w:b/>
                <w:lang w:val="fr-CH"/>
              </w:rPr>
              <w:t>nternet</w:t>
            </w:r>
            <w:r w:rsidR="00A52C84" w:rsidRPr="00A52C84">
              <w:rPr>
                <w:b/>
                <w:lang w:val="fr-CH"/>
              </w:rPr>
              <w:t>-</w:t>
            </w:r>
            <w:r w:rsidR="008B783E">
              <w:rPr>
                <w:b/>
                <w:lang w:val="fr-CH"/>
              </w:rPr>
              <w:t>1</w:t>
            </w:r>
            <w:r w:rsidR="003620F3">
              <w:rPr>
                <w:b/>
                <w:lang w:val="fr-CH"/>
              </w:rPr>
              <w:t>9</w:t>
            </w:r>
            <w:r w:rsidRPr="00A52C84">
              <w:rPr>
                <w:b/>
                <w:lang w:val="fr-CH"/>
              </w:rPr>
              <w:t>/</w:t>
            </w:r>
            <w:r w:rsidR="00DE6A2E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B0AA33F" w:rsidR="00AD3606" w:rsidRPr="00E85629" w:rsidRDefault="000F5C9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November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1AA5F5B7" w14:textId="77777777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6BD03AE1" w14:textId="046EA2BE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DB0D42">
        <w:rPr>
          <w:rFonts w:eastAsia="SimSun" w:cs="Calibri"/>
          <w:b/>
          <w:sz w:val="28"/>
          <w:szCs w:val="28"/>
        </w:rPr>
        <w:t xml:space="preserve">COUNCIL WORKING GROUP ON </w:t>
      </w:r>
      <w:r>
        <w:rPr>
          <w:rFonts w:eastAsia="SimSun" w:cs="Calibri"/>
          <w:b/>
          <w:sz w:val="28"/>
          <w:szCs w:val="28"/>
        </w:rPr>
        <w:br/>
      </w:r>
      <w:r w:rsidRPr="00DE6A2E">
        <w:rPr>
          <w:rFonts w:eastAsia="SimSun" w:cs="Calibri"/>
          <w:b/>
          <w:sz w:val="28"/>
          <w:szCs w:val="28"/>
        </w:rPr>
        <w:t>INTERNATIONAL INTERNET-RELATED PUBLIC POLICY ISSUES</w:t>
      </w:r>
    </w:p>
    <w:p w14:paraId="2E6FBBEE" w14:textId="261E8FA1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Wednesday, 31 January 2024</w:t>
      </w:r>
      <w:r w:rsidR="00AD26F6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>0930 – 1230 and 1430 – 1730 hours</w:t>
      </w:r>
    </w:p>
    <w:p w14:paraId="0F896C69" w14:textId="6F608C59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</w:rPr>
        <w:t xml:space="preserve">Thursday 1 February 2024 </w:t>
      </w:r>
      <w:r>
        <w:rPr>
          <w:rFonts w:eastAsia="SimSun" w:cs="Calibri"/>
          <w:bCs/>
        </w:rPr>
        <w:t xml:space="preserve">from </w:t>
      </w:r>
      <w:r w:rsidRPr="00DB0D42">
        <w:rPr>
          <w:rFonts w:eastAsia="SimSun" w:cs="Calibri"/>
        </w:rPr>
        <w:t>0930 – 1230 hours</w:t>
      </w:r>
      <w:r>
        <w:rPr>
          <w:rFonts w:eastAsia="SimSun" w:cs="Calibri"/>
        </w:rPr>
        <w:t xml:space="preserve"> (Morning)</w:t>
      </w:r>
    </w:p>
    <w:p w14:paraId="2610AE8B" w14:textId="73B1FD18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740C12">
        <w:rPr>
          <w:rFonts w:eastAsia="Calibri"/>
          <w:b/>
          <w:kern w:val="2"/>
          <w:szCs w:val="24"/>
          <w14:ligatures w14:val="standardContextual"/>
        </w:rPr>
        <w:t>C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6904DF63" w14:textId="77777777" w:rsidR="00DE6A2E" w:rsidRPr="00DB0D42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DE6A2E" w:rsidRPr="00DB0D42" w14:paraId="657CAC6D" w14:textId="77777777" w:rsidTr="00DE6A2E">
        <w:trPr>
          <w:trHeight w:val="629"/>
        </w:trPr>
        <w:tc>
          <w:tcPr>
            <w:tcW w:w="852" w:type="dxa"/>
          </w:tcPr>
          <w:p w14:paraId="7AFAD172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974" w:type="dxa"/>
          </w:tcPr>
          <w:p w14:paraId="0342059E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16DE33FA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DE6A2E" w:rsidRPr="00DB0D42" w14:paraId="5BA700E1" w14:textId="77777777" w:rsidTr="00DE6A2E">
        <w:trPr>
          <w:trHeight w:val="567"/>
        </w:trPr>
        <w:tc>
          <w:tcPr>
            <w:tcW w:w="852" w:type="dxa"/>
          </w:tcPr>
          <w:p w14:paraId="7AEFC1B0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974" w:type="dxa"/>
          </w:tcPr>
          <w:p w14:paraId="5AE672F3" w14:textId="21FB8CBF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E6A2E">
              <w:rPr>
                <w:rFonts w:cs="Calibri"/>
                <w:bCs/>
              </w:rPr>
              <w:t>Introductory remarks</w:t>
            </w:r>
          </w:p>
        </w:tc>
        <w:tc>
          <w:tcPr>
            <w:tcW w:w="2268" w:type="dxa"/>
          </w:tcPr>
          <w:p w14:paraId="55D4B16A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DE6A2E" w:rsidRPr="00DB0D42" w14:paraId="6B16AEA9" w14:textId="77777777" w:rsidTr="00DE6A2E">
        <w:trPr>
          <w:trHeight w:val="567"/>
        </w:trPr>
        <w:tc>
          <w:tcPr>
            <w:tcW w:w="852" w:type="dxa"/>
          </w:tcPr>
          <w:p w14:paraId="30D99B9E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974" w:type="dxa"/>
          </w:tcPr>
          <w:p w14:paraId="2733DB1C" w14:textId="05E88452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E6A2E">
              <w:rPr>
                <w:rFonts w:cs="Calibri"/>
                <w:bCs/>
                <w:lang w:val="en-US"/>
              </w:rPr>
              <w:t>Adoption of the Agenda</w:t>
            </w:r>
          </w:p>
        </w:tc>
        <w:tc>
          <w:tcPr>
            <w:tcW w:w="2268" w:type="dxa"/>
          </w:tcPr>
          <w:p w14:paraId="0B698B6E" w14:textId="7DEFA922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CWG-Internet-19/1</w:t>
            </w:r>
          </w:p>
        </w:tc>
      </w:tr>
      <w:tr w:rsidR="00DE6A2E" w:rsidRPr="00DB0D42" w14:paraId="3630B822" w14:textId="77777777" w:rsidTr="00DE6A2E">
        <w:trPr>
          <w:trHeight w:val="567"/>
        </w:trPr>
        <w:tc>
          <w:tcPr>
            <w:tcW w:w="852" w:type="dxa"/>
          </w:tcPr>
          <w:p w14:paraId="60376FF8" w14:textId="77777777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6974" w:type="dxa"/>
          </w:tcPr>
          <w:p w14:paraId="49CF708F" w14:textId="61493FCA" w:rsidR="00DE6A2E" w:rsidRPr="00DB0D4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Presentation by Secretariat of report on ITU Internet Activities: Resolutions 101, 102, 133, 180 and 206</w:t>
            </w:r>
          </w:p>
        </w:tc>
        <w:tc>
          <w:tcPr>
            <w:tcW w:w="2268" w:type="dxa"/>
          </w:tcPr>
          <w:p w14:paraId="361DF444" w14:textId="542AE806" w:rsidR="00DE6A2E" w:rsidRPr="00DB0D42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</w:p>
        </w:tc>
      </w:tr>
      <w:tr w:rsidR="00DE6A2E" w:rsidRPr="00DB0D42" w14:paraId="4B00082B" w14:textId="77777777" w:rsidTr="00DE6A2E">
        <w:trPr>
          <w:trHeight w:val="567"/>
        </w:trPr>
        <w:tc>
          <w:tcPr>
            <w:tcW w:w="852" w:type="dxa"/>
          </w:tcPr>
          <w:p w14:paraId="693713C9" w14:textId="77777777" w:rsidR="00DE6A2E" w:rsidRPr="00AD7F61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6974" w:type="dxa"/>
          </w:tcPr>
          <w:p w14:paraId="00FEF777" w14:textId="6A16B0BC" w:rsidR="00DE6A2E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Introduction/Discussion of Contributions from Member States</w:t>
            </w:r>
          </w:p>
        </w:tc>
        <w:tc>
          <w:tcPr>
            <w:tcW w:w="2268" w:type="dxa"/>
          </w:tcPr>
          <w:p w14:paraId="506843DB" w14:textId="77777777" w:rsidR="00DE6A2E" w:rsidRPr="00AD7F61" w:rsidRDefault="00DE6A2E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740C12" w:rsidRPr="00DB0D42" w14:paraId="4E2B8CFC" w14:textId="77777777" w:rsidTr="00DE6A2E">
        <w:trPr>
          <w:trHeight w:val="567"/>
        </w:trPr>
        <w:tc>
          <w:tcPr>
            <w:tcW w:w="852" w:type="dxa"/>
          </w:tcPr>
          <w:p w14:paraId="477447CC" w14:textId="73F72CE2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974" w:type="dxa"/>
          </w:tcPr>
          <w:p w14:paraId="52F3446F" w14:textId="66A8732D" w:rsidR="00740C12" w:rsidRPr="00740C1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Presentation of Chairman’s Report</w:t>
            </w:r>
          </w:p>
        </w:tc>
        <w:tc>
          <w:tcPr>
            <w:tcW w:w="2268" w:type="dxa"/>
          </w:tcPr>
          <w:p w14:paraId="599542AB" w14:textId="77777777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740C12" w:rsidRPr="00DB0D42" w14:paraId="05AA5E7A" w14:textId="77777777" w:rsidTr="00DE6A2E">
        <w:trPr>
          <w:trHeight w:val="567"/>
        </w:trPr>
        <w:tc>
          <w:tcPr>
            <w:tcW w:w="852" w:type="dxa"/>
          </w:tcPr>
          <w:p w14:paraId="1D11D1BA" w14:textId="6C81CDA3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974" w:type="dxa"/>
          </w:tcPr>
          <w:p w14:paraId="4FA78C42" w14:textId="1B2BD7F9" w:rsidR="00740C12" w:rsidRPr="00740C12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740C12">
              <w:rPr>
                <w:rFonts w:cs="Calibri"/>
              </w:rPr>
              <w:t>Other business</w:t>
            </w:r>
          </w:p>
        </w:tc>
        <w:tc>
          <w:tcPr>
            <w:tcW w:w="2268" w:type="dxa"/>
          </w:tcPr>
          <w:p w14:paraId="69BCA8F3" w14:textId="77777777" w:rsidR="00740C12" w:rsidRPr="00AD7F61" w:rsidRDefault="00740C12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</w:tbl>
    <w:p w14:paraId="5B46363B" w14:textId="21F7B8FE" w:rsidR="00DE6A2E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</w:r>
      <w:r w:rsidRPr="00DE6A2E">
        <w:rPr>
          <w:lang w:val="es-ES"/>
        </w:rPr>
        <w:t>Wojciech BEREZOWSKI</w:t>
      </w:r>
    </w:p>
    <w:p w14:paraId="2F9B62C1" w14:textId="77777777" w:rsidR="00DE6A2E" w:rsidRPr="0090147A" w:rsidRDefault="00DE6A2E" w:rsidP="00DE6A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DE6A2E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7BF2736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</w:t>
          </w:r>
          <w:r w:rsidR="003620F3">
            <w:rPr>
              <w:bCs/>
              <w:lang w:val="fr-CH"/>
            </w:rPr>
            <w:t>9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46DEE0BD" w:rsidR="00EE49E8" w:rsidRPr="00CF292D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</w:t>
          </w:r>
          <w:r w:rsidR="003620F3">
            <w:rPr>
              <w:bCs/>
              <w:lang w:val="fr-CH"/>
            </w:rPr>
            <w:t>9</w:t>
          </w:r>
          <w:r w:rsidRPr="00CF292D">
            <w:rPr>
              <w:bCs/>
              <w:lang w:val="fr-CH"/>
            </w:rPr>
            <w:t>/</w:t>
          </w:r>
          <w:r w:rsidR="00DE6A2E">
            <w:rPr>
              <w:bCs/>
              <w:lang w:val="fr-CH"/>
            </w:rPr>
            <w:t>1</w:t>
          </w:r>
          <w:r w:rsidRPr="00CF292D">
            <w:rPr>
              <w:bCs/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FC1051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 w:rsidR="003620F3">
                            <w:rPr>
                              <w:sz w:val="20"/>
                            </w:rPr>
                            <w:t>Nineteenth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3620F3">
                            <w:rPr>
                              <w:sz w:val="20"/>
                            </w:rPr>
                            <w:t>From 31</w:t>
                          </w:r>
                          <w:r w:rsidR="001854CF">
                            <w:rPr>
                              <w:sz w:val="20"/>
                            </w:rPr>
                            <w:t xml:space="preserve"> January</w:t>
                          </w:r>
                          <w:r w:rsidR="00A82BCF">
                            <w:rPr>
                              <w:sz w:val="20"/>
                            </w:rPr>
                            <w:t xml:space="preserve"> </w:t>
                          </w:r>
                          <w:r w:rsidR="003620F3">
                            <w:rPr>
                              <w:sz w:val="20"/>
                            </w:rPr>
                            <w:t>to 1 February</w:t>
                          </w:r>
                          <w:r w:rsidR="00A51E57">
                            <w:rPr>
                              <w:sz w:val="20"/>
                            </w:rPr>
                            <w:t xml:space="preserve"> </w:t>
                          </w:r>
                          <w:r w:rsidR="00A51E57">
                            <w:rPr>
                              <w:sz w:val="20"/>
                            </w:rPr>
                            <w:t>(a.m.)</w:t>
                          </w:r>
                          <w:r w:rsidR="003620F3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7FC1051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CF292D">
                      <w:rPr>
                        <w:b/>
                        <w:bCs/>
                        <w:szCs w:val="24"/>
                      </w:rPr>
                      <w:t>International Internet-related Public Policy Issues</w:t>
                    </w:r>
                    <w:r>
                      <w:br/>
                    </w:r>
                    <w:r w:rsidR="003620F3">
                      <w:rPr>
                        <w:sz w:val="20"/>
                      </w:rPr>
                      <w:t>Nineteenth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3620F3">
                      <w:rPr>
                        <w:sz w:val="20"/>
                      </w:rPr>
                      <w:t>From 31</w:t>
                    </w:r>
                    <w:r w:rsidR="001854CF">
                      <w:rPr>
                        <w:sz w:val="20"/>
                      </w:rPr>
                      <w:t xml:space="preserve"> January</w:t>
                    </w:r>
                    <w:r w:rsidR="00A82BCF">
                      <w:rPr>
                        <w:sz w:val="20"/>
                      </w:rPr>
                      <w:t xml:space="preserve"> </w:t>
                    </w:r>
                    <w:r w:rsidR="003620F3">
                      <w:rPr>
                        <w:sz w:val="20"/>
                      </w:rPr>
                      <w:t>to 1 February</w:t>
                    </w:r>
                    <w:r w:rsidR="00A51E57">
                      <w:rPr>
                        <w:sz w:val="20"/>
                      </w:rPr>
                      <w:t xml:space="preserve"> </w:t>
                    </w:r>
                    <w:r w:rsidR="00A51E57">
                      <w:rPr>
                        <w:sz w:val="20"/>
                      </w:rPr>
                      <w:t>(a.m.)</w:t>
                    </w:r>
                    <w:r w:rsidR="003620F3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E19B0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0F5C92"/>
    <w:rsid w:val="001121F5"/>
    <w:rsid w:val="00130599"/>
    <w:rsid w:val="001400DC"/>
    <w:rsid w:val="00140CE1"/>
    <w:rsid w:val="0017539C"/>
    <w:rsid w:val="00175AC2"/>
    <w:rsid w:val="0017609F"/>
    <w:rsid w:val="001854C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1EB9"/>
    <w:rsid w:val="0050223C"/>
    <w:rsid w:val="005243FF"/>
    <w:rsid w:val="00564FBC"/>
    <w:rsid w:val="005800BC"/>
    <w:rsid w:val="00582442"/>
    <w:rsid w:val="005A335D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40C12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B783E"/>
    <w:rsid w:val="008C7E27"/>
    <w:rsid w:val="008F7448"/>
    <w:rsid w:val="0090147A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1E57"/>
    <w:rsid w:val="00A52C84"/>
    <w:rsid w:val="00A55622"/>
    <w:rsid w:val="00A82BCF"/>
    <w:rsid w:val="00A83502"/>
    <w:rsid w:val="00AD15B3"/>
    <w:rsid w:val="00AD26F6"/>
    <w:rsid w:val="00AD3606"/>
    <w:rsid w:val="00AD4A3D"/>
    <w:rsid w:val="00AF6E49"/>
    <w:rsid w:val="00B04A67"/>
    <w:rsid w:val="00B0583C"/>
    <w:rsid w:val="00B30D17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E6A2E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279DA"/>
    <w:rsid w:val="00F44C00"/>
    <w:rsid w:val="00F45D2C"/>
    <w:rsid w:val="00F46C5F"/>
    <w:rsid w:val="00F632C0"/>
    <w:rsid w:val="00F74694"/>
    <w:rsid w:val="00F94A63"/>
    <w:rsid w:val="00FA1C28"/>
    <w:rsid w:val="00FB1279"/>
    <w:rsid w:val="00FB57A6"/>
    <w:rsid w:val="00FB6B76"/>
    <w:rsid w:val="00FB7596"/>
    <w:rsid w:val="00FC12E7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655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/>
  <cp:keywords>CWG-Internet, C24, Council-24</cp:keywords>
  <dc:description/>
  <cp:lastModifiedBy/>
  <cp:revision>1</cp:revision>
  <dcterms:created xsi:type="dcterms:W3CDTF">2023-11-06T13:54:00Z</dcterms:created>
  <dcterms:modified xsi:type="dcterms:W3CDTF">2023-11-28T08:30:00Z</dcterms:modified>
  <cp:category>Conference document</cp:category>
</cp:coreProperties>
</file>