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E3959"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21BF900" w:rsidR="00AD3606" w:rsidRPr="005E3959" w:rsidRDefault="00AD3606" w:rsidP="00472BAD">
            <w:pPr>
              <w:tabs>
                <w:tab w:val="left" w:pos="851"/>
              </w:tabs>
              <w:spacing w:before="0" w:line="240" w:lineRule="atLeast"/>
              <w:jc w:val="right"/>
              <w:rPr>
                <w:b/>
                <w:lang w:val="fr-CH"/>
              </w:rPr>
            </w:pPr>
            <w:r w:rsidRPr="005E3959">
              <w:rPr>
                <w:b/>
                <w:lang w:val="fr-CH"/>
              </w:rPr>
              <w:t xml:space="preserve">Document </w:t>
            </w:r>
            <w:proofErr w:type="spellStart"/>
            <w:r w:rsidR="00A028B5" w:rsidRPr="005E3959">
              <w:rPr>
                <w:b/>
                <w:lang w:val="fr-CH"/>
              </w:rPr>
              <w:t>EG</w:t>
            </w:r>
            <w:proofErr w:type="spellEnd"/>
            <w:r w:rsidR="00A028B5" w:rsidRPr="005E3959">
              <w:rPr>
                <w:b/>
                <w:lang w:val="fr-CH"/>
              </w:rPr>
              <w:t>-</w:t>
            </w:r>
            <w:proofErr w:type="spellStart"/>
            <w:r w:rsidR="00A028B5" w:rsidRPr="005E3959">
              <w:rPr>
                <w:b/>
                <w:lang w:val="fr-CH"/>
              </w:rPr>
              <w:t>ITRs</w:t>
            </w:r>
            <w:proofErr w:type="spellEnd"/>
            <w:r w:rsidR="00A52C84" w:rsidRPr="005E3959">
              <w:rPr>
                <w:b/>
                <w:lang w:val="fr-CH"/>
              </w:rPr>
              <w:t>-</w:t>
            </w:r>
            <w:r w:rsidR="00E01B6A" w:rsidRPr="005E3959">
              <w:rPr>
                <w:b/>
                <w:lang w:val="fr-CH"/>
              </w:rPr>
              <w:t>3</w:t>
            </w:r>
            <w:r w:rsidRPr="005E3959">
              <w:rPr>
                <w:b/>
                <w:lang w:val="fr-CH"/>
              </w:rPr>
              <w:t>/</w:t>
            </w:r>
            <w:r w:rsidR="005E3959">
              <w:rPr>
                <w:b/>
                <w:lang w:val="fr-CH"/>
              </w:rPr>
              <w:t>8-E</w:t>
            </w:r>
          </w:p>
        </w:tc>
      </w:tr>
      <w:tr w:rsidR="00AD3606" w:rsidRPr="005E3959" w14:paraId="789B45BA" w14:textId="77777777" w:rsidTr="00AD3606">
        <w:trPr>
          <w:cantSplit/>
        </w:trPr>
        <w:tc>
          <w:tcPr>
            <w:tcW w:w="3969" w:type="dxa"/>
            <w:vMerge/>
          </w:tcPr>
          <w:p w14:paraId="3F3D4E17" w14:textId="77777777" w:rsidR="00AD3606" w:rsidRPr="005E3959"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46C380EA" w:rsidR="00AD3606" w:rsidRPr="005E3959" w:rsidRDefault="005E3959" w:rsidP="00AD3606">
            <w:pPr>
              <w:tabs>
                <w:tab w:val="left" w:pos="851"/>
              </w:tabs>
              <w:spacing w:before="0"/>
              <w:jc w:val="right"/>
              <w:rPr>
                <w:b/>
              </w:rPr>
            </w:pPr>
            <w:r>
              <w:rPr>
                <w:b/>
              </w:rPr>
              <w:t>17</w:t>
            </w:r>
            <w:r w:rsidR="00AD3606" w:rsidRPr="005E3959">
              <w:rPr>
                <w:b/>
              </w:rPr>
              <w:t xml:space="preserve"> </w:t>
            </w:r>
            <w:r w:rsidR="00E01B6A" w:rsidRPr="005E3959">
              <w:rPr>
                <w:b/>
              </w:rPr>
              <w:t>September</w:t>
            </w:r>
            <w:r w:rsidR="0083408D" w:rsidRPr="005E3959">
              <w:rPr>
                <w:b/>
              </w:rPr>
              <w:t xml:space="preserve"> 2024</w:t>
            </w:r>
          </w:p>
        </w:tc>
      </w:tr>
      <w:tr w:rsidR="00AD3606" w:rsidRPr="005E3959" w14:paraId="58A84C4A" w14:textId="77777777" w:rsidTr="00AD3606">
        <w:trPr>
          <w:cantSplit/>
          <w:trHeight w:val="23"/>
        </w:trPr>
        <w:tc>
          <w:tcPr>
            <w:tcW w:w="3969" w:type="dxa"/>
            <w:vMerge/>
          </w:tcPr>
          <w:p w14:paraId="77CEDDAA" w14:textId="77777777" w:rsidR="00AD3606" w:rsidRPr="005E3959" w:rsidRDefault="00AD3606" w:rsidP="00AD3606">
            <w:pPr>
              <w:tabs>
                <w:tab w:val="left" w:pos="851"/>
              </w:tabs>
              <w:spacing w:line="240" w:lineRule="atLeast"/>
              <w:rPr>
                <w:b/>
              </w:rPr>
            </w:pPr>
            <w:bookmarkStart w:id="7" w:name="dorlang" w:colFirst="1" w:colLast="1"/>
            <w:bookmarkEnd w:id="6"/>
          </w:p>
        </w:tc>
        <w:tc>
          <w:tcPr>
            <w:tcW w:w="5245" w:type="dxa"/>
          </w:tcPr>
          <w:p w14:paraId="561AAE94" w14:textId="567F29F0" w:rsidR="00AD3606" w:rsidRPr="005E3959" w:rsidRDefault="00E01B6A" w:rsidP="00AD3606">
            <w:pPr>
              <w:tabs>
                <w:tab w:val="left" w:pos="851"/>
              </w:tabs>
              <w:spacing w:before="0" w:line="240" w:lineRule="atLeast"/>
              <w:jc w:val="right"/>
              <w:rPr>
                <w:b/>
              </w:rPr>
            </w:pPr>
            <w:r w:rsidRPr="005E3959">
              <w:rPr>
                <w:b/>
              </w:rPr>
              <w:t>English only</w:t>
            </w:r>
          </w:p>
        </w:tc>
      </w:tr>
      <w:tr w:rsidR="00472BAD" w:rsidRPr="005E3959" w14:paraId="12C5EF5F" w14:textId="77777777" w:rsidTr="00AD3606">
        <w:trPr>
          <w:cantSplit/>
          <w:trHeight w:val="23"/>
        </w:trPr>
        <w:tc>
          <w:tcPr>
            <w:tcW w:w="3969" w:type="dxa"/>
          </w:tcPr>
          <w:p w14:paraId="4B839BA2" w14:textId="77777777" w:rsidR="00472BAD" w:rsidRPr="005E3959" w:rsidRDefault="00472BAD" w:rsidP="00AD3606">
            <w:pPr>
              <w:tabs>
                <w:tab w:val="left" w:pos="851"/>
              </w:tabs>
              <w:spacing w:line="240" w:lineRule="atLeast"/>
              <w:rPr>
                <w:b/>
              </w:rPr>
            </w:pPr>
          </w:p>
        </w:tc>
        <w:tc>
          <w:tcPr>
            <w:tcW w:w="5245" w:type="dxa"/>
          </w:tcPr>
          <w:p w14:paraId="12F66D25" w14:textId="77777777" w:rsidR="00472BAD" w:rsidRPr="005E3959" w:rsidRDefault="00472BAD" w:rsidP="00AD3606">
            <w:pPr>
              <w:tabs>
                <w:tab w:val="left" w:pos="851"/>
              </w:tabs>
              <w:spacing w:before="0" w:line="240" w:lineRule="atLeast"/>
              <w:jc w:val="right"/>
              <w:rPr>
                <w:b/>
              </w:rPr>
            </w:pPr>
          </w:p>
        </w:tc>
      </w:tr>
      <w:tr w:rsidR="00AD3606" w:rsidRPr="005E3959" w14:paraId="27000B2A" w14:textId="77777777" w:rsidTr="00AD3606">
        <w:trPr>
          <w:cantSplit/>
        </w:trPr>
        <w:tc>
          <w:tcPr>
            <w:tcW w:w="9214" w:type="dxa"/>
            <w:gridSpan w:val="2"/>
            <w:tcMar>
              <w:left w:w="0" w:type="dxa"/>
            </w:tcMar>
          </w:tcPr>
          <w:p w14:paraId="4E7CDB90" w14:textId="7E854255" w:rsidR="00AD3606" w:rsidRPr="005E3959" w:rsidRDefault="005E3959" w:rsidP="009D024E">
            <w:pPr>
              <w:pStyle w:val="Source"/>
              <w:framePr w:hSpace="0" w:wrap="auto" w:vAnchor="margin" w:hAnchor="text" w:xAlign="left" w:yAlign="inline"/>
            </w:pPr>
            <w:bookmarkStart w:id="8" w:name="dsource" w:colFirst="0" w:colLast="0"/>
            <w:bookmarkEnd w:id="7"/>
            <w:r w:rsidRPr="009D024E">
              <w:t xml:space="preserve">Contribution </w:t>
            </w:r>
            <w:r>
              <w:t>by</w:t>
            </w:r>
            <w:r w:rsidRPr="00842B11">
              <w:t xml:space="preserve"> </w:t>
            </w:r>
            <w:r>
              <w:t>the Arab Republic of Egypt</w:t>
            </w:r>
          </w:p>
        </w:tc>
      </w:tr>
      <w:tr w:rsidR="00AD3606" w:rsidRPr="005E3959" w14:paraId="2340750D" w14:textId="77777777" w:rsidTr="00AD3606">
        <w:trPr>
          <w:cantSplit/>
        </w:trPr>
        <w:tc>
          <w:tcPr>
            <w:tcW w:w="9214" w:type="dxa"/>
            <w:gridSpan w:val="2"/>
            <w:tcMar>
              <w:left w:w="0" w:type="dxa"/>
            </w:tcMar>
          </w:tcPr>
          <w:p w14:paraId="47B91AA8" w14:textId="13081DD5" w:rsidR="00AD3606" w:rsidRPr="005E3959" w:rsidRDefault="005E3959" w:rsidP="009D024E">
            <w:pPr>
              <w:pStyle w:val="Subtitle"/>
              <w:framePr w:hSpace="0" w:wrap="auto" w:xAlign="left" w:yAlign="inline"/>
            </w:pPr>
            <w:bookmarkStart w:id="9" w:name="dtitle1" w:colFirst="0" w:colLast="0"/>
            <w:bookmarkEnd w:id="8"/>
            <w:proofErr w:type="spellStart"/>
            <w:r>
              <w:t>ITRs</w:t>
            </w:r>
            <w:proofErr w:type="spellEnd"/>
            <w:r>
              <w:t xml:space="preserve"> PROVISIONS THAT ADDRESS OPERATING AGENCIES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55A65C52" w:rsidR="004D648B" w:rsidRPr="005E3959" w:rsidRDefault="004D648B" w:rsidP="004D648B">
            <w:pPr>
              <w:spacing w:before="160"/>
              <w:rPr>
                <w:b/>
                <w:bCs/>
                <w:sz w:val="26"/>
                <w:szCs w:val="26"/>
              </w:rPr>
            </w:pPr>
            <w:r w:rsidRPr="005E3959">
              <w:rPr>
                <w:b/>
                <w:bCs/>
                <w:sz w:val="26"/>
                <w:szCs w:val="26"/>
              </w:rPr>
              <w:t>Purpose</w:t>
            </w:r>
          </w:p>
          <w:p w14:paraId="7842249B" w14:textId="77777777" w:rsidR="005E3959" w:rsidRPr="009D024E" w:rsidRDefault="005E3959" w:rsidP="005E3959">
            <w:pPr>
              <w:spacing w:before="160"/>
              <w:rPr>
                <w:szCs w:val="24"/>
              </w:rPr>
            </w:pPr>
            <w:r w:rsidRPr="00213C0F">
              <w:rPr>
                <w:szCs w:val="24"/>
              </w:rPr>
              <w:t>To identify the provisions addressing operating agencies with the objective of considering potential amendments.</w:t>
            </w:r>
          </w:p>
          <w:p w14:paraId="16727A07" w14:textId="77777777" w:rsidR="004D648B" w:rsidRPr="005E3959" w:rsidRDefault="004D648B" w:rsidP="004D648B">
            <w:pPr>
              <w:spacing w:before="160"/>
              <w:rPr>
                <w:b/>
                <w:bCs/>
                <w:sz w:val="26"/>
                <w:szCs w:val="26"/>
              </w:rPr>
            </w:pPr>
            <w:r w:rsidRPr="005E3959">
              <w:rPr>
                <w:b/>
                <w:bCs/>
                <w:sz w:val="26"/>
                <w:szCs w:val="26"/>
              </w:rPr>
              <w:t>Action required</w:t>
            </w:r>
          </w:p>
          <w:p w14:paraId="40C01AB6" w14:textId="30802EE8" w:rsidR="004D648B" w:rsidRPr="005E3959" w:rsidRDefault="005E3959" w:rsidP="004D648B">
            <w:pPr>
              <w:spacing w:before="160"/>
              <w:rPr>
                <w:b/>
                <w:bCs/>
                <w:szCs w:val="24"/>
              </w:rPr>
            </w:pPr>
            <w:r w:rsidRPr="00F7413F">
              <w:t xml:space="preserve">The Expert Group on the International Telecommunication Regulations is invited to </w:t>
            </w:r>
            <w:r w:rsidRPr="005E3959">
              <w:rPr>
                <w:b/>
                <w:bCs/>
              </w:rPr>
              <w:t>consider</w:t>
            </w:r>
            <w:r>
              <w:rPr>
                <w:b/>
                <w:bCs/>
              </w:rPr>
              <w:t xml:space="preserve"> </w:t>
            </w:r>
            <w:r w:rsidRPr="00F7413F">
              <w:t>this document.</w:t>
            </w:r>
          </w:p>
          <w:p w14:paraId="2F24A0C8" w14:textId="77777777" w:rsidR="004D648B" w:rsidRPr="005E3959" w:rsidRDefault="004D648B" w:rsidP="004D648B">
            <w:pPr>
              <w:spacing w:before="160"/>
              <w:rPr>
                <w:sz w:val="26"/>
                <w:szCs w:val="26"/>
              </w:rPr>
            </w:pPr>
            <w:r w:rsidRPr="005E3959">
              <w:rPr>
                <w:sz w:val="26"/>
                <w:szCs w:val="26"/>
              </w:rPr>
              <w:t>____________________________________</w:t>
            </w:r>
          </w:p>
          <w:p w14:paraId="00DEE14C" w14:textId="234BD5CB" w:rsidR="00AD3606" w:rsidRPr="005E3959" w:rsidRDefault="004D648B" w:rsidP="004D648B">
            <w:pPr>
              <w:spacing w:before="160"/>
              <w:rPr>
                <w:b/>
                <w:bCs/>
                <w:sz w:val="26"/>
                <w:szCs w:val="26"/>
              </w:rPr>
            </w:pPr>
            <w:r w:rsidRPr="005E3959">
              <w:rPr>
                <w:b/>
                <w:bCs/>
                <w:sz w:val="26"/>
                <w:szCs w:val="26"/>
              </w:rPr>
              <w:t>References</w:t>
            </w:r>
          </w:p>
          <w:p w14:paraId="0175CD6C" w14:textId="5159AA38" w:rsidR="00AD3606" w:rsidRPr="00F7413F" w:rsidRDefault="001D07A2" w:rsidP="00C01DD2">
            <w:pPr>
              <w:spacing w:after="160"/>
              <w:rPr>
                <w:i/>
                <w:iCs/>
                <w:sz w:val="22"/>
                <w:szCs w:val="22"/>
              </w:rPr>
            </w:pPr>
            <w:hyperlink r:id="rId11" w:history="1">
              <w:proofErr w:type="spellStart"/>
              <w:r w:rsidR="00CD1CF0" w:rsidRPr="005E3959">
                <w:rPr>
                  <w:rStyle w:val="Hyperlink"/>
                  <w:i/>
                  <w:iCs/>
                  <w:sz w:val="22"/>
                  <w:szCs w:val="22"/>
                </w:rPr>
                <w:t>EG-ITRs</w:t>
              </w:r>
              <w:proofErr w:type="spellEnd"/>
              <w:r w:rsidR="00CD1CF0" w:rsidRPr="005E3959">
                <w:rPr>
                  <w:rStyle w:val="Hyperlink"/>
                  <w:i/>
                  <w:iCs/>
                  <w:sz w:val="22"/>
                  <w:szCs w:val="22"/>
                </w:rPr>
                <w:t xml:space="preserve"> webpage</w:t>
              </w:r>
            </w:hyperlink>
            <w:r w:rsidR="00CD1CF0" w:rsidRPr="005E3959">
              <w:rPr>
                <w:i/>
                <w:iCs/>
                <w:sz w:val="22"/>
                <w:szCs w:val="22"/>
              </w:rPr>
              <w:t xml:space="preserve">; </w:t>
            </w:r>
            <w:r w:rsidR="00C01DD2">
              <w:rPr>
                <w:i/>
                <w:iCs/>
                <w:sz w:val="22"/>
                <w:szCs w:val="22"/>
              </w:rPr>
              <w:t xml:space="preserve">Document </w:t>
            </w:r>
            <w:hyperlink r:id="rId12" w:history="1">
              <w:proofErr w:type="spellStart"/>
              <w:r w:rsidR="00C01DD2" w:rsidRPr="00C01DD2">
                <w:rPr>
                  <w:rStyle w:val="Hyperlink"/>
                  <w:i/>
                  <w:iCs/>
                  <w:sz w:val="22"/>
                  <w:szCs w:val="22"/>
                </w:rPr>
                <w:t>EG</w:t>
              </w:r>
              <w:proofErr w:type="spellEnd"/>
              <w:r w:rsidR="00C01DD2" w:rsidRPr="00C01DD2">
                <w:rPr>
                  <w:rStyle w:val="Hyperlink"/>
                  <w:i/>
                  <w:iCs/>
                  <w:sz w:val="22"/>
                  <w:szCs w:val="22"/>
                </w:rPr>
                <w:t>-</w:t>
              </w:r>
              <w:proofErr w:type="spellStart"/>
              <w:r w:rsidR="00C01DD2" w:rsidRPr="00C01DD2">
                <w:rPr>
                  <w:rStyle w:val="Hyperlink"/>
                  <w:i/>
                  <w:iCs/>
                  <w:sz w:val="22"/>
                  <w:szCs w:val="22"/>
                </w:rPr>
                <w:t>ITRs</w:t>
              </w:r>
              <w:proofErr w:type="spellEnd"/>
              <w:r w:rsidR="00C01DD2" w:rsidRPr="00C01DD2">
                <w:rPr>
                  <w:rStyle w:val="Hyperlink"/>
                  <w:i/>
                  <w:iCs/>
                  <w:sz w:val="22"/>
                  <w:szCs w:val="22"/>
                </w:rPr>
                <w:t>-6/6</w:t>
              </w:r>
            </w:hyperlink>
            <w:r w:rsidR="00C01DD2">
              <w:rPr>
                <w:i/>
                <w:iCs/>
                <w:sz w:val="22"/>
                <w:szCs w:val="22"/>
              </w:rPr>
              <w:t xml:space="preserve"> (202</w:t>
            </w:r>
            <w:r w:rsidR="00C01DD2" w:rsidRPr="00C01DD2">
              <w:rPr>
                <w:i/>
                <w:iCs/>
                <w:sz w:val="22"/>
                <w:szCs w:val="22"/>
              </w:rPr>
              <w:t>2</w:t>
            </w:r>
            <w:r w:rsidR="00C01DD2">
              <w:rPr>
                <w:i/>
                <w:iCs/>
                <w:sz w:val="22"/>
                <w:szCs w:val="22"/>
              </w:rPr>
              <w:t xml:space="preserve">); </w:t>
            </w:r>
            <w:r w:rsidR="00C01DD2" w:rsidRPr="00C01DD2">
              <w:rPr>
                <w:i/>
                <w:iCs/>
                <w:sz w:val="22"/>
                <w:szCs w:val="22"/>
              </w:rPr>
              <w:t xml:space="preserve">2012 </w:t>
            </w:r>
            <w:proofErr w:type="spellStart"/>
            <w:r w:rsidR="00C01DD2" w:rsidRPr="00C01DD2">
              <w:rPr>
                <w:i/>
                <w:iCs/>
                <w:sz w:val="22"/>
                <w:szCs w:val="22"/>
              </w:rPr>
              <w:t>ITRs</w:t>
            </w:r>
            <w:proofErr w:type="spellEnd"/>
            <w:r w:rsidR="00C01DD2" w:rsidRPr="00C01DD2">
              <w:rPr>
                <w:i/>
                <w:iCs/>
                <w:sz w:val="22"/>
                <w:szCs w:val="22"/>
              </w:rPr>
              <w:t xml:space="preserve"> </w:t>
            </w:r>
            <w:hyperlink r:id="rId13" w:history="1">
              <w:r w:rsidR="00C01DD2" w:rsidRPr="006A53A8">
                <w:rPr>
                  <w:rStyle w:val="Hyperlink"/>
                  <w:i/>
                  <w:iCs/>
                  <w:sz w:val="22"/>
                  <w:szCs w:val="22"/>
                </w:rPr>
                <w:t>https://</w:t>
              </w:r>
              <w:proofErr w:type="spellStart"/>
              <w:r w:rsidR="00C01DD2" w:rsidRPr="006A53A8">
                <w:rPr>
                  <w:rStyle w:val="Hyperlink"/>
                  <w:i/>
                  <w:iCs/>
                  <w:sz w:val="22"/>
                  <w:szCs w:val="22"/>
                </w:rPr>
                <w:t>ww</w:t>
              </w:r>
              <w:r w:rsidR="00C01DD2" w:rsidRPr="006A53A8">
                <w:rPr>
                  <w:rStyle w:val="Hyperlink"/>
                  <w:i/>
                  <w:iCs/>
                  <w:sz w:val="22"/>
                  <w:szCs w:val="22"/>
                </w:rPr>
                <w:t>w</w:t>
              </w:r>
              <w:r w:rsidR="00C01DD2" w:rsidRPr="006A53A8">
                <w:rPr>
                  <w:rStyle w:val="Hyperlink"/>
                  <w:i/>
                  <w:iCs/>
                  <w:sz w:val="22"/>
                  <w:szCs w:val="22"/>
                </w:rPr>
                <w:t>.itu.int</w:t>
              </w:r>
              <w:proofErr w:type="spellEnd"/>
              <w:r w:rsidR="00C01DD2" w:rsidRPr="006A53A8">
                <w:rPr>
                  <w:rStyle w:val="Hyperlink"/>
                  <w:i/>
                  <w:iCs/>
                  <w:sz w:val="22"/>
                  <w:szCs w:val="22"/>
                </w:rPr>
                <w:t>/en/</w:t>
              </w:r>
              <w:proofErr w:type="spellStart"/>
              <w:r w:rsidR="00C01DD2" w:rsidRPr="006A53A8">
                <w:rPr>
                  <w:rStyle w:val="Hyperlink"/>
                  <w:i/>
                  <w:iCs/>
                  <w:sz w:val="22"/>
                  <w:szCs w:val="22"/>
                </w:rPr>
                <w:t>wcit</w:t>
              </w:r>
              <w:proofErr w:type="spellEnd"/>
              <w:r w:rsidR="00C01DD2" w:rsidRPr="006A53A8">
                <w:rPr>
                  <w:rStyle w:val="Hyperlink"/>
                  <w:i/>
                  <w:iCs/>
                  <w:sz w:val="22"/>
                  <w:szCs w:val="22"/>
                </w:rPr>
                <w:t>-12/Documents/final-acts-</w:t>
              </w:r>
              <w:proofErr w:type="spellStart"/>
              <w:r w:rsidR="00C01DD2" w:rsidRPr="006A53A8">
                <w:rPr>
                  <w:rStyle w:val="Hyperlink"/>
                  <w:i/>
                  <w:iCs/>
                  <w:sz w:val="22"/>
                  <w:szCs w:val="22"/>
                </w:rPr>
                <w:t>wcit</w:t>
              </w:r>
              <w:proofErr w:type="spellEnd"/>
              <w:r w:rsidR="00C01DD2" w:rsidRPr="006A53A8">
                <w:rPr>
                  <w:rStyle w:val="Hyperlink"/>
                  <w:i/>
                  <w:iCs/>
                  <w:sz w:val="22"/>
                  <w:szCs w:val="22"/>
                </w:rPr>
                <w:t>-</w:t>
              </w:r>
              <w:proofErr w:type="spellStart"/>
              <w:r w:rsidR="00C01DD2" w:rsidRPr="006A53A8">
                <w:rPr>
                  <w:rStyle w:val="Hyperlink"/>
                  <w:i/>
                  <w:iCs/>
                  <w:sz w:val="22"/>
                  <w:szCs w:val="22"/>
                </w:rPr>
                <w:t>12.pdf</w:t>
              </w:r>
              <w:proofErr w:type="spellEnd"/>
            </w:hyperlink>
            <w:r w:rsidR="00C01DD2">
              <w:rPr>
                <w:i/>
                <w:iCs/>
                <w:sz w:val="22"/>
                <w:szCs w:val="22"/>
              </w:rPr>
              <w:t xml:space="preserve"> </w:t>
            </w:r>
          </w:p>
        </w:tc>
      </w:tr>
    </w:tbl>
    <w:p w14:paraId="4CDB8B60" w14:textId="77777777" w:rsidR="00E227F3" w:rsidRPr="005E3959"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5E3959"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5E3959">
        <w:br w:type="page"/>
      </w:r>
    </w:p>
    <w:bookmarkEnd w:id="5"/>
    <w:bookmarkEnd w:id="10"/>
    <w:p w14:paraId="686BCA93" w14:textId="042068F6" w:rsidR="0052150B" w:rsidRPr="004F7FEA" w:rsidRDefault="0052150B" w:rsidP="0052150B">
      <w:pPr>
        <w:pStyle w:val="Headingb"/>
        <w:rPr>
          <w:lang w:val="es-ES"/>
        </w:rPr>
      </w:pPr>
      <w:proofErr w:type="spellStart"/>
      <w:r>
        <w:rPr>
          <w:lang w:val="es-ES"/>
        </w:rPr>
        <w:lastRenderedPageBreak/>
        <w:t>Summary</w:t>
      </w:r>
      <w:proofErr w:type="spellEnd"/>
    </w:p>
    <w:p w14:paraId="0A475228" w14:textId="77777777" w:rsidR="0052150B" w:rsidRPr="004F7FEA" w:rsidRDefault="0052150B" w:rsidP="0052150B">
      <w:pPr>
        <w:jc w:val="both"/>
        <w:rPr>
          <w:rFonts w:eastAsiaTheme="minorHAnsi"/>
        </w:rPr>
      </w:pPr>
      <w:r>
        <w:rPr>
          <w:rFonts w:eastAsiaTheme="minorHAnsi"/>
        </w:rPr>
        <w:t xml:space="preserve">Egypt is of the view that </w:t>
      </w:r>
      <w:r w:rsidRPr="004F7FEA">
        <w:rPr>
          <w:rFonts w:eastAsiaTheme="minorHAnsi"/>
        </w:rPr>
        <w:t>the International Telecommunication Regulations (</w:t>
      </w:r>
      <w:proofErr w:type="spellStart"/>
      <w:r w:rsidRPr="004F7FEA">
        <w:rPr>
          <w:rFonts w:eastAsiaTheme="minorHAnsi"/>
        </w:rPr>
        <w:t>ITRs</w:t>
      </w:r>
      <w:proofErr w:type="spellEnd"/>
      <w:r w:rsidRPr="004F7FEA">
        <w:rPr>
          <w:rFonts w:eastAsiaTheme="minorHAnsi"/>
        </w:rPr>
        <w:t xml:space="preserve">) should focus on Member States rather than directly addressing operating agencies. Member States would ensure that operators comply with </w:t>
      </w:r>
      <w:proofErr w:type="spellStart"/>
      <w:r w:rsidRPr="004F7FEA">
        <w:rPr>
          <w:rFonts w:eastAsiaTheme="minorHAnsi"/>
        </w:rPr>
        <w:t>ITR</w:t>
      </w:r>
      <w:proofErr w:type="spellEnd"/>
      <w:r w:rsidRPr="004F7FEA">
        <w:rPr>
          <w:rFonts w:eastAsiaTheme="minorHAnsi"/>
        </w:rPr>
        <w:t xml:space="preserve"> provisions through their national regulations. </w:t>
      </w:r>
    </w:p>
    <w:p w14:paraId="6D277975" w14:textId="77777777" w:rsidR="0052150B" w:rsidRPr="004F7FEA" w:rsidRDefault="0052150B" w:rsidP="0052150B">
      <w:pPr>
        <w:jc w:val="both"/>
        <w:rPr>
          <w:rFonts w:eastAsiaTheme="minorHAnsi"/>
        </w:rPr>
      </w:pPr>
      <w:r w:rsidRPr="004F7FEA">
        <w:rPr>
          <w:rFonts w:eastAsiaTheme="minorHAnsi"/>
        </w:rPr>
        <w:t xml:space="preserve">Several articles in the </w:t>
      </w:r>
      <w:proofErr w:type="spellStart"/>
      <w:r w:rsidRPr="004F7FEA">
        <w:rPr>
          <w:rFonts w:eastAsiaTheme="minorHAnsi"/>
        </w:rPr>
        <w:t>ITRs</w:t>
      </w:r>
      <w:proofErr w:type="spellEnd"/>
      <w:r w:rsidRPr="004F7FEA">
        <w:rPr>
          <w:rFonts w:eastAsiaTheme="minorHAnsi"/>
        </w:rPr>
        <w:t xml:space="preserve"> need revision to reflect this approach. </w:t>
      </w:r>
    </w:p>
    <w:p w14:paraId="1E6B6ECC" w14:textId="77777777" w:rsidR="0052150B" w:rsidRDefault="0052150B" w:rsidP="0052150B">
      <w:pPr>
        <w:jc w:val="both"/>
        <w:rPr>
          <w:rFonts w:eastAsiaTheme="minorHAnsi"/>
        </w:rPr>
      </w:pPr>
      <w:r w:rsidRPr="004F7FEA">
        <w:rPr>
          <w:rFonts w:eastAsiaTheme="minorHAnsi"/>
        </w:rPr>
        <w:t>The document suggests shifting th</w:t>
      </w:r>
      <w:r>
        <w:rPr>
          <w:rFonts w:eastAsiaTheme="minorHAnsi"/>
        </w:rPr>
        <w:t>e</w:t>
      </w:r>
      <w:r w:rsidRPr="004F7FEA">
        <w:rPr>
          <w:rFonts w:eastAsiaTheme="minorHAnsi"/>
        </w:rPr>
        <w:t xml:space="preserve"> focus to Member States, which would manage these processes through regulation rather than having </w:t>
      </w:r>
      <w:r>
        <w:rPr>
          <w:rFonts w:eastAsiaTheme="minorHAnsi"/>
        </w:rPr>
        <w:t xml:space="preserve">operating </w:t>
      </w:r>
      <w:r w:rsidRPr="004F7FEA">
        <w:rPr>
          <w:rFonts w:eastAsiaTheme="minorHAnsi"/>
        </w:rPr>
        <w:t>agencies directly negotiate terms. While Member States are mentioned in some sections, many provisions are still d</w:t>
      </w:r>
      <w:r>
        <w:rPr>
          <w:rFonts w:eastAsiaTheme="minorHAnsi"/>
        </w:rPr>
        <w:t>irected at operating agencies.</w:t>
      </w:r>
    </w:p>
    <w:p w14:paraId="1A86542A" w14:textId="77777777" w:rsidR="0052150B" w:rsidRPr="004F7FEA" w:rsidRDefault="0052150B" w:rsidP="0052150B">
      <w:pPr>
        <w:jc w:val="both"/>
        <w:rPr>
          <w:rFonts w:eastAsiaTheme="minorHAnsi"/>
        </w:rPr>
      </w:pPr>
      <w:r w:rsidRPr="004F7FEA">
        <w:rPr>
          <w:rFonts w:eastAsiaTheme="minorHAnsi"/>
        </w:rPr>
        <w:t>This shift is proposed to better align with the current ecosystem, with Member States playing a more central regulatory role.</w:t>
      </w:r>
    </w:p>
    <w:p w14:paraId="2E5790BF" w14:textId="3779E79D" w:rsidR="0052150B" w:rsidRPr="0052150B" w:rsidRDefault="0052150B" w:rsidP="0052150B">
      <w:pPr>
        <w:pStyle w:val="Headingb"/>
      </w:pPr>
      <w:r w:rsidRPr="0052150B">
        <w:t>Proposal</w:t>
      </w:r>
    </w:p>
    <w:p w14:paraId="17C2580A" w14:textId="1D30A8AF" w:rsidR="0052150B" w:rsidRDefault="0052150B" w:rsidP="0052150B">
      <w:pPr>
        <w:jc w:val="both"/>
      </w:pPr>
      <w:r>
        <w:t>According to the contribution by Egypt and Kuwait</w:t>
      </w:r>
      <w:r w:rsidRPr="00304C58">
        <w:t xml:space="preserve"> </w:t>
      </w:r>
      <w:r>
        <w:t>d</w:t>
      </w:r>
      <w:r w:rsidRPr="00304C58">
        <w:t>ocument</w:t>
      </w:r>
      <w:r>
        <w:t xml:space="preserve"> (Document</w:t>
      </w:r>
      <w:r w:rsidRPr="00304C58">
        <w:t xml:space="preserve"> </w:t>
      </w:r>
      <w:hyperlink r:id="rId14" w:history="1">
        <w:proofErr w:type="spellStart"/>
        <w:r w:rsidRPr="00164789">
          <w:rPr>
            <w:rStyle w:val="Hyperlink"/>
          </w:rPr>
          <w:t>EG</w:t>
        </w:r>
        <w:proofErr w:type="spellEnd"/>
        <w:r w:rsidRPr="00164789">
          <w:rPr>
            <w:rStyle w:val="Hyperlink"/>
          </w:rPr>
          <w:t>-</w:t>
        </w:r>
        <w:proofErr w:type="spellStart"/>
        <w:r w:rsidRPr="00164789">
          <w:rPr>
            <w:rStyle w:val="Hyperlink"/>
          </w:rPr>
          <w:t>ITRs</w:t>
        </w:r>
        <w:proofErr w:type="spellEnd"/>
        <w:r w:rsidRPr="00164789">
          <w:rPr>
            <w:rStyle w:val="Hyperlink"/>
          </w:rPr>
          <w:t>-6/6</w:t>
        </w:r>
      </w:hyperlink>
      <w:r>
        <w:t>),</w:t>
      </w:r>
      <w:r w:rsidRPr="00304C58">
        <w:t xml:space="preserve"> presented </w:t>
      </w:r>
      <w:r>
        <w:t>during</w:t>
      </w:r>
      <w:r w:rsidRPr="00304C58">
        <w:t xml:space="preserve"> the </w:t>
      </w:r>
      <w:r w:rsidRPr="00304C58">
        <w:t xml:space="preserve">sixth </w:t>
      </w:r>
      <w:r w:rsidRPr="00304C58">
        <w:t xml:space="preserve">meeting of the </w:t>
      </w:r>
      <w:proofErr w:type="spellStart"/>
      <w:r w:rsidRPr="00304C58">
        <w:t>EG-ITRs</w:t>
      </w:r>
      <w:proofErr w:type="spellEnd"/>
      <w:r w:rsidRPr="00304C58">
        <w:t xml:space="preserve"> held on 17</w:t>
      </w:r>
      <w:r>
        <w:t xml:space="preserve"> </w:t>
      </w:r>
      <w:r w:rsidRPr="00304C58">
        <w:t>and 18 January 2022,</w:t>
      </w:r>
      <w:r>
        <w:rPr>
          <w:rFonts w:cstheme="minorHAnsi"/>
          <w:b/>
          <w:spacing w:val="-2"/>
          <w:szCs w:val="24"/>
        </w:rPr>
        <w:t xml:space="preserve"> </w:t>
      </w:r>
      <w:r>
        <w:t xml:space="preserve">it was suggested that the scope of the </w:t>
      </w:r>
      <w:proofErr w:type="spellStart"/>
      <w:r>
        <w:t>ITRs</w:t>
      </w:r>
      <w:proofErr w:type="spellEnd"/>
      <w:r>
        <w:t xml:space="preserve"> should focus solely on Member States, </w:t>
      </w:r>
      <w:r w:rsidRPr="00304C58">
        <w:t>rather than directly addressing</w:t>
      </w:r>
      <w:r>
        <w:t xml:space="preserve"> operating agencies. Member States, through their national regulations and policies, </w:t>
      </w:r>
      <w:r w:rsidRPr="00304C58">
        <w:t xml:space="preserve">would then be responsible for ensuring </w:t>
      </w:r>
      <w:r>
        <w:t xml:space="preserve">that operators apply the provisions and directions of the </w:t>
      </w:r>
      <w:proofErr w:type="spellStart"/>
      <w:r>
        <w:t>ITRs</w:t>
      </w:r>
      <w:proofErr w:type="spellEnd"/>
      <w:r>
        <w:t xml:space="preserve">. And this was also illustrated in contribution 12 to the second meeting of </w:t>
      </w:r>
      <w:proofErr w:type="spellStart"/>
      <w:r>
        <w:t>EG-ITRs</w:t>
      </w:r>
      <w:proofErr w:type="spellEnd"/>
      <w:r>
        <w:t xml:space="preserve">. </w:t>
      </w:r>
    </w:p>
    <w:p w14:paraId="15B83F31" w14:textId="77777777" w:rsidR="0052150B" w:rsidRDefault="0052150B" w:rsidP="0052150B">
      <w:pPr>
        <w:jc w:val="both"/>
      </w:pPr>
      <w:r>
        <w:t>The below articles need to address Member states rather than operating agencies in order to reflect the current ecosystem.</w:t>
      </w:r>
    </w:p>
    <w:p w14:paraId="02DCEC8F" w14:textId="59D03899" w:rsidR="0052150B" w:rsidRPr="00FA2B5D" w:rsidRDefault="00F9789B" w:rsidP="00F9789B">
      <w:pPr>
        <w:pStyle w:val="Heading1"/>
      </w:pPr>
      <w:r>
        <w:tab/>
      </w:r>
      <w:r w:rsidR="0052150B">
        <w:t>Article 1</w:t>
      </w:r>
      <w:r w:rsidR="0052150B" w:rsidRPr="00FA2B5D">
        <w:t xml:space="preserve"> (Purpose and scope of the Regulations)</w:t>
      </w:r>
    </w:p>
    <w:p w14:paraId="706BE97C" w14:textId="07B54A41" w:rsidR="0052150B" w:rsidRDefault="00F9789B" w:rsidP="001D07A2">
      <w:pPr>
        <w:pStyle w:val="enumlev2"/>
        <w:jc w:val="both"/>
      </w:pPr>
      <w:r>
        <w:rPr>
          <w:rFonts w:ascii="Symbol" w:eastAsiaTheme="minorHAnsi" w:hAnsi="Symbol" w:cs="Calibri"/>
          <w:sz w:val="22"/>
          <w:szCs w:val="22"/>
          <w:lang w:val="en-US"/>
        </w:rPr>
        <w:t></w:t>
      </w:r>
      <w:r>
        <w:rPr>
          <w:rFonts w:ascii="Symbol" w:eastAsiaTheme="minorHAnsi" w:hAnsi="Symbol" w:cs="Calibri"/>
          <w:sz w:val="22"/>
          <w:szCs w:val="22"/>
          <w:lang w:val="en-US"/>
        </w:rPr>
        <w:tab/>
      </w:r>
      <w:proofErr w:type="spellStart"/>
      <w:r w:rsidR="0052150B">
        <w:t>a</w:t>
      </w:r>
      <w:r w:rsidR="0052150B" w:rsidRPr="00F9789B">
        <w:rPr>
          <w:i/>
          <w:iCs/>
        </w:rPr>
        <w:t>bis</w:t>
      </w:r>
      <w:proofErr w:type="spellEnd"/>
      <w:r w:rsidR="0052150B" w:rsidRPr="00F9789B">
        <w:rPr>
          <w:i/>
          <w:iCs/>
        </w:rPr>
        <w:t>)</w:t>
      </w:r>
      <w:r w:rsidR="0052150B">
        <w:t xml:space="preserve"> These Regulations also contain provisions applicable to those operating agencies, authorized or recognized by a Member State, to establish, operate and engage in international telecommunications services to the public, hereinafter referred as "authorized operating agencies".</w:t>
      </w:r>
    </w:p>
    <w:p w14:paraId="76E93B73" w14:textId="2A3EB5DB" w:rsidR="0052150B" w:rsidRDefault="00F9789B" w:rsidP="001D07A2">
      <w:pPr>
        <w:pStyle w:val="enumlev2"/>
        <w:jc w:val="both"/>
      </w:pPr>
      <w:r>
        <w:rPr>
          <w:rFonts w:ascii="Symbol" w:eastAsiaTheme="minorHAnsi" w:hAnsi="Symbol" w:cs="Calibri"/>
          <w:sz w:val="22"/>
          <w:szCs w:val="22"/>
          <w:lang w:val="en-US"/>
        </w:rPr>
        <w:t></w:t>
      </w:r>
      <w:r>
        <w:rPr>
          <w:rFonts w:ascii="Symbol" w:eastAsiaTheme="minorHAnsi" w:hAnsi="Symbol" w:cs="Calibri"/>
          <w:sz w:val="22"/>
          <w:szCs w:val="22"/>
          <w:lang w:val="en-US"/>
        </w:rPr>
        <w:tab/>
      </w:r>
      <w:r w:rsidR="0052150B">
        <w:t>1.5</w:t>
      </w:r>
      <w:r>
        <w:tab/>
      </w:r>
      <w:r w:rsidR="0052150B">
        <w:t xml:space="preserve">Within the framework of these Regulations, the provision and operation of international telecommunication services in each relation is pursuant to mutual agreement between authorized operating agencies. </w:t>
      </w:r>
    </w:p>
    <w:p w14:paraId="6C9A8FDA" w14:textId="440955B1" w:rsidR="0052150B" w:rsidRDefault="00F9789B" w:rsidP="001D07A2">
      <w:pPr>
        <w:pStyle w:val="enumlev2"/>
        <w:jc w:val="both"/>
      </w:pPr>
      <w:r>
        <w:rPr>
          <w:rFonts w:ascii="Symbol" w:eastAsiaTheme="minorHAnsi" w:hAnsi="Symbol" w:cs="Calibri"/>
          <w:sz w:val="22"/>
          <w:szCs w:val="22"/>
          <w:lang w:val="en-US"/>
        </w:rPr>
        <w:t></w:t>
      </w:r>
      <w:r>
        <w:rPr>
          <w:rFonts w:ascii="Symbol" w:eastAsiaTheme="minorHAnsi" w:hAnsi="Symbol" w:cs="Calibri"/>
          <w:sz w:val="22"/>
          <w:szCs w:val="22"/>
          <w:lang w:val="en-US"/>
        </w:rPr>
        <w:tab/>
      </w:r>
      <w:r w:rsidR="0052150B">
        <w:t>1.6</w:t>
      </w:r>
      <w:r>
        <w:tab/>
      </w:r>
      <w:r w:rsidR="0052150B">
        <w:t xml:space="preserve">In implementing the principles of these Regulations, authorized operating agencies should comply with, to the greatest extent practicable, the relevant ITU-T Recommendations. </w:t>
      </w:r>
    </w:p>
    <w:p w14:paraId="008D9FC0" w14:textId="77777777" w:rsidR="0052150B" w:rsidRDefault="0052150B" w:rsidP="00F9789B">
      <w:pPr>
        <w:pStyle w:val="Heading1"/>
      </w:pPr>
      <w:r w:rsidRPr="00FA2B5D">
        <w:t>Article 3 (International Network)</w:t>
      </w:r>
    </w:p>
    <w:p w14:paraId="40078ADD" w14:textId="24D52EF5" w:rsidR="0052150B" w:rsidRDefault="00F9789B" w:rsidP="001D07A2">
      <w:pPr>
        <w:pStyle w:val="enumlev2"/>
        <w:jc w:val="both"/>
      </w:pPr>
      <w:r w:rsidRPr="00E277F6">
        <w:rPr>
          <w:rFonts w:ascii="Symbol" w:eastAsiaTheme="minorHAnsi" w:hAnsi="Symbol" w:cs="Calibri"/>
          <w:sz w:val="22"/>
          <w:szCs w:val="22"/>
          <w:lang w:val="en-US"/>
        </w:rPr>
        <w:t></w:t>
      </w:r>
      <w:r w:rsidRPr="00E277F6">
        <w:rPr>
          <w:rFonts w:ascii="Symbol" w:eastAsiaTheme="minorHAnsi" w:hAnsi="Symbol" w:cs="Calibri"/>
          <w:sz w:val="22"/>
          <w:szCs w:val="22"/>
          <w:lang w:val="en-US"/>
        </w:rPr>
        <w:tab/>
      </w:r>
      <w:r w:rsidR="0052150B">
        <w:t>3.3</w:t>
      </w:r>
      <w:r>
        <w:tab/>
      </w:r>
      <w:r w:rsidR="0052150B">
        <w:t>Authorized operating agencies shall determine by mutual agreement, which international routes are to be used. Pending agreement and provided that there is no direct route existing between the terminal authorized operating agencies concerned, the origin authorized operating agency has the choice to determine the routing of its outgoing telecommunication traffic, taking into account the interests of the relevant transit and destination authorized operating agencies.</w:t>
      </w:r>
    </w:p>
    <w:p w14:paraId="7C671C98" w14:textId="2177365C" w:rsidR="0052150B" w:rsidRDefault="00F9789B" w:rsidP="00F9789B">
      <w:pPr>
        <w:pStyle w:val="Heading1"/>
      </w:pPr>
      <w:r>
        <w:lastRenderedPageBreak/>
        <w:tab/>
      </w:r>
      <w:r w:rsidR="0052150B" w:rsidRPr="00FA2B5D">
        <w:t xml:space="preserve">Article </w:t>
      </w:r>
      <w:r w:rsidR="0052150B">
        <w:t>6 (Charging and accounting)</w:t>
      </w:r>
    </w:p>
    <w:p w14:paraId="1AC0EB08" w14:textId="179F53CA" w:rsidR="0052150B" w:rsidRPr="008F104A" w:rsidRDefault="00F9789B" w:rsidP="00F9789B">
      <w:pPr>
        <w:pStyle w:val="Headingb"/>
        <w:rPr>
          <w:bCs/>
        </w:rPr>
      </w:pPr>
      <w:r>
        <w:tab/>
      </w:r>
      <w:r w:rsidR="0052150B" w:rsidRPr="008F104A">
        <w:t xml:space="preserve">Accounting rate principles </w:t>
      </w:r>
    </w:p>
    <w:p w14:paraId="76055676" w14:textId="2C9734C8" w:rsidR="0052150B" w:rsidRPr="00F9789B" w:rsidRDefault="00F9789B" w:rsidP="001D07A2">
      <w:pPr>
        <w:pStyle w:val="enumlev2"/>
        <w:jc w:val="both"/>
        <w:rPr>
          <w:b/>
          <w:bCs/>
        </w:rPr>
      </w:pPr>
      <w:r w:rsidRPr="00D43D1D">
        <w:rPr>
          <w:rFonts w:ascii="Symbol" w:eastAsiaTheme="minorHAnsi" w:hAnsi="Symbol" w:cs="Calibri"/>
          <w:bCs/>
          <w:sz w:val="22"/>
          <w:szCs w:val="22"/>
          <w:lang w:val="en-US"/>
        </w:rPr>
        <w:t></w:t>
      </w:r>
      <w:r w:rsidRPr="00D43D1D">
        <w:rPr>
          <w:rFonts w:ascii="Symbol" w:eastAsiaTheme="minorHAnsi" w:hAnsi="Symbol" w:cs="Calibri"/>
          <w:bCs/>
          <w:sz w:val="22"/>
          <w:szCs w:val="22"/>
          <w:lang w:val="en-US"/>
        </w:rPr>
        <w:tab/>
      </w:r>
      <w:r w:rsidR="0052150B">
        <w:t>6.2.1</w:t>
      </w:r>
      <w:r>
        <w:tab/>
      </w:r>
      <w:r w:rsidR="0052150B">
        <w:t xml:space="preserve">For each applicable service </w:t>
      </w:r>
      <w:proofErr w:type="gramStart"/>
      <w:r w:rsidR="0052150B">
        <w:t>in a given</w:t>
      </w:r>
      <w:proofErr w:type="gramEnd"/>
      <w:r w:rsidR="0052150B">
        <w:t xml:space="preserve"> relation, authorized operating agencies shall, by mutual agreement, establish and revise accounting rates to be applied between them, in accordance with the provisions of Appendix 1 and taking into account the relevant ITU-T Recommendations.</w:t>
      </w:r>
    </w:p>
    <w:p w14:paraId="45D2F4C9" w14:textId="41D9BBA2" w:rsidR="0052150B" w:rsidRPr="00F9789B" w:rsidRDefault="00F9789B" w:rsidP="001D07A2">
      <w:pPr>
        <w:pStyle w:val="enumlev2"/>
        <w:jc w:val="both"/>
        <w:rPr>
          <w:b/>
          <w:bCs/>
        </w:rPr>
      </w:pPr>
      <w:r w:rsidRPr="00D43D1D">
        <w:rPr>
          <w:rFonts w:ascii="Symbol" w:eastAsiaTheme="minorHAnsi" w:hAnsi="Symbol" w:cs="Calibri"/>
          <w:bCs/>
          <w:sz w:val="22"/>
          <w:szCs w:val="22"/>
          <w:lang w:val="en-US"/>
        </w:rPr>
        <w:t></w:t>
      </w:r>
      <w:r w:rsidRPr="00D43D1D">
        <w:rPr>
          <w:rFonts w:ascii="Symbol" w:eastAsiaTheme="minorHAnsi" w:hAnsi="Symbol" w:cs="Calibri"/>
          <w:bCs/>
          <w:sz w:val="22"/>
          <w:szCs w:val="22"/>
          <w:lang w:val="en-US"/>
        </w:rPr>
        <w:tab/>
      </w:r>
      <w:r w:rsidR="0052150B">
        <w:t>6.2.2</w:t>
      </w:r>
      <w:r>
        <w:tab/>
      </w:r>
      <w:r w:rsidR="0052150B">
        <w:t xml:space="preserve">Unless otherwise agreed, parties engaged in the provision of international telecommunication services shall follow the relevant provisions as set out in Appendices 1 and 2. </w:t>
      </w:r>
    </w:p>
    <w:p w14:paraId="4905B00A" w14:textId="70EE3BE9" w:rsidR="0052150B" w:rsidRPr="00F9789B" w:rsidRDefault="00F9789B" w:rsidP="001D07A2">
      <w:pPr>
        <w:pStyle w:val="enumlev2"/>
        <w:jc w:val="both"/>
        <w:rPr>
          <w:b/>
          <w:bCs/>
        </w:rPr>
      </w:pPr>
      <w:r w:rsidRPr="00D43D1D">
        <w:rPr>
          <w:rFonts w:ascii="Symbol" w:eastAsiaTheme="minorHAnsi" w:hAnsi="Symbol" w:cs="Calibri"/>
          <w:bCs/>
          <w:sz w:val="22"/>
          <w:szCs w:val="22"/>
          <w:lang w:val="en-US"/>
        </w:rPr>
        <w:t></w:t>
      </w:r>
      <w:r w:rsidRPr="00D43D1D">
        <w:rPr>
          <w:rFonts w:ascii="Symbol" w:eastAsiaTheme="minorHAnsi" w:hAnsi="Symbol" w:cs="Calibri"/>
          <w:bCs/>
          <w:sz w:val="22"/>
          <w:szCs w:val="22"/>
          <w:lang w:val="en-US"/>
        </w:rPr>
        <w:tab/>
      </w:r>
      <w:r w:rsidR="0052150B">
        <w:t>6.2.3</w:t>
      </w:r>
      <w:r>
        <w:tab/>
      </w:r>
      <w:r w:rsidR="0052150B">
        <w:t xml:space="preserve">In the absence of special arrangements concluded between authorized operating agencies, the monetary unit to be used in the composition of accounting rates for international telecommunication services and in the establishment of international accounts shall be: </w:t>
      </w:r>
    </w:p>
    <w:p w14:paraId="7A3F547C" w14:textId="58F77E57" w:rsidR="0052150B" w:rsidRPr="00F9789B" w:rsidRDefault="00F9789B" w:rsidP="001D07A2">
      <w:pPr>
        <w:pStyle w:val="enumlev3"/>
        <w:jc w:val="both"/>
        <w:rPr>
          <w:b/>
          <w:bCs/>
        </w:rPr>
      </w:pPr>
      <w:r w:rsidRPr="00F9789B">
        <w:rPr>
          <w:rFonts w:ascii="Courier New" w:eastAsiaTheme="minorHAnsi" w:hAnsi="Courier New" w:cs="Courier New"/>
          <w:bCs/>
          <w:sz w:val="22"/>
          <w:szCs w:val="22"/>
          <w:lang w:val="en-US"/>
        </w:rPr>
        <w:t>•</w:t>
      </w:r>
      <w:r w:rsidRPr="00D43D1D">
        <w:rPr>
          <w:rFonts w:ascii="Courier New" w:eastAsiaTheme="minorHAnsi" w:hAnsi="Courier New" w:cs="Courier New"/>
          <w:bCs/>
          <w:sz w:val="22"/>
          <w:szCs w:val="22"/>
          <w:lang w:val="en-US"/>
        </w:rPr>
        <w:tab/>
      </w:r>
      <w:r w:rsidR="0052150B">
        <w:t>either the monetary unit of the International Monetary Fund (IMF), currently the Special Drawing Right (</w:t>
      </w:r>
      <w:proofErr w:type="spellStart"/>
      <w:r w:rsidR="0052150B">
        <w:t>SDR</w:t>
      </w:r>
      <w:proofErr w:type="spellEnd"/>
      <w:r w:rsidR="0052150B">
        <w:t xml:space="preserve">), as defined by that organization; </w:t>
      </w:r>
    </w:p>
    <w:p w14:paraId="0B795FE2" w14:textId="2AFD5DE2" w:rsidR="0052150B" w:rsidRPr="008F104A" w:rsidRDefault="00F9789B" w:rsidP="001D07A2">
      <w:pPr>
        <w:pStyle w:val="enumlev3"/>
        <w:jc w:val="both"/>
        <w:rPr>
          <w:b/>
          <w:bCs/>
        </w:rPr>
      </w:pPr>
      <w:r w:rsidRPr="00F9789B">
        <w:rPr>
          <w:rFonts w:ascii="Courier New" w:eastAsiaTheme="minorHAnsi" w:hAnsi="Courier New" w:cs="Courier New"/>
          <w:bCs/>
          <w:sz w:val="22"/>
          <w:szCs w:val="22"/>
          <w:lang w:val="en-US"/>
        </w:rPr>
        <w:t>•</w:t>
      </w:r>
      <w:r w:rsidRPr="00D43D1D">
        <w:rPr>
          <w:rFonts w:ascii="Courier New" w:eastAsiaTheme="minorHAnsi" w:hAnsi="Courier New" w:cs="Courier New"/>
          <w:bCs/>
          <w:sz w:val="22"/>
          <w:szCs w:val="22"/>
          <w:lang w:val="en-US"/>
        </w:rPr>
        <w:tab/>
      </w:r>
      <w:r w:rsidR="0052150B">
        <w:t>or freely convertible currencies or other monetary unit agreed between the authorized operating agencies</w:t>
      </w:r>
      <w:r>
        <w:t>.</w:t>
      </w:r>
    </w:p>
    <w:p w14:paraId="4A6020A4" w14:textId="77777777" w:rsidR="0052150B" w:rsidRDefault="0052150B" w:rsidP="00F9789B">
      <w:pPr>
        <w:pStyle w:val="Headingb"/>
      </w:pPr>
      <w:r>
        <w:t>C</w:t>
      </w:r>
      <w:r w:rsidRPr="008F104A">
        <w:t xml:space="preserve">ollection charges </w:t>
      </w:r>
    </w:p>
    <w:p w14:paraId="432A9179" w14:textId="0606AC22" w:rsidR="0052150B" w:rsidRPr="008F104A" w:rsidRDefault="00F9789B" w:rsidP="001D07A2">
      <w:pPr>
        <w:pStyle w:val="enumlev2"/>
        <w:jc w:val="both"/>
        <w:rPr>
          <w:b/>
          <w:bCs/>
          <w:u w:val="single"/>
        </w:rPr>
      </w:pPr>
      <w:r w:rsidRPr="002D2927">
        <w:rPr>
          <w:rFonts w:ascii="Symbol" w:eastAsiaTheme="minorHAnsi" w:hAnsi="Symbol" w:cs="Calibri"/>
          <w:bCs/>
          <w:sz w:val="22"/>
          <w:szCs w:val="22"/>
          <w:lang w:val="en-US"/>
        </w:rPr>
        <w:t></w:t>
      </w:r>
      <w:r w:rsidRPr="002D2927">
        <w:rPr>
          <w:rFonts w:ascii="Symbol" w:eastAsiaTheme="minorHAnsi" w:hAnsi="Symbol" w:cs="Calibri"/>
          <w:bCs/>
          <w:sz w:val="22"/>
          <w:szCs w:val="22"/>
          <w:lang w:val="en-US"/>
        </w:rPr>
        <w:tab/>
      </w:r>
      <w:r w:rsidR="0052150B">
        <w:t>6.2.4</w:t>
      </w:r>
      <w:r>
        <w:tab/>
      </w:r>
      <w:r w:rsidR="0052150B">
        <w:t xml:space="preserve">The charges levied on customers for a particular communication should in principle be the same </w:t>
      </w:r>
      <w:proofErr w:type="gramStart"/>
      <w:r w:rsidR="0052150B">
        <w:t>in a given</w:t>
      </w:r>
      <w:proofErr w:type="gramEnd"/>
      <w:r w:rsidR="0052150B">
        <w:t xml:space="preserve"> relation, regardless of the international route used for that communication. In establishing these charges, Member States should try to avoid dissymmetry between the charges applicable in each direction of the same relation.</w:t>
      </w:r>
    </w:p>
    <w:p w14:paraId="531BB323" w14:textId="77777777" w:rsidR="0052150B" w:rsidRDefault="0052150B" w:rsidP="00F9789B">
      <w:pPr>
        <w:pStyle w:val="Headingb"/>
      </w:pPr>
      <w:r w:rsidRPr="008F104A">
        <w:t>Service telecommunications</w:t>
      </w:r>
      <w:r>
        <w:t xml:space="preserve"> </w:t>
      </w:r>
    </w:p>
    <w:p w14:paraId="68B419EF" w14:textId="2A8EA839" w:rsidR="0052150B" w:rsidRDefault="00F9789B" w:rsidP="001D07A2">
      <w:pPr>
        <w:pStyle w:val="enumlev2"/>
        <w:jc w:val="both"/>
      </w:pPr>
      <w:r>
        <w:rPr>
          <w:rFonts w:ascii="Symbol" w:eastAsiaTheme="minorHAnsi" w:hAnsi="Symbol" w:cs="Calibri"/>
          <w:sz w:val="22"/>
          <w:szCs w:val="22"/>
          <w:lang w:val="en-US"/>
        </w:rPr>
        <w:t></w:t>
      </w:r>
      <w:r>
        <w:rPr>
          <w:rFonts w:ascii="Symbol" w:eastAsiaTheme="minorHAnsi" w:hAnsi="Symbol" w:cs="Calibri"/>
          <w:sz w:val="22"/>
          <w:szCs w:val="22"/>
          <w:lang w:val="en-US"/>
        </w:rPr>
        <w:tab/>
      </w:r>
      <w:r w:rsidR="0052150B">
        <w:t>6.4.1</w:t>
      </w:r>
      <w:r>
        <w:tab/>
      </w:r>
      <w:r w:rsidR="0052150B">
        <w:t xml:space="preserve">Authorized operating agencies may in principle forgo the inclusion of service telecommunications in international accounting, under the relevant provisions of the Constitution and the Convention and these Regulations, having due regard for the need for reciprocal arrangements. Authorized operating agencies may provide service telecommunications free of charge. </w:t>
      </w:r>
    </w:p>
    <w:p w14:paraId="08DE2392" w14:textId="35628A1F" w:rsidR="0052150B" w:rsidRDefault="00F9789B" w:rsidP="001D07A2">
      <w:pPr>
        <w:pStyle w:val="enumlev2"/>
        <w:jc w:val="both"/>
      </w:pPr>
      <w:r w:rsidRPr="008F104A">
        <w:rPr>
          <w:rFonts w:ascii="Symbol" w:eastAsiaTheme="minorHAnsi" w:hAnsi="Symbol" w:cs="Calibri"/>
          <w:sz w:val="22"/>
          <w:szCs w:val="22"/>
          <w:lang w:val="en-US"/>
        </w:rPr>
        <w:t></w:t>
      </w:r>
      <w:r w:rsidRPr="008F104A">
        <w:rPr>
          <w:rFonts w:ascii="Symbol" w:eastAsiaTheme="minorHAnsi" w:hAnsi="Symbol" w:cs="Calibri"/>
          <w:sz w:val="22"/>
          <w:szCs w:val="22"/>
          <w:lang w:val="en-US"/>
        </w:rPr>
        <w:tab/>
      </w:r>
      <w:r w:rsidR="0052150B">
        <w:t>6.4.2</w:t>
      </w:r>
      <w:r>
        <w:tab/>
      </w:r>
      <w:r w:rsidR="0052150B">
        <w:t>The general operational, charging and accounting principles applicable to service telecommunications should take account of the relevant ITU-T Recommendations.</w:t>
      </w:r>
    </w:p>
    <w:p w14:paraId="4D074A2A" w14:textId="77777777" w:rsidR="0052150B" w:rsidRDefault="0052150B" w:rsidP="00F9789B">
      <w:pPr>
        <w:pStyle w:val="Heading1"/>
      </w:pPr>
      <w:r w:rsidRPr="00D85628">
        <w:t xml:space="preserve">Appendix 1 </w:t>
      </w:r>
      <w:r w:rsidRPr="000C6524">
        <w:t>(General provisions concerning accounting)</w:t>
      </w:r>
      <w:r>
        <w:t xml:space="preserve"> </w:t>
      </w:r>
    </w:p>
    <w:p w14:paraId="5DD7D97B" w14:textId="35DC3D58" w:rsidR="0052150B" w:rsidRDefault="00F9789B" w:rsidP="001D07A2">
      <w:pPr>
        <w:pStyle w:val="enumlev2"/>
        <w:jc w:val="both"/>
      </w:pPr>
      <w:r>
        <w:rPr>
          <w:rFonts w:ascii="Symbol" w:eastAsiaTheme="minorHAnsi" w:hAnsi="Symbol" w:cs="Calibri"/>
          <w:sz w:val="22"/>
          <w:szCs w:val="22"/>
          <w:lang w:val="en-US"/>
        </w:rPr>
        <w:t></w:t>
      </w:r>
      <w:r>
        <w:rPr>
          <w:rFonts w:ascii="Symbol" w:eastAsiaTheme="minorHAnsi" w:hAnsi="Symbol" w:cs="Calibri"/>
          <w:sz w:val="22"/>
          <w:szCs w:val="22"/>
          <w:lang w:val="en-US"/>
        </w:rPr>
        <w:tab/>
      </w:r>
      <w:r w:rsidR="0052150B" w:rsidRPr="00F9789B">
        <w:rPr>
          <w:b/>
          <w:bCs/>
        </w:rPr>
        <w:t>Direct Communication with Operating Agencies</w:t>
      </w:r>
      <w:r w:rsidR="0052150B">
        <w:t xml:space="preserve">: After the initial reference to Member States in section 1.1, the subsequent sections (1.2 to 1.6) are directly addressing </w:t>
      </w:r>
      <w:r w:rsidR="0052150B" w:rsidRPr="00115C26">
        <w:t>authorized operating agencies.</w:t>
      </w:r>
      <w:r w:rsidR="0052150B">
        <w:t xml:space="preserve"> These sections outline how the agencies should determine and divide accounting rates; handle transit and terminal shares, and other specific situations related to international routes and traffic.</w:t>
      </w:r>
    </w:p>
    <w:p w14:paraId="3CBF3187" w14:textId="27E3E50F" w:rsidR="0052150B" w:rsidRPr="00F9789B" w:rsidRDefault="00F9789B" w:rsidP="001D07A2">
      <w:pPr>
        <w:pStyle w:val="enumlev2"/>
        <w:jc w:val="both"/>
        <w:rPr>
          <w:b/>
          <w:bCs/>
        </w:rPr>
      </w:pPr>
      <w:r w:rsidRPr="00C90B27">
        <w:rPr>
          <w:rFonts w:ascii="Symbol" w:eastAsiaTheme="minorHAnsi" w:hAnsi="Symbol" w:cs="Calibri"/>
          <w:bCs/>
          <w:sz w:val="22"/>
          <w:szCs w:val="22"/>
          <w:lang w:val="en-US"/>
        </w:rPr>
        <w:lastRenderedPageBreak/>
        <w:t></w:t>
      </w:r>
      <w:r w:rsidRPr="00C90B27">
        <w:rPr>
          <w:rFonts w:ascii="Symbol" w:eastAsiaTheme="minorHAnsi" w:hAnsi="Symbol" w:cs="Calibri"/>
          <w:bCs/>
          <w:sz w:val="22"/>
          <w:szCs w:val="22"/>
          <w:lang w:val="en-US"/>
        </w:rPr>
        <w:tab/>
      </w:r>
      <w:r w:rsidR="0052150B" w:rsidRPr="00F9789B">
        <w:rPr>
          <w:b/>
          <w:bCs/>
        </w:rPr>
        <w:t xml:space="preserve">The section on the "Establishment of accounts" </w:t>
      </w:r>
      <w:r w:rsidR="0052150B" w:rsidRPr="00C90B27">
        <w:t>is primarily addressed directly to authorized operating agencies, with some involvement of Member States</w:t>
      </w:r>
      <w:r w:rsidR="0052150B">
        <w:t xml:space="preserve"> in a supporting role</w:t>
      </w:r>
      <w:r w:rsidR="0052150B" w:rsidRPr="00C90B27">
        <w:t>:</w:t>
      </w:r>
    </w:p>
    <w:p w14:paraId="0DDBECD3" w14:textId="07D375B4" w:rsidR="0052150B" w:rsidRDefault="00F9789B" w:rsidP="001D07A2">
      <w:pPr>
        <w:pStyle w:val="enumlev3"/>
        <w:jc w:val="both"/>
      </w:pPr>
      <w:r w:rsidRPr="00F9789B">
        <w:rPr>
          <w:rFonts w:ascii="Courier New" w:eastAsiaTheme="minorHAnsi" w:hAnsi="Courier New" w:cs="Courier New"/>
          <w:bCs/>
          <w:sz w:val="22"/>
          <w:szCs w:val="22"/>
          <w:lang w:val="en-US"/>
        </w:rPr>
        <w:t>•</w:t>
      </w:r>
      <w:r w:rsidRPr="00D43D1D">
        <w:rPr>
          <w:rFonts w:ascii="Courier New" w:eastAsiaTheme="minorHAnsi" w:hAnsi="Courier New" w:cs="Courier New"/>
          <w:bCs/>
          <w:sz w:val="22"/>
          <w:szCs w:val="22"/>
          <w:lang w:val="en-US"/>
        </w:rPr>
        <w:tab/>
      </w:r>
      <w:r w:rsidR="0052150B" w:rsidRPr="00F9789B">
        <w:rPr>
          <w:b/>
          <w:bCs/>
        </w:rPr>
        <w:t xml:space="preserve">Direct Address to Operating Agencies: </w:t>
      </w:r>
      <w:proofErr w:type="gramStart"/>
      <w:r w:rsidR="0052150B" w:rsidRPr="00C90B27">
        <w:t>The majority of</w:t>
      </w:r>
      <w:proofErr w:type="gramEnd"/>
      <w:r w:rsidR="0052150B" w:rsidRPr="00C90B27">
        <w:t xml:space="preserve"> the provisions (sections 2.1 through 2.5 and 3.1.1 to 3.1.3) are addressed directly to authorized operating agencies, detailing their responsibilities for establishing, sending, verifying, and settling accounts with other agencies.</w:t>
      </w:r>
    </w:p>
    <w:p w14:paraId="491919E4" w14:textId="50336F4C" w:rsidR="0052150B" w:rsidRPr="00F9789B" w:rsidRDefault="00F9789B" w:rsidP="001D07A2">
      <w:pPr>
        <w:pStyle w:val="enumlev2"/>
        <w:jc w:val="both"/>
        <w:rPr>
          <w:b/>
          <w:bCs/>
        </w:rPr>
      </w:pPr>
      <w:r w:rsidRPr="00C90B27">
        <w:rPr>
          <w:rFonts w:ascii="Symbol" w:eastAsiaTheme="minorHAnsi" w:hAnsi="Symbol" w:cs="Calibri"/>
          <w:bCs/>
          <w:sz w:val="22"/>
          <w:szCs w:val="22"/>
          <w:lang w:val="en-US"/>
        </w:rPr>
        <w:t></w:t>
      </w:r>
      <w:r w:rsidRPr="00C90B27">
        <w:rPr>
          <w:rFonts w:ascii="Symbol" w:eastAsiaTheme="minorHAnsi" w:hAnsi="Symbol" w:cs="Calibri"/>
          <w:bCs/>
          <w:sz w:val="22"/>
          <w:szCs w:val="22"/>
          <w:lang w:val="en-US"/>
        </w:rPr>
        <w:tab/>
      </w:r>
      <w:r w:rsidR="0052150B" w:rsidRPr="00F9789B">
        <w:rPr>
          <w:b/>
          <w:bCs/>
        </w:rPr>
        <w:t xml:space="preserve">The section on "Determination of the amount of payment" and "Payment of balances" </w:t>
      </w:r>
      <w:r w:rsidR="0052150B" w:rsidRPr="00697E22">
        <w:t xml:space="preserve">is primarily addressed </w:t>
      </w:r>
      <w:r w:rsidR="0052150B" w:rsidRPr="00C90B27">
        <w:t xml:space="preserve">directly to authorized operating </w:t>
      </w:r>
      <w:r w:rsidR="0052150B" w:rsidRPr="00697E22">
        <w:t>agencies.</w:t>
      </w:r>
      <w:r w:rsidR="0052150B" w:rsidRPr="00F9789B">
        <w:rPr>
          <w:b/>
          <w:bCs/>
        </w:rPr>
        <w:t xml:space="preserve"> </w:t>
      </w:r>
    </w:p>
    <w:p w14:paraId="6303255B" w14:textId="1DBE4681" w:rsidR="0052150B" w:rsidRPr="00697E22" w:rsidRDefault="00F9789B" w:rsidP="001D07A2">
      <w:pPr>
        <w:pStyle w:val="enumlev3"/>
        <w:jc w:val="both"/>
      </w:pPr>
      <w:r w:rsidRPr="00F9789B">
        <w:rPr>
          <w:rFonts w:ascii="Courier New" w:eastAsiaTheme="minorHAnsi" w:hAnsi="Courier New" w:cs="Courier New"/>
          <w:bCs/>
          <w:sz w:val="22"/>
          <w:szCs w:val="22"/>
          <w:lang w:val="en-US"/>
        </w:rPr>
        <w:t>•</w:t>
      </w:r>
      <w:r w:rsidRPr="00D43D1D">
        <w:rPr>
          <w:rFonts w:ascii="Courier New" w:eastAsiaTheme="minorHAnsi" w:hAnsi="Courier New" w:cs="Courier New"/>
          <w:bCs/>
          <w:sz w:val="22"/>
          <w:szCs w:val="22"/>
          <w:lang w:val="en-US"/>
        </w:rPr>
        <w:tab/>
      </w:r>
      <w:r w:rsidR="0052150B" w:rsidRPr="001D07A2">
        <w:rPr>
          <w:b/>
          <w:bCs/>
        </w:rPr>
        <w:t>Direct Address to Authorized Operating Agencies</w:t>
      </w:r>
      <w:r w:rsidR="0052150B" w:rsidRPr="00F9789B">
        <w:rPr>
          <w:b/>
          <w:bCs/>
        </w:rPr>
        <w:t xml:space="preserve">: </w:t>
      </w:r>
      <w:r w:rsidR="0052150B" w:rsidRPr="00697E22">
        <w:t>The provisions are focused on how the authorized operating agencies should determine the amount of payment, convert currencies, and handle payment of balances. The language in sections 3.2.1 to 3.3.4 is clearly addressing the responsibilities of the authorized operating agencies, specifying the processes for converting currencies, making payments, and charging interest or fees if payments are delayed.</w:t>
      </w:r>
    </w:p>
    <w:p w14:paraId="0ABCF29F" w14:textId="5298B1E0" w:rsidR="0052150B" w:rsidRPr="00F9789B" w:rsidRDefault="00F9789B" w:rsidP="00F9789B">
      <w:pPr>
        <w:pStyle w:val="enumlev3"/>
        <w:rPr>
          <w:b/>
          <w:bCs/>
        </w:rPr>
      </w:pPr>
      <w:r w:rsidRPr="00F9789B">
        <w:rPr>
          <w:rFonts w:ascii="Courier New" w:eastAsiaTheme="minorHAnsi" w:hAnsi="Courier New" w:cs="Courier New"/>
          <w:bCs/>
          <w:sz w:val="22"/>
          <w:szCs w:val="22"/>
          <w:lang w:val="en-US"/>
        </w:rPr>
        <w:t>•</w:t>
      </w:r>
      <w:r w:rsidRPr="00D43D1D">
        <w:rPr>
          <w:rFonts w:ascii="Courier New" w:eastAsiaTheme="minorHAnsi" w:hAnsi="Courier New" w:cs="Courier New"/>
          <w:bCs/>
          <w:sz w:val="22"/>
          <w:szCs w:val="22"/>
          <w:lang w:val="en-US"/>
        </w:rPr>
        <w:tab/>
      </w:r>
      <w:r w:rsidR="0052150B" w:rsidRPr="00C90B27">
        <w:t>No Mention of Member States</w:t>
      </w:r>
      <w:r w:rsidR="0052150B" w:rsidRPr="00F9789B">
        <w:rPr>
          <w:b/>
          <w:bCs/>
        </w:rPr>
        <w:t xml:space="preserve"> </w:t>
      </w:r>
      <w:r w:rsidR="0052150B" w:rsidRPr="00697E22">
        <w:t>unlike previous sections</w:t>
      </w:r>
      <w:r w:rsidR="0052150B" w:rsidRPr="00F9789B">
        <w:rPr>
          <w:b/>
          <w:bCs/>
        </w:rPr>
        <w:t xml:space="preserve"> </w:t>
      </w:r>
    </w:p>
    <w:p w14:paraId="0DB47A15" w14:textId="77777777" w:rsidR="0052150B" w:rsidRPr="000C6524" w:rsidRDefault="0052150B" w:rsidP="001D07A2">
      <w:pPr>
        <w:jc w:val="both"/>
      </w:pPr>
      <w:r w:rsidRPr="00F9789B">
        <w:rPr>
          <w:b/>
          <w:bCs/>
        </w:rPr>
        <w:t>Appendix 2 (Additional provisions relating to maritime telecommunications)</w:t>
      </w:r>
      <w:r w:rsidRPr="000C6524">
        <w:t xml:space="preserve"> </w:t>
      </w:r>
      <w:r w:rsidRPr="00AA0570">
        <w:t>may also be reviewed in this regard.</w:t>
      </w:r>
    </w:p>
    <w:p w14:paraId="5FBC3392" w14:textId="77777777" w:rsidR="0052150B" w:rsidRDefault="0052150B" w:rsidP="0052150B">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08B2A6EA" w14:textId="77777777" w:rsidR="001D07A2" w:rsidRPr="004F7FEA" w:rsidRDefault="001D07A2" w:rsidP="0052150B">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257674B4" w14:textId="1B47837B" w:rsidR="00A514A4" w:rsidRPr="005E3959" w:rsidRDefault="001D07A2" w:rsidP="001D07A2">
      <w:pPr>
        <w:jc w:val="center"/>
      </w:pPr>
      <w:r>
        <w:t>______________</w:t>
      </w:r>
    </w:p>
    <w:sectPr w:rsidR="00A514A4" w:rsidRPr="005E3959"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B0729" w14:textId="77777777" w:rsidR="00687CD9" w:rsidRDefault="00687CD9">
      <w:r>
        <w:separator/>
      </w:r>
    </w:p>
  </w:endnote>
  <w:endnote w:type="continuationSeparator" w:id="0">
    <w:p w14:paraId="3CB39E88" w14:textId="77777777" w:rsidR="00687CD9" w:rsidRDefault="0068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20E78A0" w:rsidR="00EE49E8" w:rsidRDefault="00EE49E8" w:rsidP="00EE49E8">
          <w:pPr>
            <w:pStyle w:val="Header"/>
            <w:jc w:val="left"/>
            <w:rPr>
              <w:noProof/>
            </w:rPr>
          </w:pPr>
        </w:p>
      </w:tc>
      <w:tc>
        <w:tcPr>
          <w:tcW w:w="8261" w:type="dxa"/>
        </w:tcPr>
        <w:p w14:paraId="2D49E76E" w14:textId="592EC62E" w:rsidR="00EE49E8" w:rsidRPr="00E06FD5" w:rsidRDefault="00EE49E8" w:rsidP="0052150B">
          <w:pPr>
            <w:pStyle w:val="Header"/>
            <w:tabs>
              <w:tab w:val="left" w:pos="6600"/>
              <w:tab w:val="right" w:pos="8505"/>
              <w:tab w:val="right" w:pos="9639"/>
            </w:tabs>
            <w:jc w:val="left"/>
            <w:rPr>
              <w:rFonts w:ascii="Arial" w:hAnsi="Arial" w:cs="Arial"/>
              <w:b/>
              <w:bCs/>
              <w:szCs w:val="18"/>
            </w:rPr>
          </w:pPr>
          <w:r>
            <w:rPr>
              <w:bCs/>
            </w:rPr>
            <w:tab/>
          </w:r>
          <w:proofErr w:type="spellStart"/>
          <w:r w:rsidR="00A028B5">
            <w:rPr>
              <w:bCs/>
            </w:rPr>
            <w:t>EG</w:t>
          </w:r>
          <w:proofErr w:type="spellEnd"/>
          <w:r w:rsidR="00A028B5">
            <w:rPr>
              <w:bCs/>
            </w:rPr>
            <w:t>-</w:t>
          </w:r>
          <w:proofErr w:type="spellStart"/>
          <w:r w:rsidR="00A028B5">
            <w:rPr>
              <w:bCs/>
            </w:rPr>
            <w:t>ITRs</w:t>
          </w:r>
          <w:proofErr w:type="spellEnd"/>
          <w:r w:rsidR="00A52C84">
            <w:rPr>
              <w:bCs/>
            </w:rPr>
            <w:t>-</w:t>
          </w:r>
          <w:r w:rsidR="00F7413F">
            <w:rPr>
              <w:bCs/>
            </w:rPr>
            <w:t>3</w:t>
          </w:r>
          <w:r w:rsidR="00A52C84" w:rsidRPr="00623AE3">
            <w:rPr>
              <w:bCs/>
            </w:rPr>
            <w:t>/</w:t>
          </w:r>
          <w:r w:rsidR="0052150B">
            <w:rPr>
              <w:bCs/>
            </w:rPr>
            <w:t>8</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w:t>
          </w:r>
          <w:proofErr w:type="spellStart"/>
          <w:r w:rsidRPr="00293B38">
            <w:rPr>
              <w:color w:val="0070C0"/>
            </w:rPr>
            <w:t>council.itu.int</w:t>
          </w:r>
          <w:proofErr w:type="spellEnd"/>
          <w:r w:rsidRPr="00293B38">
            <w:rPr>
              <w:color w:val="0070C0"/>
            </w:rPr>
            <w:t>/working-groups</w:t>
          </w:r>
        </w:p>
      </w:tc>
      <w:tc>
        <w:tcPr>
          <w:tcW w:w="6957" w:type="dxa"/>
        </w:tcPr>
        <w:p w14:paraId="3F62E0D8" w14:textId="0D80C554" w:rsidR="00EE49E8" w:rsidRPr="00E06FD5" w:rsidRDefault="00EE49E8" w:rsidP="0052150B">
          <w:pPr>
            <w:pStyle w:val="Header"/>
            <w:tabs>
              <w:tab w:val="left" w:pos="5295"/>
              <w:tab w:val="right" w:pos="8505"/>
              <w:tab w:val="right" w:pos="9639"/>
            </w:tabs>
            <w:jc w:val="left"/>
            <w:rPr>
              <w:rFonts w:ascii="Arial" w:hAnsi="Arial" w:cs="Arial"/>
              <w:b/>
              <w:bCs/>
              <w:szCs w:val="18"/>
            </w:rPr>
          </w:pPr>
          <w:r>
            <w:rPr>
              <w:bCs/>
            </w:rPr>
            <w:tab/>
          </w:r>
          <w:proofErr w:type="spellStart"/>
          <w:r w:rsidR="00A028B5">
            <w:rPr>
              <w:bCs/>
            </w:rPr>
            <w:t>EG</w:t>
          </w:r>
          <w:proofErr w:type="spellEnd"/>
          <w:r w:rsidR="00A028B5">
            <w:rPr>
              <w:bCs/>
            </w:rPr>
            <w:t>-</w:t>
          </w:r>
          <w:proofErr w:type="spellStart"/>
          <w:r w:rsidR="00A028B5">
            <w:rPr>
              <w:bCs/>
            </w:rPr>
            <w:t>ITRs</w:t>
          </w:r>
          <w:proofErr w:type="spellEnd"/>
          <w:r w:rsidR="00A52C84">
            <w:rPr>
              <w:bCs/>
            </w:rPr>
            <w:t>-</w:t>
          </w:r>
          <w:r w:rsidR="00E01B6A">
            <w:rPr>
              <w:bCs/>
            </w:rPr>
            <w:t>3</w:t>
          </w:r>
          <w:r w:rsidRPr="00623AE3">
            <w:rPr>
              <w:bCs/>
            </w:rPr>
            <w:t>/</w:t>
          </w:r>
          <w:r w:rsidR="0052150B">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FC126" w14:textId="77777777" w:rsidR="00687CD9" w:rsidRDefault="00687CD9">
      <w:r>
        <w:t>____________________</w:t>
      </w:r>
    </w:p>
  </w:footnote>
  <w:footnote w:type="continuationSeparator" w:id="0">
    <w:p w14:paraId="16E88419" w14:textId="77777777" w:rsidR="00687CD9" w:rsidRDefault="0068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4C61A06"/>
    <w:multiLevelType w:val="hybridMultilevel"/>
    <w:tmpl w:val="FC9C7F14"/>
    <w:lvl w:ilvl="0" w:tplc="2D765D1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4816267">
    <w:abstractNumId w:val="0"/>
  </w:num>
  <w:num w:numId="2" w16cid:durableId="60865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D07A2"/>
    <w:rsid w:val="001E0F7B"/>
    <w:rsid w:val="001E0FBE"/>
    <w:rsid w:val="001E60A0"/>
    <w:rsid w:val="0020555B"/>
    <w:rsid w:val="002119FD"/>
    <w:rsid w:val="002130E0"/>
    <w:rsid w:val="00244F7F"/>
    <w:rsid w:val="00264425"/>
    <w:rsid w:val="00265875"/>
    <w:rsid w:val="0027303B"/>
    <w:rsid w:val="0028109B"/>
    <w:rsid w:val="00293B38"/>
    <w:rsid w:val="002A2188"/>
    <w:rsid w:val="002B1F58"/>
    <w:rsid w:val="002C1C7A"/>
    <w:rsid w:val="002C54E2"/>
    <w:rsid w:val="002C70D3"/>
    <w:rsid w:val="0030160F"/>
    <w:rsid w:val="00320223"/>
    <w:rsid w:val="00322D0D"/>
    <w:rsid w:val="00361465"/>
    <w:rsid w:val="0036415F"/>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150B"/>
    <w:rsid w:val="005243FF"/>
    <w:rsid w:val="00564FBC"/>
    <w:rsid w:val="005800BC"/>
    <w:rsid w:val="00582442"/>
    <w:rsid w:val="005A335D"/>
    <w:rsid w:val="005E2BD5"/>
    <w:rsid w:val="005E3959"/>
    <w:rsid w:val="005F3269"/>
    <w:rsid w:val="00623AE3"/>
    <w:rsid w:val="00636853"/>
    <w:rsid w:val="0064737F"/>
    <w:rsid w:val="006535F1"/>
    <w:rsid w:val="0065557D"/>
    <w:rsid w:val="006577BB"/>
    <w:rsid w:val="00660D50"/>
    <w:rsid w:val="00662984"/>
    <w:rsid w:val="006716BB"/>
    <w:rsid w:val="00687CD9"/>
    <w:rsid w:val="006B1859"/>
    <w:rsid w:val="006B6680"/>
    <w:rsid w:val="006B6DCC"/>
    <w:rsid w:val="006C11BB"/>
    <w:rsid w:val="00702DEF"/>
    <w:rsid w:val="00706861"/>
    <w:rsid w:val="00745D44"/>
    <w:rsid w:val="0075051B"/>
    <w:rsid w:val="00775655"/>
    <w:rsid w:val="00793188"/>
    <w:rsid w:val="00794D34"/>
    <w:rsid w:val="00794DFC"/>
    <w:rsid w:val="00813E5E"/>
    <w:rsid w:val="00815106"/>
    <w:rsid w:val="0083408D"/>
    <w:rsid w:val="0083581B"/>
    <w:rsid w:val="00842B11"/>
    <w:rsid w:val="0085074D"/>
    <w:rsid w:val="00863874"/>
    <w:rsid w:val="00864AFF"/>
    <w:rsid w:val="00865925"/>
    <w:rsid w:val="0086704D"/>
    <w:rsid w:val="008B4A6A"/>
    <w:rsid w:val="008C7E27"/>
    <w:rsid w:val="008F7448"/>
    <w:rsid w:val="0090147A"/>
    <w:rsid w:val="009173EF"/>
    <w:rsid w:val="00932906"/>
    <w:rsid w:val="00961B0B"/>
    <w:rsid w:val="00962D33"/>
    <w:rsid w:val="009B38C3"/>
    <w:rsid w:val="009D024E"/>
    <w:rsid w:val="009E17BD"/>
    <w:rsid w:val="009E485A"/>
    <w:rsid w:val="00A028B5"/>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01DD2"/>
    <w:rsid w:val="00C374DE"/>
    <w:rsid w:val="00C47AD4"/>
    <w:rsid w:val="00C52D81"/>
    <w:rsid w:val="00C55198"/>
    <w:rsid w:val="00CA6393"/>
    <w:rsid w:val="00CB18FF"/>
    <w:rsid w:val="00CD0C08"/>
    <w:rsid w:val="00CD1CF0"/>
    <w:rsid w:val="00CE03FB"/>
    <w:rsid w:val="00CE433C"/>
    <w:rsid w:val="00CF0161"/>
    <w:rsid w:val="00CF33F3"/>
    <w:rsid w:val="00D06183"/>
    <w:rsid w:val="00D22C42"/>
    <w:rsid w:val="00D464CC"/>
    <w:rsid w:val="00D65041"/>
    <w:rsid w:val="00D670A7"/>
    <w:rsid w:val="00D760C2"/>
    <w:rsid w:val="00DB00D5"/>
    <w:rsid w:val="00DB1936"/>
    <w:rsid w:val="00DB384B"/>
    <w:rsid w:val="00DF0189"/>
    <w:rsid w:val="00E01B6A"/>
    <w:rsid w:val="00E06FD5"/>
    <w:rsid w:val="00E10E80"/>
    <w:rsid w:val="00E124F0"/>
    <w:rsid w:val="00E227F3"/>
    <w:rsid w:val="00E543AC"/>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13F"/>
    <w:rsid w:val="00F74694"/>
    <w:rsid w:val="00F94A63"/>
    <w:rsid w:val="00F9789B"/>
    <w:rsid w:val="00FA1C28"/>
    <w:rsid w:val="00FB1279"/>
    <w:rsid w:val="00FB6B76"/>
    <w:rsid w:val="00FB7596"/>
    <w:rsid w:val="00FE4077"/>
    <w:rsid w:val="00FE500D"/>
    <w:rsid w:val="00FE66B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F5D9A83-03BF-410E-AF6F-F347E04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paragraph" w:styleId="ListParagraph">
    <w:name w:val="List Paragraph"/>
    <w:basedOn w:val="Normal"/>
    <w:uiPriority w:val="34"/>
    <w:qFormat/>
    <w:rsid w:val="0052150B"/>
    <w:pPr>
      <w:tabs>
        <w:tab w:val="clear" w:pos="567"/>
        <w:tab w:val="clear" w:pos="1134"/>
        <w:tab w:val="clear" w:pos="1701"/>
        <w:tab w:val="clear" w:pos="2268"/>
        <w:tab w:val="clear" w:pos="2835"/>
      </w:tabs>
      <w:overflowPunct/>
      <w:autoSpaceDE/>
      <w:autoSpaceDN/>
      <w:adjustRightInd/>
      <w:spacing w:before="0" w:after="160" w:line="252" w:lineRule="auto"/>
      <w:ind w:left="720"/>
      <w:contextualSpacing/>
      <w:textAlignment w:val="auto"/>
    </w:pPr>
    <w:rPr>
      <w:rFonts w:eastAsiaTheme="minorHAnsi" w:cs="Calibri"/>
      <w:sz w:val="22"/>
      <w:szCs w:val="22"/>
      <w:lang w:val="en-US"/>
    </w:rPr>
  </w:style>
  <w:style w:type="paragraph" w:styleId="NormalWeb">
    <w:name w:val="Normal (Web)"/>
    <w:basedOn w:val="Normal"/>
    <w:uiPriority w:val="99"/>
    <w:semiHidden/>
    <w:unhideWhenUsed/>
    <w:rsid w:val="0052150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Reasons">
    <w:name w:val="Reasons"/>
    <w:basedOn w:val="Normal"/>
    <w:qFormat/>
    <w:rsid w:val="001D07A2"/>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wcit-12/Documents/final-acts-wcit-1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2-EGITR6-C-0006/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Pages/eg-itr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EGITR6-C-000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26C42-AAB1-46FF-9821-E0C5094F96C1}">
  <ds:schemaRefs>
    <ds:schemaRef ds:uri="http://schemas.microsoft.com/office/2006/metadata/properties"/>
    <ds:schemaRef ds:uri="http://schemas.microsoft.com/office/infopath/2007/PartnerControls"/>
    <ds:schemaRef ds:uri="085b46e1-7f22-4e81-9ba5-912dc5a5fd9a"/>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BC98FBE-AF60-4069-953B-60BFAB0B1E39}">
  <ds:schemaRefs>
    <ds:schemaRef ds:uri="http://schemas.microsoft.com/sharepoint/v3/contenttype/forms"/>
  </ds:schemaRefs>
</ds:datastoreItem>
</file>

<file path=customXml/itemProps4.xml><?xml version="1.0" encoding="utf-8"?>
<ds:datastoreItem xmlns:ds="http://schemas.openxmlformats.org/officeDocument/2006/customXml" ds:itemID="{51A4111F-FA2F-4439-8EF0-971DE9F9D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952</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ITRs provisions that address operating agencies</dc:title>
  <dc:subject>Expert Group on the International Telecommunication Regulations</dc:subject>
  <cp:keywords>EG-ITRs; C2024, C24, Council-24</cp:keywords>
  <dc:description/>
  <cp:revision>3</cp:revision>
  <dcterms:created xsi:type="dcterms:W3CDTF">2024-09-17T13:11:00Z</dcterms:created>
  <dcterms:modified xsi:type="dcterms:W3CDTF">2024-09-17T13:18:00Z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