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224F" w14:paraId="0043AC80" w14:textId="77777777" w:rsidTr="00AD3606">
        <w:trPr>
          <w:cantSplit/>
          <w:trHeight w:val="23"/>
        </w:trPr>
        <w:tc>
          <w:tcPr>
            <w:tcW w:w="3969" w:type="dxa"/>
            <w:vMerge w:val="restart"/>
            <w:tcMar>
              <w:left w:w="0" w:type="dxa"/>
            </w:tcMar>
          </w:tcPr>
          <w:p w14:paraId="60A806D3" w14:textId="6316C87D" w:rsidR="00AD3606" w:rsidRPr="0089224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58DB498" w:rsidR="00AD3606" w:rsidRPr="0089224F" w:rsidRDefault="00AD3606" w:rsidP="00472BAD">
            <w:pPr>
              <w:tabs>
                <w:tab w:val="left" w:pos="851"/>
              </w:tabs>
              <w:spacing w:before="0" w:line="240" w:lineRule="atLeast"/>
              <w:jc w:val="right"/>
              <w:rPr>
                <w:b/>
              </w:rPr>
            </w:pPr>
            <w:r w:rsidRPr="0089224F">
              <w:rPr>
                <w:b/>
              </w:rPr>
              <w:t xml:space="preserve">Document </w:t>
            </w:r>
            <w:r w:rsidR="00A028B5" w:rsidRPr="0089224F">
              <w:rPr>
                <w:b/>
              </w:rPr>
              <w:t>EG-ITRs</w:t>
            </w:r>
            <w:r w:rsidR="00A52C84" w:rsidRPr="0089224F">
              <w:rPr>
                <w:b/>
              </w:rPr>
              <w:t>-</w:t>
            </w:r>
            <w:r w:rsidR="00422C56">
              <w:rPr>
                <w:b/>
              </w:rPr>
              <w:t>3</w:t>
            </w:r>
            <w:r w:rsidRPr="0089224F">
              <w:rPr>
                <w:b/>
              </w:rPr>
              <w:t>/</w:t>
            </w:r>
            <w:r w:rsidR="000F2C45">
              <w:rPr>
                <w:b/>
              </w:rPr>
              <w:t>6</w:t>
            </w:r>
          </w:p>
        </w:tc>
      </w:tr>
      <w:tr w:rsidR="00AD3606" w:rsidRPr="0089224F" w14:paraId="789B45BA" w14:textId="77777777" w:rsidTr="00AD3606">
        <w:trPr>
          <w:cantSplit/>
        </w:trPr>
        <w:tc>
          <w:tcPr>
            <w:tcW w:w="3969" w:type="dxa"/>
            <w:vMerge/>
          </w:tcPr>
          <w:p w14:paraId="3F3D4E17" w14:textId="77777777" w:rsidR="00AD3606" w:rsidRPr="0089224F"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1C6BC14" w:rsidR="00AD3606" w:rsidRPr="0089224F" w:rsidRDefault="008A655B" w:rsidP="00AD3606">
            <w:pPr>
              <w:tabs>
                <w:tab w:val="left" w:pos="851"/>
              </w:tabs>
              <w:spacing w:before="0"/>
              <w:jc w:val="right"/>
              <w:rPr>
                <w:b/>
              </w:rPr>
            </w:pPr>
            <w:r>
              <w:rPr>
                <w:b/>
              </w:rPr>
              <w:t>16</w:t>
            </w:r>
            <w:r w:rsidR="00422C56" w:rsidRPr="0089224F">
              <w:rPr>
                <w:b/>
              </w:rPr>
              <w:t xml:space="preserve"> </w:t>
            </w:r>
            <w:r w:rsidR="00422C56">
              <w:rPr>
                <w:b/>
              </w:rPr>
              <w:t xml:space="preserve">September </w:t>
            </w:r>
            <w:r w:rsidR="0083408D" w:rsidRPr="0089224F">
              <w:rPr>
                <w:b/>
              </w:rPr>
              <w:t>2024</w:t>
            </w:r>
          </w:p>
        </w:tc>
      </w:tr>
      <w:tr w:rsidR="00AD3606" w:rsidRPr="0089224F" w14:paraId="58A84C4A" w14:textId="77777777" w:rsidTr="00AD3606">
        <w:trPr>
          <w:cantSplit/>
          <w:trHeight w:val="23"/>
        </w:trPr>
        <w:tc>
          <w:tcPr>
            <w:tcW w:w="3969" w:type="dxa"/>
            <w:vMerge/>
          </w:tcPr>
          <w:p w14:paraId="77CEDDAA" w14:textId="77777777" w:rsidR="00AD3606" w:rsidRPr="0089224F" w:rsidRDefault="00AD3606" w:rsidP="00AD3606">
            <w:pPr>
              <w:tabs>
                <w:tab w:val="left" w:pos="851"/>
              </w:tabs>
              <w:spacing w:line="240" w:lineRule="atLeast"/>
              <w:rPr>
                <w:b/>
              </w:rPr>
            </w:pPr>
            <w:bookmarkStart w:id="7" w:name="dorlang" w:colFirst="1" w:colLast="1"/>
            <w:bookmarkEnd w:id="6"/>
          </w:p>
        </w:tc>
        <w:tc>
          <w:tcPr>
            <w:tcW w:w="5245" w:type="dxa"/>
          </w:tcPr>
          <w:p w14:paraId="561AAE94" w14:textId="0355724C" w:rsidR="00AD3606" w:rsidRPr="0089224F" w:rsidRDefault="00A028B5" w:rsidP="00AD3606">
            <w:pPr>
              <w:tabs>
                <w:tab w:val="left" w:pos="851"/>
              </w:tabs>
              <w:spacing w:before="0" w:line="240" w:lineRule="atLeast"/>
              <w:jc w:val="right"/>
              <w:rPr>
                <w:b/>
              </w:rPr>
            </w:pPr>
            <w:r w:rsidRPr="0089224F">
              <w:rPr>
                <w:b/>
              </w:rPr>
              <w:t>English</w:t>
            </w:r>
            <w:r w:rsidR="006D7A3B" w:rsidRPr="0089224F">
              <w:rPr>
                <w:b/>
              </w:rPr>
              <w:t xml:space="preserve"> only</w:t>
            </w:r>
          </w:p>
        </w:tc>
      </w:tr>
      <w:tr w:rsidR="00472BAD" w:rsidRPr="0089224F" w14:paraId="12C5EF5F" w14:textId="77777777" w:rsidTr="00AD3606">
        <w:trPr>
          <w:cantSplit/>
          <w:trHeight w:val="23"/>
        </w:trPr>
        <w:tc>
          <w:tcPr>
            <w:tcW w:w="3969" w:type="dxa"/>
          </w:tcPr>
          <w:p w14:paraId="4B839BA2" w14:textId="77777777" w:rsidR="00472BAD" w:rsidRPr="0089224F" w:rsidRDefault="00472BAD" w:rsidP="00AD3606">
            <w:pPr>
              <w:tabs>
                <w:tab w:val="left" w:pos="851"/>
              </w:tabs>
              <w:spacing w:line="240" w:lineRule="atLeast"/>
              <w:rPr>
                <w:b/>
              </w:rPr>
            </w:pPr>
          </w:p>
        </w:tc>
        <w:tc>
          <w:tcPr>
            <w:tcW w:w="5245" w:type="dxa"/>
          </w:tcPr>
          <w:p w14:paraId="12F66D25" w14:textId="77777777" w:rsidR="00472BAD" w:rsidRPr="0089224F" w:rsidRDefault="00472BAD" w:rsidP="00AD3606">
            <w:pPr>
              <w:tabs>
                <w:tab w:val="left" w:pos="851"/>
              </w:tabs>
              <w:spacing w:before="0" w:line="240" w:lineRule="atLeast"/>
              <w:jc w:val="right"/>
              <w:rPr>
                <w:b/>
              </w:rPr>
            </w:pPr>
          </w:p>
        </w:tc>
      </w:tr>
      <w:tr w:rsidR="00C81E9E" w:rsidRPr="00463D1D" w14:paraId="27000B2A" w14:textId="77777777" w:rsidTr="00AD3606">
        <w:trPr>
          <w:cantSplit/>
        </w:trPr>
        <w:tc>
          <w:tcPr>
            <w:tcW w:w="9214" w:type="dxa"/>
            <w:gridSpan w:val="2"/>
            <w:tcMar>
              <w:left w:w="0" w:type="dxa"/>
            </w:tcMar>
          </w:tcPr>
          <w:p w14:paraId="4E7CDB90" w14:textId="17A58591" w:rsidR="00C81E9E" w:rsidRPr="00463D1D" w:rsidRDefault="00C81E9E" w:rsidP="00C81E9E">
            <w:pPr>
              <w:pStyle w:val="Source"/>
              <w:framePr w:hSpace="0" w:wrap="auto" w:vAnchor="margin" w:hAnchor="text" w:xAlign="left" w:yAlign="inline"/>
            </w:pPr>
            <w:bookmarkStart w:id="8" w:name="dsource" w:colFirst="0" w:colLast="0"/>
            <w:bookmarkEnd w:id="7"/>
            <w:r w:rsidRPr="00463D1D">
              <w:t xml:space="preserve">Contribution from Côte d'Ivoire </w:t>
            </w:r>
            <w:r w:rsidR="00871596" w:rsidRPr="00871596">
              <w:t>(Republic of)</w:t>
            </w:r>
            <w:r w:rsidR="00871596">
              <w:t xml:space="preserve"> </w:t>
            </w:r>
            <w:r w:rsidR="00463D1D" w:rsidRPr="00463D1D">
              <w:t xml:space="preserve">and </w:t>
            </w:r>
            <w:r w:rsidR="00463D1D">
              <w:t>Cameroon</w:t>
            </w:r>
            <w:r w:rsidR="00DF1EB9">
              <w:t xml:space="preserve"> </w:t>
            </w:r>
            <w:r w:rsidR="00DF1EB9" w:rsidRPr="00DF1EB9">
              <w:t>(Republic of)</w:t>
            </w:r>
            <w:r w:rsidR="00EB64AA">
              <w:t xml:space="preserve">, </w:t>
            </w:r>
            <w:r w:rsidR="00EB64AA" w:rsidRPr="00463D1D">
              <w:t>S</w:t>
            </w:r>
            <w:r w:rsidR="00EB64AA">
              <w:t>outh Africa</w:t>
            </w:r>
            <w:r w:rsidR="00DF1EB9">
              <w:t xml:space="preserve"> </w:t>
            </w:r>
            <w:r w:rsidR="00DF1EB9" w:rsidRPr="00DF1EB9">
              <w:t>(Republic of)</w:t>
            </w:r>
            <w:r w:rsidR="00EB64AA">
              <w:t xml:space="preserve"> </w:t>
            </w:r>
            <w:r w:rsidR="00463D1D">
              <w:t xml:space="preserve">and </w:t>
            </w:r>
            <w:r w:rsidR="00871596">
              <w:br/>
            </w:r>
            <w:r w:rsidR="00463D1D">
              <w:t>Tanzania</w:t>
            </w:r>
            <w:r w:rsidR="00DF1EB9">
              <w:t xml:space="preserve"> </w:t>
            </w:r>
            <w:r w:rsidR="00DF1EB9" w:rsidRPr="00DF1EB9">
              <w:t>(United Republic of)</w:t>
            </w:r>
          </w:p>
        </w:tc>
      </w:tr>
      <w:tr w:rsidR="00C81E9E" w:rsidRPr="00C81E9E" w14:paraId="2340750D" w14:textId="77777777" w:rsidTr="00AD3606">
        <w:trPr>
          <w:cantSplit/>
        </w:trPr>
        <w:tc>
          <w:tcPr>
            <w:tcW w:w="9214" w:type="dxa"/>
            <w:gridSpan w:val="2"/>
            <w:tcMar>
              <w:left w:w="0" w:type="dxa"/>
            </w:tcMar>
          </w:tcPr>
          <w:p w14:paraId="47B91AA8" w14:textId="7DC78ADE" w:rsidR="00C81E9E" w:rsidRPr="00C81E9E" w:rsidRDefault="008A655B" w:rsidP="00C81E9E">
            <w:pPr>
              <w:pStyle w:val="Subtitle"/>
              <w:framePr w:hSpace="0" w:wrap="auto" w:xAlign="left" w:yAlign="inline"/>
              <w:rPr>
                <w:spacing w:val="-2"/>
                <w:sz w:val="31"/>
                <w:szCs w:val="31"/>
                <w:lang w:val="en-US"/>
              </w:rPr>
            </w:pPr>
            <w:bookmarkStart w:id="9" w:name="_Hlk177390964"/>
            <w:bookmarkEnd w:id="8"/>
            <w:r w:rsidRPr="00E27900">
              <w:t>CHALLENGES IN THE PROVISION OF TELECOMMUNICATION SERVICES BY NON-GEOSTATIONARY SATELLITES IN LOW</w:t>
            </w:r>
            <w:r w:rsidR="002578F4">
              <w:t>-</w:t>
            </w:r>
            <w:r w:rsidRPr="00E27900">
              <w:t xml:space="preserve">EARTH ORBIT </w:t>
            </w:r>
          </w:p>
        </w:tc>
      </w:tr>
      <w:tr w:rsidR="00AD3606" w:rsidRPr="006644F4"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000360A" w:rsidR="004D648B" w:rsidRPr="00C81E9E" w:rsidRDefault="002C211B" w:rsidP="004D648B">
            <w:pPr>
              <w:spacing w:before="160"/>
              <w:rPr>
                <w:b/>
                <w:bCs/>
                <w:sz w:val="26"/>
                <w:szCs w:val="26"/>
                <w:lang w:val="en-US"/>
              </w:rPr>
            </w:pPr>
            <w:bookmarkStart w:id="10" w:name="dtitle1" w:colFirst="0" w:colLast="0"/>
            <w:bookmarkEnd w:id="9"/>
            <w:r w:rsidRPr="004D648B">
              <w:rPr>
                <w:b/>
                <w:bCs/>
                <w:sz w:val="26"/>
                <w:szCs w:val="26"/>
              </w:rPr>
              <w:t>Purpose</w:t>
            </w:r>
          </w:p>
          <w:p w14:paraId="42F3D6AC" w14:textId="613CFAEE" w:rsidR="00C81E9E" w:rsidRPr="00C81E9E" w:rsidRDefault="00C81E9E" w:rsidP="004D648B">
            <w:pPr>
              <w:spacing w:before="160"/>
              <w:rPr>
                <w:szCs w:val="24"/>
                <w:lang w:val="en-US"/>
              </w:rPr>
            </w:pPr>
            <w:r w:rsidRPr="008A655B">
              <w:rPr>
                <w:spacing w:val="-2"/>
                <w:szCs w:val="24"/>
                <w:lang w:val="en-US"/>
              </w:rPr>
              <w:t>The purpose of this contribution is to present the aspects of the provision of non-geostationary</w:t>
            </w:r>
            <w:r w:rsidRPr="00C81E9E">
              <w:rPr>
                <w:szCs w:val="24"/>
                <w:lang w:val="en-US"/>
              </w:rPr>
              <w:t xml:space="preserve"> satellite </w:t>
            </w:r>
            <w:r w:rsidR="002578F4">
              <w:rPr>
                <w:szCs w:val="24"/>
                <w:lang w:val="en-US"/>
              </w:rPr>
              <w:t xml:space="preserve">(non-GSO) </w:t>
            </w:r>
            <w:r w:rsidRPr="00C81E9E">
              <w:rPr>
                <w:szCs w:val="24"/>
                <w:lang w:val="en-US"/>
              </w:rPr>
              <w:t>communications services in low</w:t>
            </w:r>
            <w:r w:rsidR="002578F4">
              <w:rPr>
                <w:szCs w:val="24"/>
                <w:lang w:val="en-US"/>
              </w:rPr>
              <w:t>-</w:t>
            </w:r>
            <w:r w:rsidRPr="00C81E9E">
              <w:rPr>
                <w:szCs w:val="24"/>
                <w:lang w:val="en-US"/>
              </w:rPr>
              <w:t xml:space="preserve">Earth orbit </w:t>
            </w:r>
            <w:r w:rsidR="002578F4">
              <w:rPr>
                <w:szCs w:val="24"/>
                <w:lang w:val="en-US"/>
              </w:rPr>
              <w:t xml:space="preserve">(LEO) </w:t>
            </w:r>
            <w:r w:rsidRPr="00C81E9E">
              <w:rPr>
                <w:szCs w:val="24"/>
                <w:lang w:val="en-US"/>
              </w:rPr>
              <w:t>that have an impact on the international telecommunication service and the challenges faced by African countries.</w:t>
            </w:r>
          </w:p>
          <w:p w14:paraId="3D55861A" w14:textId="77777777" w:rsidR="00C81E9E" w:rsidRPr="00C81E9E" w:rsidRDefault="00C81E9E" w:rsidP="00C81E9E">
            <w:pPr>
              <w:spacing w:before="160"/>
              <w:rPr>
                <w:b/>
                <w:bCs/>
                <w:sz w:val="26"/>
                <w:szCs w:val="26"/>
                <w:lang w:val="en-US"/>
              </w:rPr>
            </w:pPr>
            <w:r w:rsidRPr="00C15CE4">
              <w:rPr>
                <w:b/>
                <w:bCs/>
                <w:sz w:val="26"/>
                <w:szCs w:val="26"/>
              </w:rPr>
              <w:t>Action required</w:t>
            </w:r>
          </w:p>
          <w:p w14:paraId="150679E0" w14:textId="77777777" w:rsidR="00C81E9E" w:rsidRPr="00C81E9E" w:rsidRDefault="00C81E9E" w:rsidP="00C81E9E">
            <w:pPr>
              <w:spacing w:before="160"/>
              <w:rPr>
                <w:b/>
                <w:bCs/>
                <w:szCs w:val="24"/>
                <w:lang w:val="en-US"/>
              </w:rPr>
            </w:pPr>
            <w:r w:rsidRPr="00C15CE4">
              <w:t xml:space="preserve">This contribution is submitted for </w:t>
            </w:r>
            <w:r w:rsidRPr="008A655B">
              <w:rPr>
                <w:b/>
                <w:bCs/>
              </w:rPr>
              <w:t>consideration</w:t>
            </w:r>
            <w:r w:rsidRPr="00C15CE4">
              <w:t xml:space="preserve"> and </w:t>
            </w:r>
            <w:r w:rsidRPr="008A655B">
              <w:rPr>
                <w:b/>
                <w:bCs/>
              </w:rPr>
              <w:t>adoption</w:t>
            </w:r>
            <w:r w:rsidRPr="00C15CE4">
              <w:t xml:space="preserve"> in the action plan of the Working Group of Experts on the ITRs.</w:t>
            </w:r>
          </w:p>
          <w:p w14:paraId="0175CD6C" w14:textId="225B7EB7" w:rsidR="00AD3606" w:rsidRPr="000F2C45" w:rsidRDefault="00AD3606" w:rsidP="00C81E9E">
            <w:pPr>
              <w:spacing w:before="160"/>
            </w:pPr>
          </w:p>
        </w:tc>
      </w:tr>
    </w:tbl>
    <w:p w14:paraId="4CDB8B60" w14:textId="77777777" w:rsidR="00E227F3" w:rsidRPr="000F2C4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0098B6F" w14:textId="77777777" w:rsidR="000E4592" w:rsidRDefault="000E4592" w:rsidP="000E4592"/>
    <w:p w14:paraId="78505F28" w14:textId="77777777" w:rsidR="000E4592" w:rsidRDefault="0090147A" w:rsidP="000E4592">
      <w:r w:rsidRPr="000F2C45">
        <w:br w:type="page"/>
      </w:r>
    </w:p>
    <w:p w14:paraId="2CD290E3" w14:textId="524F16BF" w:rsidR="00C81E9E" w:rsidRPr="000E4592" w:rsidRDefault="000E4592" w:rsidP="000E4592">
      <w:pPr>
        <w:pStyle w:val="Heading1"/>
      </w:pPr>
      <w:r>
        <w:lastRenderedPageBreak/>
        <w:t>1</w:t>
      </w:r>
      <w:r>
        <w:tab/>
      </w:r>
      <w:r w:rsidR="00C81E9E" w:rsidRPr="000E4592">
        <w:t>Introduction</w:t>
      </w:r>
    </w:p>
    <w:p w14:paraId="250D0EE9" w14:textId="0EB3DB7E" w:rsidR="00C81E9E" w:rsidRPr="00C81E9E" w:rsidRDefault="00C81E9E" w:rsidP="000E4592">
      <w:pPr>
        <w:jc w:val="both"/>
        <w:rPr>
          <w:lang w:val="en-US"/>
        </w:rPr>
      </w:pPr>
      <w:r w:rsidRPr="00C81E9E">
        <w:t xml:space="preserve">In the context of providing broadband services that meet consumers' expectations, the objective is to develop </w:t>
      </w:r>
      <w:r>
        <w:t>satellite communication systems</w:t>
      </w:r>
      <w:r w:rsidRPr="00C81E9E">
        <w:t xml:space="preserve"> with performance comparable to terrestrial telecommunication systems. These include non-geostationary low-Earth orbiting (LEO) satellite systems.</w:t>
      </w:r>
    </w:p>
    <w:p w14:paraId="0101CE33" w14:textId="38AB7CE3" w:rsidR="00C81E9E" w:rsidRPr="00C81E9E" w:rsidRDefault="00C81E9E" w:rsidP="000E4592">
      <w:pPr>
        <w:jc w:val="both"/>
        <w:rPr>
          <w:lang w:val="en-US"/>
        </w:rPr>
      </w:pPr>
      <w:r w:rsidRPr="00C81E9E">
        <w:t xml:space="preserve">Although low-Earth orbit satellite systems were introduced in the early 1980s, it is </w:t>
      </w:r>
      <w:r>
        <w:t>only in the last few years that</w:t>
      </w:r>
      <w:r w:rsidRPr="00C81E9E">
        <w:t xml:space="preserve"> investments in setting up constellations of LEO-type satellites, particularly for the provision of high-speed Internet access services, have increased substantially. In addition to the services normally provided by VSAT, these systems include the use of smartphones to make voice calls and connect directly to the Internet. </w:t>
      </w:r>
    </w:p>
    <w:p w14:paraId="3D502DEE" w14:textId="3F9280F1" w:rsidR="00C81E9E" w:rsidRPr="00C81E9E" w:rsidRDefault="00C81E9E" w:rsidP="000E4592">
      <w:pPr>
        <w:jc w:val="both"/>
        <w:rPr>
          <w:lang w:val="en-US"/>
        </w:rPr>
      </w:pPr>
      <w:r w:rsidRPr="00C81E9E">
        <w:t>This technological development, which is welcome and will certainly help to reduce the digital divide throughout the world, nevertheless raises concerns that merit examination in the light of the ITRs.</w:t>
      </w:r>
    </w:p>
    <w:p w14:paraId="47FECE2A" w14:textId="77777777" w:rsidR="00C81E9E" w:rsidRPr="00C81E9E" w:rsidRDefault="00C81E9E" w:rsidP="000E4592">
      <w:pPr>
        <w:jc w:val="both"/>
        <w:rPr>
          <w:lang w:val="en-US"/>
        </w:rPr>
      </w:pPr>
      <w:r w:rsidRPr="00C81E9E">
        <w:t xml:space="preserve">Apart from the risk of disruption of national markets for telecommunication services, these developments raise the question of technical, regulatory and security competencies relating to their use, skills that are not available in all countries. </w:t>
      </w:r>
    </w:p>
    <w:p w14:paraId="15380A3C" w14:textId="77777777" w:rsidR="00C81E9E" w:rsidRPr="00C81E9E" w:rsidRDefault="00C81E9E" w:rsidP="000E4592">
      <w:pPr>
        <w:jc w:val="both"/>
        <w:rPr>
          <w:lang w:val="en-US"/>
        </w:rPr>
      </w:pPr>
      <w:r w:rsidRPr="00C81E9E">
        <w:t>By way of illustration, we can mention the companies STARLINK and ONEWEB, which have a network made up of hundreds or even thousands of satellites placed in low Earth orbit with the ambition of providing high-speed Internet access and voice service everywhere in the world.</w:t>
      </w:r>
    </w:p>
    <w:p w14:paraId="526133A3" w14:textId="6F5A8A0E" w:rsidR="00C81E9E" w:rsidRPr="000E4592" w:rsidRDefault="000E4592" w:rsidP="000E4592">
      <w:pPr>
        <w:pStyle w:val="Heading1"/>
      </w:pPr>
      <w:r w:rsidRPr="000E4592">
        <w:t>2</w:t>
      </w:r>
      <w:r w:rsidRPr="000E4592">
        <w:tab/>
      </w:r>
      <w:r w:rsidR="00C81E9E" w:rsidRPr="00C81E9E">
        <w:t>Issues</w:t>
      </w:r>
    </w:p>
    <w:p w14:paraId="7606DD7C" w14:textId="74B8D7C9" w:rsidR="00C81E9E" w:rsidRPr="000E4592" w:rsidRDefault="000E4592" w:rsidP="000E4592">
      <w:pPr>
        <w:pStyle w:val="Heading2"/>
      </w:pPr>
      <w:r w:rsidRPr="000E4592">
        <w:t>2.1</w:t>
      </w:r>
      <w:r w:rsidRPr="000E4592">
        <w:tab/>
      </w:r>
      <w:r w:rsidR="00C81E9E" w:rsidRPr="00C81E9E">
        <w:t>Economic and strategic challenges</w:t>
      </w:r>
    </w:p>
    <w:p w14:paraId="006BE61F" w14:textId="77777777" w:rsidR="00C81E9E" w:rsidRPr="00C81E9E" w:rsidRDefault="00C81E9E" w:rsidP="000E4592">
      <w:pPr>
        <w:jc w:val="both"/>
        <w:rPr>
          <w:strike/>
          <w:lang w:val="en-US"/>
        </w:rPr>
      </w:pPr>
      <w:r w:rsidRPr="00C81E9E">
        <w:t xml:space="preserve">Satellite network operators do not need to deploy their own network infrastructure in the countries they serve. Services are de facto available throughout the territory to any user equipped with appropriate terminal equipment. </w:t>
      </w:r>
    </w:p>
    <w:p w14:paraId="4667E158" w14:textId="77777777" w:rsidR="00C81E9E" w:rsidRPr="00C81E9E" w:rsidRDefault="00C81E9E" w:rsidP="000E4592">
      <w:pPr>
        <w:jc w:val="both"/>
        <w:rPr>
          <w:lang w:val="en-US"/>
        </w:rPr>
      </w:pPr>
      <w:r w:rsidRPr="00C81E9E">
        <w:t>On the other hand, in the case of terrestrial networks, particularly on the access side, major investments are required, in particular for the deployment, operation and maintenance of radio stations, poles, ducts and active optical equipment. In addition to the investment required, national coverage would take time.</w:t>
      </w:r>
    </w:p>
    <w:p w14:paraId="1A3CBBA6" w14:textId="77777777" w:rsidR="00C81E9E" w:rsidRPr="00C81E9E" w:rsidRDefault="00C81E9E" w:rsidP="000E4592">
      <w:pPr>
        <w:jc w:val="both"/>
        <w:rPr>
          <w:lang w:val="en-US"/>
        </w:rPr>
      </w:pPr>
      <w:r w:rsidRPr="00C81E9E">
        <w:t>Furthermore, recent technological developments in standards organizations (ITU, 3GPP), satellite operators and mobile operating systems (iOS, Android) are tending to make satellite connectivity available directly on smartphones (direct-to-handset / direct-to-device / direct-to-cell satellite communication).</w:t>
      </w:r>
    </w:p>
    <w:p w14:paraId="26F7839B" w14:textId="2C2033B0" w:rsidR="00C81E9E" w:rsidRPr="00C81E9E" w:rsidRDefault="00C81E9E" w:rsidP="000E4592">
      <w:pPr>
        <w:jc w:val="both"/>
        <w:rPr>
          <w:lang w:val="en-US"/>
        </w:rPr>
      </w:pPr>
      <w:r w:rsidRPr="00C81E9E">
        <w:t xml:space="preserve">This situation would present a risk of distorting competition, especially as satellite telecommunication services become substitutable for terrestrial telecommunication services, </w:t>
      </w:r>
      <w:r w:rsidR="007D6A9A">
        <w:t>in</w:t>
      </w:r>
      <w:r w:rsidRPr="00C81E9E">
        <w:t xml:space="preserve"> regard to the performance and the announced tariffs. The rapid fall in prices could lead to an erosion of revenues on the data market, leading to a drop in investment and the risk of crowding out terrestrial infrastructure operators from the ecosystem. </w:t>
      </w:r>
    </w:p>
    <w:p w14:paraId="0080A2E9" w14:textId="77777777" w:rsidR="00C81E9E" w:rsidRPr="00C81E9E" w:rsidRDefault="00C81E9E" w:rsidP="000E4592">
      <w:pPr>
        <w:jc w:val="both"/>
        <w:rPr>
          <w:lang w:val="en-US"/>
        </w:rPr>
      </w:pPr>
      <w:r w:rsidRPr="00C81E9E">
        <w:t>This raises the issue of coverage of territory in developing countries and the low contribution of these systems to the economies of developing countries.</w:t>
      </w:r>
    </w:p>
    <w:p w14:paraId="61F670B3" w14:textId="0B1D5E23" w:rsidR="00C81E9E" w:rsidRPr="00C81E9E" w:rsidRDefault="000E4592" w:rsidP="000E4592">
      <w:pPr>
        <w:pStyle w:val="Heading2"/>
      </w:pPr>
      <w:r w:rsidRPr="00C81E9E">
        <w:lastRenderedPageBreak/>
        <w:t>2.2</w:t>
      </w:r>
      <w:r w:rsidRPr="00C81E9E">
        <w:tab/>
      </w:r>
      <w:r w:rsidR="00C81E9E" w:rsidRPr="00C81E9E">
        <w:t>Security challenges</w:t>
      </w:r>
    </w:p>
    <w:p w14:paraId="464E7BBD" w14:textId="77777777" w:rsidR="00C81E9E" w:rsidRPr="00C81E9E" w:rsidRDefault="00C81E9E" w:rsidP="000E4592">
      <w:pPr>
        <w:jc w:val="both"/>
        <w:rPr>
          <w:lang w:val="en-US"/>
        </w:rPr>
      </w:pPr>
      <w:r w:rsidRPr="00C81E9E">
        <w:t>Providers of satellite communications services typically rely on earth stations located outside the borders of the territory they serve, which are the key facilities of its ground network.</w:t>
      </w:r>
    </w:p>
    <w:p w14:paraId="4BEDD880" w14:textId="74B25EBA" w:rsidR="00C81E9E" w:rsidRPr="00C81E9E" w:rsidRDefault="00C81E9E" w:rsidP="000E4592">
      <w:pPr>
        <w:jc w:val="both"/>
        <w:rPr>
          <w:lang w:val="en-US"/>
        </w:rPr>
      </w:pPr>
      <w:r w:rsidRPr="00C81E9E">
        <w:t xml:space="preserve">This reduces the possibilities </w:t>
      </w:r>
      <w:r w:rsidR="007D6A9A">
        <w:t>of those</w:t>
      </w:r>
      <w:r w:rsidRPr="00C81E9E">
        <w:t xml:space="preserve"> countries to meet security requirements, as appropriate</w:t>
      </w:r>
      <w:r w:rsidR="007D6A9A">
        <w:t>, for example</w:t>
      </w:r>
      <w:r w:rsidRPr="00C81E9E">
        <w:t>:</w:t>
      </w:r>
    </w:p>
    <w:p w14:paraId="1822D8C0" w14:textId="46E7F8F2" w:rsidR="00C81E9E" w:rsidRPr="00C81E9E" w:rsidRDefault="000E4592" w:rsidP="000E4592">
      <w:pPr>
        <w:pStyle w:val="enumlev1"/>
        <w:rPr>
          <w:lang w:val="en-US"/>
        </w:rPr>
      </w:pPr>
      <w:r>
        <w:rPr>
          <w:rFonts w:ascii="Times New Roman" w:eastAsiaTheme="minorHAnsi" w:hAnsi="Times New Roman"/>
          <w:lang w:val="en-US"/>
        </w:rPr>
        <w:t>–</w:t>
      </w:r>
      <w:r w:rsidRPr="00C81E9E">
        <w:rPr>
          <w:rFonts w:ascii="Times New Roman" w:eastAsiaTheme="minorHAnsi" w:hAnsi="Times New Roman"/>
          <w:lang w:val="en-US"/>
        </w:rPr>
        <w:tab/>
      </w:r>
      <w:r w:rsidR="00C81E9E" w:rsidRPr="00C81E9E">
        <w:t>partial or total suspension of services;</w:t>
      </w:r>
    </w:p>
    <w:p w14:paraId="0BE1FD11" w14:textId="3CE7DA85" w:rsidR="00C81E9E" w:rsidRPr="000E4592" w:rsidRDefault="000E4592" w:rsidP="000E4592">
      <w:pPr>
        <w:pStyle w:val="enumlev1"/>
      </w:pPr>
      <w:r>
        <w:rPr>
          <w:rFonts w:ascii="Times New Roman" w:eastAsiaTheme="minorHAnsi" w:hAnsi="Times New Roman"/>
        </w:rPr>
        <w:t>–</w:t>
      </w:r>
      <w:r w:rsidRPr="000E4592">
        <w:rPr>
          <w:rFonts w:ascii="Times New Roman" w:eastAsiaTheme="minorHAnsi" w:hAnsi="Times New Roman"/>
        </w:rPr>
        <w:tab/>
      </w:r>
      <w:r w:rsidR="00C81E9E" w:rsidRPr="00C81E9E">
        <w:t>lawful interception of communications;</w:t>
      </w:r>
    </w:p>
    <w:p w14:paraId="77B63B4E" w14:textId="7474670F" w:rsidR="00C81E9E" w:rsidRPr="00C81E9E" w:rsidRDefault="000E4592" w:rsidP="000E4592">
      <w:pPr>
        <w:pStyle w:val="enumlev1"/>
        <w:rPr>
          <w:lang w:val="en-US"/>
        </w:rPr>
      </w:pPr>
      <w:r>
        <w:rPr>
          <w:rFonts w:ascii="Times New Roman" w:eastAsiaTheme="minorHAnsi" w:hAnsi="Times New Roman"/>
          <w:lang w:val="en-US"/>
        </w:rPr>
        <w:t>–</w:t>
      </w:r>
      <w:r w:rsidRPr="00C81E9E">
        <w:rPr>
          <w:rFonts w:ascii="Times New Roman" w:eastAsiaTheme="minorHAnsi" w:hAnsi="Times New Roman"/>
          <w:lang w:val="en-US"/>
        </w:rPr>
        <w:tab/>
      </w:r>
      <w:r w:rsidR="00C81E9E" w:rsidRPr="00C81E9E">
        <w:t>traffic control and the fight against fraud;</w:t>
      </w:r>
    </w:p>
    <w:p w14:paraId="250E2024" w14:textId="69321497" w:rsidR="00C81E9E" w:rsidRPr="00C81E9E" w:rsidRDefault="000E4592" w:rsidP="000E4592">
      <w:pPr>
        <w:pStyle w:val="enumlev1"/>
        <w:rPr>
          <w:lang w:val="en-US"/>
        </w:rPr>
      </w:pPr>
      <w:r>
        <w:rPr>
          <w:rFonts w:ascii="Times New Roman" w:eastAsiaTheme="minorHAnsi" w:hAnsi="Times New Roman"/>
          <w:lang w:val="en-US"/>
        </w:rPr>
        <w:t>–</w:t>
      </w:r>
      <w:r w:rsidRPr="00C81E9E">
        <w:rPr>
          <w:rFonts w:ascii="Times New Roman" w:eastAsiaTheme="minorHAnsi" w:hAnsi="Times New Roman"/>
          <w:lang w:val="en-US"/>
        </w:rPr>
        <w:tab/>
      </w:r>
      <w:r w:rsidR="00C81E9E" w:rsidRPr="00C81E9E">
        <w:t>any other mechanism to be put in place at the request of the competent authorities.</w:t>
      </w:r>
    </w:p>
    <w:p w14:paraId="29F3C1D9" w14:textId="77777777" w:rsidR="00C81E9E" w:rsidRPr="00C81E9E" w:rsidRDefault="00C81E9E" w:rsidP="00C81E9E">
      <w:pPr>
        <w:jc w:val="both"/>
        <w:rPr>
          <w:sz w:val="25"/>
          <w:szCs w:val="25"/>
          <w:lang w:val="en-US"/>
        </w:rPr>
      </w:pPr>
      <w:r w:rsidRPr="00C81E9E">
        <w:rPr>
          <w:sz w:val="25"/>
          <w:szCs w:val="25"/>
        </w:rPr>
        <w:t>The inability of developing countries to exercise control over these new players could encourage the development of illegal activities and even terrorism.</w:t>
      </w:r>
    </w:p>
    <w:p w14:paraId="0760613A" w14:textId="0058C8E1" w:rsidR="00C81E9E" w:rsidRPr="00C81E9E" w:rsidRDefault="000E4592" w:rsidP="000E4592">
      <w:pPr>
        <w:pStyle w:val="Heading2"/>
        <w:rPr>
          <w:lang w:val="fr-FR"/>
        </w:rPr>
      </w:pPr>
      <w:r w:rsidRPr="00C81E9E">
        <w:rPr>
          <w:lang w:val="fr-FR"/>
        </w:rPr>
        <w:t>2.3</w:t>
      </w:r>
      <w:r w:rsidRPr="00C81E9E">
        <w:rPr>
          <w:lang w:val="fr-FR"/>
        </w:rPr>
        <w:tab/>
      </w:r>
      <w:r w:rsidR="00C81E9E" w:rsidRPr="00C81E9E">
        <w:t xml:space="preserve">Digital sovereignty </w:t>
      </w:r>
      <w:proofErr w:type="gramStart"/>
      <w:r w:rsidR="00C81E9E" w:rsidRPr="00C81E9E">
        <w:t>challenges</w:t>
      </w:r>
      <w:proofErr w:type="gramEnd"/>
    </w:p>
    <w:p w14:paraId="177E94D0" w14:textId="77777777" w:rsidR="00C81E9E" w:rsidRPr="00C81E9E" w:rsidRDefault="00C81E9E" w:rsidP="000E4592">
      <w:pPr>
        <w:jc w:val="both"/>
        <w:rPr>
          <w:lang w:val="en-US"/>
        </w:rPr>
      </w:pPr>
      <w:r w:rsidRPr="00C81E9E">
        <w:t xml:space="preserve">The use of satellite systems in low Earth orbit could jeopardize the ability of countries to regulate and control telecommunications/ICTs due to the extraterritoriality of these telecommunication systems. </w:t>
      </w:r>
    </w:p>
    <w:p w14:paraId="6E1F9F84" w14:textId="77777777" w:rsidR="00C81E9E" w:rsidRPr="00C81E9E" w:rsidRDefault="00C81E9E" w:rsidP="000E4592">
      <w:pPr>
        <w:jc w:val="both"/>
        <w:rPr>
          <w:lang w:val="en-US"/>
        </w:rPr>
      </w:pPr>
      <w:r w:rsidRPr="00C81E9E">
        <w:t>This raises other concerns, in particular taxation and equality of actors in the provision of telecommunication services.</w:t>
      </w:r>
    </w:p>
    <w:p w14:paraId="4E376E62" w14:textId="77777777" w:rsidR="00C81E9E" w:rsidRPr="00C81E9E" w:rsidRDefault="00C81E9E" w:rsidP="00C81E9E">
      <w:pPr>
        <w:tabs>
          <w:tab w:val="clear" w:pos="567"/>
          <w:tab w:val="clear" w:pos="1134"/>
          <w:tab w:val="clear" w:pos="1701"/>
          <w:tab w:val="clear" w:pos="2268"/>
          <w:tab w:val="clear" w:pos="2835"/>
        </w:tabs>
        <w:overflowPunct/>
        <w:autoSpaceDE/>
        <w:autoSpaceDN/>
        <w:adjustRightInd/>
        <w:spacing w:before="840"/>
        <w:jc w:val="center"/>
        <w:textAlignment w:val="auto"/>
        <w:rPr>
          <w:b/>
          <w:lang w:val="fr-CI"/>
        </w:rPr>
      </w:pPr>
      <w:r w:rsidRPr="00C81E9E">
        <w:t>_________________</w:t>
      </w:r>
      <w:bookmarkEnd w:id="5"/>
      <w:bookmarkEnd w:id="11"/>
    </w:p>
    <w:sectPr w:rsidR="00C81E9E" w:rsidRPr="00C81E9E" w:rsidSect="00AD3606">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12D40" w14:textId="77777777" w:rsidR="00550E6E" w:rsidRDefault="00550E6E">
      <w:r>
        <w:separator/>
      </w:r>
    </w:p>
  </w:endnote>
  <w:endnote w:type="continuationSeparator" w:id="0">
    <w:p w14:paraId="2DCEC740" w14:textId="77777777" w:rsidR="00550E6E" w:rsidRDefault="0055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9683" w14:textId="77777777" w:rsidR="00B240BF" w:rsidRDefault="00B24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5FF3B18" w:rsidR="00EE49E8" w:rsidRDefault="00EE49E8" w:rsidP="00EE49E8">
          <w:pPr>
            <w:pStyle w:val="Header"/>
            <w:jc w:val="left"/>
            <w:rPr>
              <w:noProof/>
            </w:rPr>
          </w:pPr>
        </w:p>
      </w:tc>
      <w:tc>
        <w:tcPr>
          <w:tcW w:w="8261" w:type="dxa"/>
        </w:tcPr>
        <w:p w14:paraId="2D49E76E" w14:textId="2848DF86" w:rsidR="00EE49E8" w:rsidRPr="00E06FD5" w:rsidRDefault="00EE49E8" w:rsidP="00B240BF">
          <w:pPr>
            <w:pStyle w:val="Header"/>
            <w:tabs>
              <w:tab w:val="left" w:pos="6742"/>
              <w:tab w:val="right" w:pos="8505"/>
              <w:tab w:val="right" w:pos="9639"/>
            </w:tabs>
            <w:jc w:val="left"/>
            <w:rPr>
              <w:rFonts w:ascii="Arial" w:hAnsi="Arial" w:cs="Arial"/>
              <w:b/>
              <w:bCs/>
              <w:szCs w:val="18"/>
            </w:rPr>
          </w:pPr>
          <w:r>
            <w:rPr>
              <w:bCs/>
            </w:rPr>
            <w:tab/>
          </w:r>
          <w:r w:rsidR="00A028B5">
            <w:rPr>
              <w:bCs/>
            </w:rPr>
            <w:t>EG-ITRs</w:t>
          </w:r>
          <w:r w:rsidR="00A52C84">
            <w:rPr>
              <w:bCs/>
            </w:rPr>
            <w:t>-</w:t>
          </w:r>
          <w:r w:rsidR="008A655B">
            <w:rPr>
              <w:bCs/>
            </w:rPr>
            <w:t>3/6</w:t>
          </w:r>
          <w:r>
            <w:rPr>
              <w:bCs/>
            </w:rPr>
            <w:tab/>
          </w:r>
          <w:r>
            <w:fldChar w:fldCharType="begin"/>
          </w:r>
          <w:r>
            <w:instrText>PAGE</w:instrText>
          </w:r>
          <w:r>
            <w:fldChar w:fldCharType="separate"/>
          </w:r>
          <w:r w:rsidR="007D6A9A">
            <w:rPr>
              <w:noProof/>
            </w:rPr>
            <w:t>3</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3F62E0D8" w14:textId="33F5563E" w:rsidR="00EE49E8" w:rsidRPr="00E06FD5" w:rsidRDefault="00EE49E8" w:rsidP="00B240BF">
          <w:pPr>
            <w:pStyle w:val="Header"/>
            <w:tabs>
              <w:tab w:val="left" w:pos="5295"/>
              <w:tab w:val="right" w:pos="8505"/>
              <w:tab w:val="right" w:pos="9639"/>
            </w:tabs>
            <w:jc w:val="left"/>
            <w:rPr>
              <w:rFonts w:ascii="Arial" w:hAnsi="Arial" w:cs="Arial"/>
              <w:b/>
              <w:bCs/>
              <w:szCs w:val="18"/>
            </w:rPr>
          </w:pPr>
          <w:r>
            <w:rPr>
              <w:bCs/>
            </w:rPr>
            <w:tab/>
          </w:r>
          <w:r w:rsidR="00A028B5">
            <w:rPr>
              <w:bCs/>
            </w:rPr>
            <w:t>EG-ITRs</w:t>
          </w:r>
          <w:r w:rsidR="00A52C84">
            <w:rPr>
              <w:bCs/>
            </w:rPr>
            <w:t>-</w:t>
          </w:r>
          <w:r w:rsidR="00422C56">
            <w:rPr>
              <w:bCs/>
            </w:rPr>
            <w:t>3</w:t>
          </w:r>
          <w:r w:rsidRPr="00623AE3">
            <w:rPr>
              <w:bCs/>
            </w:rPr>
            <w:t>/</w:t>
          </w:r>
          <w:r w:rsidR="008A655B">
            <w:rPr>
              <w:bCs/>
            </w:rPr>
            <w:t>6</w:t>
          </w:r>
          <w:r w:rsidRPr="00623AE3">
            <w:rPr>
              <w:bCs/>
            </w:rPr>
            <w:t>-E</w:t>
          </w:r>
          <w:r>
            <w:rPr>
              <w:bCs/>
            </w:rPr>
            <w:tab/>
          </w:r>
          <w:r>
            <w:fldChar w:fldCharType="begin"/>
          </w:r>
          <w:r>
            <w:instrText>PAGE</w:instrText>
          </w:r>
          <w:r>
            <w:fldChar w:fldCharType="separate"/>
          </w:r>
          <w:r w:rsidR="00C81E9E">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E7391" w14:textId="77777777" w:rsidR="00550E6E" w:rsidRDefault="00550E6E">
      <w:r>
        <w:t>____________________</w:t>
      </w:r>
    </w:p>
  </w:footnote>
  <w:footnote w:type="continuationSeparator" w:id="0">
    <w:p w14:paraId="3F8477E3" w14:textId="77777777" w:rsidR="00550E6E" w:rsidRDefault="0055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04F4" w14:textId="77777777" w:rsidR="00B240BF" w:rsidRDefault="00B2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7569" w14:textId="77777777" w:rsidR="00B240BF" w:rsidRDefault="00B24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fr-FR" w:eastAsia="fr-FR"/>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fr-FR" w:eastAsia="fr-FR"/>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val="fr-FR" w:eastAsia="fr-FR"/>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fr-FR" w:eastAsia="fr-FR"/>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C939667" w14:textId="77777777" w:rsidR="00422C56" w:rsidRPr="00422C56" w:rsidRDefault="00A028B5" w:rsidP="00422C56">
                          <w:pPr>
                            <w:spacing w:before="0"/>
                            <w:rPr>
                              <w:sz w:val="20"/>
                            </w:rPr>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422C56" w:rsidRPr="00422C56">
                            <w:rPr>
                              <w:sz w:val="20"/>
                            </w:rPr>
                            <w:t>Third meeting – From 30 September to 1 October 2024</w:t>
                          </w:r>
                        </w:p>
                        <w:p w14:paraId="0B44A3EE" w14:textId="060A7159" w:rsidR="00130599" w:rsidRDefault="00130599" w:rsidP="00130599">
                          <w:pPr>
                            <w:spacing w:befor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1C939667" w14:textId="77777777" w:rsidR="00422C56" w:rsidRPr="00422C56" w:rsidRDefault="00A028B5" w:rsidP="00422C56">
                    <w:pPr>
                      <w:spacing w:before="0"/>
                      <w:rPr>
                        <w:sz w:val="20"/>
                      </w:rPr>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422C56" w:rsidRPr="00422C56">
                      <w:rPr>
                        <w:sz w:val="20"/>
                      </w:rPr>
                      <w:t>Third meeting – From 30 September to 1 October 2024</w:t>
                    </w:r>
                  </w:p>
                  <w:p w14:paraId="0B44A3EE" w14:textId="060A7159" w:rsidR="00130599" w:rsidRDefault="00130599" w:rsidP="00130599">
                    <w:pPr>
                      <w:spacing w:before="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F238A"/>
    <w:multiLevelType w:val="hybridMultilevel"/>
    <w:tmpl w:val="EE141C7C"/>
    <w:lvl w:ilvl="0" w:tplc="EE4EDBF4">
      <w:numFmt w:val="bullet"/>
      <w:lvlText w:val="-"/>
      <w:lvlJc w:val="left"/>
      <w:pPr>
        <w:ind w:left="714" w:hanging="360"/>
      </w:pPr>
      <w:rPr>
        <w:rFonts w:ascii="Times New Roman" w:eastAsiaTheme="minorHAnsi" w:hAnsi="Times New Roman" w:cs="Times New Roman" w:hint="default"/>
      </w:rPr>
    </w:lvl>
    <w:lvl w:ilvl="1" w:tplc="040C0003">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 w15:restartNumberingAfterBreak="0">
    <w:nsid w:val="222D57AE"/>
    <w:multiLevelType w:val="hybridMultilevel"/>
    <w:tmpl w:val="3BC67B28"/>
    <w:lvl w:ilvl="0" w:tplc="D2C6825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CD16F5"/>
    <w:multiLevelType w:val="hybridMultilevel"/>
    <w:tmpl w:val="3E629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7B3B60"/>
    <w:multiLevelType w:val="hybridMultilevel"/>
    <w:tmpl w:val="0820053C"/>
    <w:lvl w:ilvl="0" w:tplc="103052E8">
      <w:start w:val="2"/>
      <w:numFmt w:val="bullet"/>
      <w:lvlText w:val="-"/>
      <w:lvlJc w:val="left"/>
      <w:pPr>
        <w:ind w:left="720" w:hanging="360"/>
      </w:pPr>
      <w:rPr>
        <w:rFonts w:ascii="Cambria" w:eastAsiaTheme="minorHAnsi" w:hAnsi="Cambria"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4482463"/>
    <w:multiLevelType w:val="multilevel"/>
    <w:tmpl w:val="67F246D6"/>
    <w:lvl w:ilvl="0">
      <w:start w:val="1"/>
      <w:numFmt w:val="decimal"/>
      <w:lvlText w:val="%1."/>
      <w:lvlJc w:val="left"/>
      <w:pPr>
        <w:ind w:left="36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7E46DA"/>
    <w:multiLevelType w:val="hybridMultilevel"/>
    <w:tmpl w:val="AFF270CA"/>
    <w:lvl w:ilvl="0" w:tplc="D2C6825E">
      <w:start w:val="13"/>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95056933">
    <w:abstractNumId w:val="0"/>
  </w:num>
  <w:num w:numId="2" w16cid:durableId="2083409021">
    <w:abstractNumId w:val="4"/>
  </w:num>
  <w:num w:numId="3" w16cid:durableId="489759230">
    <w:abstractNumId w:val="2"/>
  </w:num>
  <w:num w:numId="4" w16cid:durableId="299237616">
    <w:abstractNumId w:val="1"/>
  </w:num>
  <w:num w:numId="5" w16cid:durableId="592280430">
    <w:abstractNumId w:val="3"/>
  </w:num>
  <w:num w:numId="6" w16cid:durableId="2000572988">
    <w:abstractNumId w:val="5"/>
  </w:num>
  <w:num w:numId="7" w16cid:durableId="1753968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7A1A"/>
    <w:rsid w:val="000210D4"/>
    <w:rsid w:val="00040263"/>
    <w:rsid w:val="00063016"/>
    <w:rsid w:val="00066795"/>
    <w:rsid w:val="00076AF6"/>
    <w:rsid w:val="00085CF2"/>
    <w:rsid w:val="000B1705"/>
    <w:rsid w:val="000D75B2"/>
    <w:rsid w:val="000E4592"/>
    <w:rsid w:val="000F2C45"/>
    <w:rsid w:val="001121F5"/>
    <w:rsid w:val="00130599"/>
    <w:rsid w:val="001400DC"/>
    <w:rsid w:val="00140CE1"/>
    <w:rsid w:val="00151590"/>
    <w:rsid w:val="0017539C"/>
    <w:rsid w:val="00175AC2"/>
    <w:rsid w:val="0017609F"/>
    <w:rsid w:val="00185308"/>
    <w:rsid w:val="00195F5D"/>
    <w:rsid w:val="001A7D1D"/>
    <w:rsid w:val="001B51DD"/>
    <w:rsid w:val="001C18F5"/>
    <w:rsid w:val="001C628E"/>
    <w:rsid w:val="001E0F7B"/>
    <w:rsid w:val="001E42DB"/>
    <w:rsid w:val="0020555B"/>
    <w:rsid w:val="002119FD"/>
    <w:rsid w:val="002130E0"/>
    <w:rsid w:val="00234A99"/>
    <w:rsid w:val="00244F7F"/>
    <w:rsid w:val="002578F4"/>
    <w:rsid w:val="00264425"/>
    <w:rsid w:val="002653D6"/>
    <w:rsid w:val="00265875"/>
    <w:rsid w:val="002676E6"/>
    <w:rsid w:val="0027303B"/>
    <w:rsid w:val="0028109B"/>
    <w:rsid w:val="00283A18"/>
    <w:rsid w:val="00293B38"/>
    <w:rsid w:val="002A2188"/>
    <w:rsid w:val="002A2DA7"/>
    <w:rsid w:val="002B1F58"/>
    <w:rsid w:val="002C1C7A"/>
    <w:rsid w:val="002C211B"/>
    <w:rsid w:val="002C54E2"/>
    <w:rsid w:val="002C70D3"/>
    <w:rsid w:val="002D4DD4"/>
    <w:rsid w:val="0030160F"/>
    <w:rsid w:val="00320223"/>
    <w:rsid w:val="00322D0D"/>
    <w:rsid w:val="00361465"/>
    <w:rsid w:val="0036415F"/>
    <w:rsid w:val="003877F5"/>
    <w:rsid w:val="003942D4"/>
    <w:rsid w:val="003958A8"/>
    <w:rsid w:val="003C2533"/>
    <w:rsid w:val="003D3D25"/>
    <w:rsid w:val="003D5A7F"/>
    <w:rsid w:val="004016E2"/>
    <w:rsid w:val="0040435A"/>
    <w:rsid w:val="00416A24"/>
    <w:rsid w:val="00422C56"/>
    <w:rsid w:val="00423A88"/>
    <w:rsid w:val="00431D9E"/>
    <w:rsid w:val="00433CE8"/>
    <w:rsid w:val="00434A5C"/>
    <w:rsid w:val="00440BE8"/>
    <w:rsid w:val="004544D9"/>
    <w:rsid w:val="00463D1D"/>
    <w:rsid w:val="00472BAD"/>
    <w:rsid w:val="00484009"/>
    <w:rsid w:val="00490E72"/>
    <w:rsid w:val="00491157"/>
    <w:rsid w:val="004921C8"/>
    <w:rsid w:val="0049435C"/>
    <w:rsid w:val="00495B0B"/>
    <w:rsid w:val="004A1B8B"/>
    <w:rsid w:val="004B6E5D"/>
    <w:rsid w:val="004D1851"/>
    <w:rsid w:val="004D599D"/>
    <w:rsid w:val="004D648B"/>
    <w:rsid w:val="004E2EA5"/>
    <w:rsid w:val="004E3AEB"/>
    <w:rsid w:val="0050223C"/>
    <w:rsid w:val="005243FF"/>
    <w:rsid w:val="00550E6E"/>
    <w:rsid w:val="00564FBC"/>
    <w:rsid w:val="00573B30"/>
    <w:rsid w:val="005800BC"/>
    <w:rsid w:val="00582442"/>
    <w:rsid w:val="005A0732"/>
    <w:rsid w:val="005A335D"/>
    <w:rsid w:val="005E2BD5"/>
    <w:rsid w:val="005F3269"/>
    <w:rsid w:val="00623AE3"/>
    <w:rsid w:val="00636853"/>
    <w:rsid w:val="0064737F"/>
    <w:rsid w:val="006535F1"/>
    <w:rsid w:val="0065557D"/>
    <w:rsid w:val="00660D50"/>
    <w:rsid w:val="00662984"/>
    <w:rsid w:val="006644F4"/>
    <w:rsid w:val="006716BB"/>
    <w:rsid w:val="006B1859"/>
    <w:rsid w:val="006B6680"/>
    <w:rsid w:val="006B6DCC"/>
    <w:rsid w:val="006C11BB"/>
    <w:rsid w:val="006D7A3B"/>
    <w:rsid w:val="00702DEF"/>
    <w:rsid w:val="00706861"/>
    <w:rsid w:val="00745D44"/>
    <w:rsid w:val="0075051B"/>
    <w:rsid w:val="00756792"/>
    <w:rsid w:val="00775655"/>
    <w:rsid w:val="00793188"/>
    <w:rsid w:val="00794D34"/>
    <w:rsid w:val="00794DFC"/>
    <w:rsid w:val="007D6A9A"/>
    <w:rsid w:val="007F4147"/>
    <w:rsid w:val="00813E5E"/>
    <w:rsid w:val="0083408D"/>
    <w:rsid w:val="0083581B"/>
    <w:rsid w:val="00842B11"/>
    <w:rsid w:val="0085074D"/>
    <w:rsid w:val="00863874"/>
    <w:rsid w:val="00864AFF"/>
    <w:rsid w:val="00865925"/>
    <w:rsid w:val="0086704D"/>
    <w:rsid w:val="00871596"/>
    <w:rsid w:val="008745F7"/>
    <w:rsid w:val="00875AD1"/>
    <w:rsid w:val="0089224F"/>
    <w:rsid w:val="008A655B"/>
    <w:rsid w:val="008B4A6A"/>
    <w:rsid w:val="008C7E27"/>
    <w:rsid w:val="008F7448"/>
    <w:rsid w:val="0090147A"/>
    <w:rsid w:val="009173EF"/>
    <w:rsid w:val="00932906"/>
    <w:rsid w:val="00961B0B"/>
    <w:rsid w:val="00962D33"/>
    <w:rsid w:val="009B38C3"/>
    <w:rsid w:val="009D024E"/>
    <w:rsid w:val="009E17BD"/>
    <w:rsid w:val="009E485A"/>
    <w:rsid w:val="009F4CD5"/>
    <w:rsid w:val="00A028B5"/>
    <w:rsid w:val="00A04CEC"/>
    <w:rsid w:val="00A26F46"/>
    <w:rsid w:val="00A27F92"/>
    <w:rsid w:val="00A32257"/>
    <w:rsid w:val="00A36D20"/>
    <w:rsid w:val="00A514A4"/>
    <w:rsid w:val="00A52C84"/>
    <w:rsid w:val="00A55622"/>
    <w:rsid w:val="00A83502"/>
    <w:rsid w:val="00AA5653"/>
    <w:rsid w:val="00AD15B3"/>
    <w:rsid w:val="00AD3606"/>
    <w:rsid w:val="00AD4A3D"/>
    <w:rsid w:val="00AE0A11"/>
    <w:rsid w:val="00AF6E49"/>
    <w:rsid w:val="00B04A67"/>
    <w:rsid w:val="00B0583C"/>
    <w:rsid w:val="00B240BF"/>
    <w:rsid w:val="00B40A81"/>
    <w:rsid w:val="00B4436B"/>
    <w:rsid w:val="00B44910"/>
    <w:rsid w:val="00B72267"/>
    <w:rsid w:val="00B76EB6"/>
    <w:rsid w:val="00B7737B"/>
    <w:rsid w:val="00B824C8"/>
    <w:rsid w:val="00B84B9D"/>
    <w:rsid w:val="00BC251A"/>
    <w:rsid w:val="00BD032B"/>
    <w:rsid w:val="00BE2640"/>
    <w:rsid w:val="00BE4C03"/>
    <w:rsid w:val="00BF0749"/>
    <w:rsid w:val="00C01189"/>
    <w:rsid w:val="00C15CE4"/>
    <w:rsid w:val="00C374DE"/>
    <w:rsid w:val="00C47AD4"/>
    <w:rsid w:val="00C52D81"/>
    <w:rsid w:val="00C55198"/>
    <w:rsid w:val="00C81E9E"/>
    <w:rsid w:val="00CA5D23"/>
    <w:rsid w:val="00CA6393"/>
    <w:rsid w:val="00CB18FF"/>
    <w:rsid w:val="00CD0C08"/>
    <w:rsid w:val="00CE03FB"/>
    <w:rsid w:val="00CE433C"/>
    <w:rsid w:val="00CF0161"/>
    <w:rsid w:val="00CF33F3"/>
    <w:rsid w:val="00D06183"/>
    <w:rsid w:val="00D22C42"/>
    <w:rsid w:val="00D464CC"/>
    <w:rsid w:val="00D6000F"/>
    <w:rsid w:val="00D63886"/>
    <w:rsid w:val="00D65041"/>
    <w:rsid w:val="00D670A7"/>
    <w:rsid w:val="00D76508"/>
    <w:rsid w:val="00DB00D5"/>
    <w:rsid w:val="00DB1936"/>
    <w:rsid w:val="00DB384B"/>
    <w:rsid w:val="00DF0189"/>
    <w:rsid w:val="00DF0A0D"/>
    <w:rsid w:val="00DF1EB9"/>
    <w:rsid w:val="00E06FD5"/>
    <w:rsid w:val="00E10E80"/>
    <w:rsid w:val="00E124F0"/>
    <w:rsid w:val="00E227F3"/>
    <w:rsid w:val="00E543AC"/>
    <w:rsid w:val="00E545C6"/>
    <w:rsid w:val="00E60F04"/>
    <w:rsid w:val="00E65B24"/>
    <w:rsid w:val="00E854E4"/>
    <w:rsid w:val="00E86DBF"/>
    <w:rsid w:val="00EB0D6F"/>
    <w:rsid w:val="00EB2232"/>
    <w:rsid w:val="00EB64AA"/>
    <w:rsid w:val="00EC5337"/>
    <w:rsid w:val="00EE49E8"/>
    <w:rsid w:val="00F11173"/>
    <w:rsid w:val="00F16BAB"/>
    <w:rsid w:val="00F2150A"/>
    <w:rsid w:val="00F231D8"/>
    <w:rsid w:val="00F23C77"/>
    <w:rsid w:val="00F44C00"/>
    <w:rsid w:val="00F45D2C"/>
    <w:rsid w:val="00F46C5F"/>
    <w:rsid w:val="00F632C0"/>
    <w:rsid w:val="00F74694"/>
    <w:rsid w:val="00F94A63"/>
    <w:rsid w:val="00FA1C28"/>
    <w:rsid w:val="00FB1279"/>
    <w:rsid w:val="00FB6B76"/>
    <w:rsid w:val="00FB7596"/>
    <w:rsid w:val="00FC1869"/>
    <w:rsid w:val="00FE4077"/>
    <w:rsid w:val="00FE500D"/>
    <w:rsid w:val="00FE77D2"/>
    <w:rsid w:val="00FF2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63E59"/>
  <w15:docId w15:val="{71C43CB9-E12B-48DE-BE2C-1EF5916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1E42D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Arial Narrow" w:eastAsiaTheme="minorHAnsi" w:hAnsi="Arial Narrow" w:cstheme="minorBidi"/>
      <w:sz w:val="26"/>
      <w:szCs w:val="22"/>
      <w:lang w:val="fr-FR"/>
    </w:rPr>
  </w:style>
  <w:style w:type="paragraph" w:styleId="Revision">
    <w:name w:val="Revision"/>
    <w:hidden/>
    <w:uiPriority w:val="99"/>
    <w:semiHidden/>
    <w:rsid w:val="00422C5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D4A2-1C08-4570-B372-A3140A24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672</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from Côte d'Ivoire - Challenges in the provision of telecommunication services by non-geostationary satellites in low earth orbit (NGSO)</vt:lpstr>
      <vt:lpstr>Multi-country contribution - New Trends in Telecommunications/ICTs and Emerging Issues in International Telecommunications/ICTs Environment which may impact the ITRs</vt:lpstr>
    </vt:vector>
  </TitlesOfParts>
  <Manager/>
  <Company/>
  <LinksUpToDate>false</LinksUpToDate>
  <CharactersWithSpaces>4773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Côte d'Ivoire - Challenges in the provision of telecommunication services by non-geostationary satellites in low earth orbit (NGSO)</dc:title>
  <dc:subject>Expert Group on the International Telecommunication Regulations</dc:subject>
  <cp:keywords>EG-ITRs, C24</cp:keywords>
  <dc:description/>
  <cp:revision>3</cp:revision>
  <dcterms:created xsi:type="dcterms:W3CDTF">2024-09-17T12:34:00Z</dcterms:created>
  <dcterms:modified xsi:type="dcterms:W3CDTF">2024-09-17T13:01:00Z</dcterms:modified>
  <cp:category>Conference document</cp:category>
</cp:coreProperties>
</file>