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697EFF7" w14:textId="77777777" w:rsidTr="00AD3606">
        <w:trPr>
          <w:cantSplit/>
          <w:trHeight w:val="23"/>
        </w:trPr>
        <w:tc>
          <w:tcPr>
            <w:tcW w:w="3969" w:type="dxa"/>
            <w:vMerge w:val="restart"/>
            <w:tcMar>
              <w:left w:w="0" w:type="dxa"/>
            </w:tcMar>
          </w:tcPr>
          <w:p w14:paraId="6CC2FF5C"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FCB5566" w14:textId="77777777" w:rsidR="00AD3606" w:rsidRPr="00A52C84" w:rsidRDefault="00AD3606" w:rsidP="00942438">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F63765">
              <w:rPr>
                <w:b/>
                <w:lang w:val="fr-CH"/>
              </w:rPr>
              <w:t>3</w:t>
            </w:r>
            <w:r w:rsidRPr="00A52C84">
              <w:rPr>
                <w:b/>
                <w:lang w:val="fr-CH"/>
              </w:rPr>
              <w:t>/</w:t>
            </w:r>
            <w:r w:rsidR="00942438">
              <w:rPr>
                <w:b/>
                <w:lang w:val="fr-CH"/>
              </w:rPr>
              <w:t>4</w:t>
            </w:r>
          </w:p>
        </w:tc>
      </w:tr>
      <w:tr w:rsidR="00AD3606" w:rsidRPr="00813E5E" w14:paraId="3EA3E123" w14:textId="77777777" w:rsidTr="00AD3606">
        <w:trPr>
          <w:cantSplit/>
        </w:trPr>
        <w:tc>
          <w:tcPr>
            <w:tcW w:w="3969" w:type="dxa"/>
            <w:vMerge/>
          </w:tcPr>
          <w:p w14:paraId="0DDD9C44"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09C0A5C3" w14:textId="77777777" w:rsidR="00AD3606" w:rsidRPr="00E85629" w:rsidRDefault="00F0286A" w:rsidP="00F0286A">
            <w:pPr>
              <w:tabs>
                <w:tab w:val="left" w:pos="851"/>
              </w:tabs>
              <w:spacing w:before="0"/>
              <w:jc w:val="right"/>
              <w:rPr>
                <w:b/>
              </w:rPr>
            </w:pPr>
            <w:r>
              <w:rPr>
                <w:b/>
              </w:rPr>
              <w:t>10 July</w:t>
            </w:r>
            <w:r w:rsidR="00AD3606">
              <w:rPr>
                <w:b/>
              </w:rPr>
              <w:t xml:space="preserve"> 202</w:t>
            </w:r>
            <w:r w:rsidR="00F63765">
              <w:rPr>
                <w:b/>
              </w:rPr>
              <w:t>4</w:t>
            </w:r>
          </w:p>
        </w:tc>
      </w:tr>
      <w:tr w:rsidR="00AD3606" w:rsidRPr="00813E5E" w14:paraId="723ED085" w14:textId="77777777" w:rsidTr="00AD3606">
        <w:trPr>
          <w:cantSplit/>
          <w:trHeight w:val="23"/>
        </w:trPr>
        <w:tc>
          <w:tcPr>
            <w:tcW w:w="3969" w:type="dxa"/>
            <w:vMerge/>
          </w:tcPr>
          <w:p w14:paraId="3000D781"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2B5836E6"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79E27CD9" w14:textId="77777777" w:rsidTr="00AD3606">
        <w:trPr>
          <w:cantSplit/>
          <w:trHeight w:val="23"/>
        </w:trPr>
        <w:tc>
          <w:tcPr>
            <w:tcW w:w="3969" w:type="dxa"/>
          </w:tcPr>
          <w:p w14:paraId="6ED27CA5" w14:textId="77777777" w:rsidR="00472BAD" w:rsidRPr="00813E5E" w:rsidRDefault="00472BAD" w:rsidP="00AD3606">
            <w:pPr>
              <w:tabs>
                <w:tab w:val="left" w:pos="851"/>
              </w:tabs>
              <w:spacing w:line="240" w:lineRule="atLeast"/>
              <w:rPr>
                <w:b/>
              </w:rPr>
            </w:pPr>
          </w:p>
        </w:tc>
        <w:tc>
          <w:tcPr>
            <w:tcW w:w="5245" w:type="dxa"/>
          </w:tcPr>
          <w:p w14:paraId="1C04A960" w14:textId="77777777" w:rsidR="00472BAD" w:rsidRDefault="00472BAD" w:rsidP="00AD3606">
            <w:pPr>
              <w:tabs>
                <w:tab w:val="left" w:pos="851"/>
              </w:tabs>
              <w:spacing w:before="0" w:line="240" w:lineRule="atLeast"/>
              <w:jc w:val="right"/>
              <w:rPr>
                <w:b/>
              </w:rPr>
            </w:pPr>
          </w:p>
        </w:tc>
      </w:tr>
      <w:tr w:rsidR="00AD3606" w:rsidRPr="00813E5E" w14:paraId="255F1E81" w14:textId="77777777" w:rsidTr="00AD3606">
        <w:trPr>
          <w:cantSplit/>
        </w:trPr>
        <w:tc>
          <w:tcPr>
            <w:tcW w:w="9214" w:type="dxa"/>
            <w:gridSpan w:val="2"/>
            <w:tcMar>
              <w:left w:w="0" w:type="dxa"/>
            </w:tcMar>
          </w:tcPr>
          <w:p w14:paraId="00DC7AC9" w14:textId="77777777" w:rsidR="00AD3606" w:rsidRPr="00813E5E" w:rsidRDefault="00244F7F" w:rsidP="00370EE6">
            <w:pPr>
              <w:pStyle w:val="Source"/>
              <w:framePr w:hSpace="0" w:wrap="auto" w:vAnchor="margin" w:hAnchor="text" w:yAlign="inline"/>
            </w:pPr>
            <w:bookmarkStart w:id="8" w:name="dsource" w:colFirst="0" w:colLast="0"/>
            <w:bookmarkEnd w:id="7"/>
            <w:r>
              <w:t>Contribution</w:t>
            </w:r>
            <w:r w:rsidR="00AD3606" w:rsidRPr="002C54E2">
              <w:t xml:space="preserve"> </w:t>
            </w:r>
            <w:r w:rsidR="00864283">
              <w:t>from</w:t>
            </w:r>
            <w:r w:rsidR="00370EE6">
              <w:t xml:space="preserve"> HILL</w:t>
            </w:r>
          </w:p>
        </w:tc>
      </w:tr>
      <w:tr w:rsidR="00AD3606" w:rsidRPr="00813E5E" w14:paraId="2B39EBD7" w14:textId="77777777" w:rsidTr="00AD3606">
        <w:trPr>
          <w:cantSplit/>
        </w:trPr>
        <w:tc>
          <w:tcPr>
            <w:tcW w:w="9214" w:type="dxa"/>
            <w:gridSpan w:val="2"/>
            <w:tcMar>
              <w:left w:w="0" w:type="dxa"/>
            </w:tcMar>
          </w:tcPr>
          <w:p w14:paraId="4D21F828" w14:textId="344F97BD" w:rsidR="00AD3606" w:rsidRPr="00813E5E" w:rsidRDefault="00AE1D53" w:rsidP="00370EE6">
            <w:pPr>
              <w:pStyle w:val="Subtitle"/>
              <w:framePr w:hSpace="0" w:wrap="auto" w:hAnchor="text" w:xAlign="left" w:yAlign="inline"/>
            </w:pPr>
            <w:bookmarkStart w:id="9" w:name="dtitle1" w:colFirst="0" w:colLast="0"/>
            <w:bookmarkEnd w:id="8"/>
            <w:r>
              <w:t>ITEMS FOR THE FINAL REPORT</w:t>
            </w:r>
          </w:p>
        </w:tc>
      </w:tr>
      <w:tr w:rsidR="00AD3606" w:rsidRPr="00813E5E" w14:paraId="35E59FDD" w14:textId="77777777" w:rsidTr="00AD3606">
        <w:trPr>
          <w:cantSplit/>
        </w:trPr>
        <w:tc>
          <w:tcPr>
            <w:tcW w:w="9214" w:type="dxa"/>
            <w:gridSpan w:val="2"/>
            <w:tcBorders>
              <w:top w:val="single" w:sz="4" w:space="0" w:color="auto"/>
              <w:bottom w:val="single" w:sz="4" w:space="0" w:color="auto"/>
            </w:tcBorders>
            <w:tcMar>
              <w:left w:w="0" w:type="dxa"/>
            </w:tcMar>
          </w:tcPr>
          <w:p w14:paraId="6819560B" w14:textId="77777777" w:rsidR="004D648B" w:rsidRPr="004D648B" w:rsidRDefault="004D648B" w:rsidP="004D648B">
            <w:pPr>
              <w:spacing w:before="160"/>
              <w:rPr>
                <w:b/>
                <w:bCs/>
                <w:sz w:val="26"/>
                <w:szCs w:val="26"/>
              </w:rPr>
            </w:pPr>
            <w:r w:rsidRPr="004D648B">
              <w:rPr>
                <w:b/>
                <w:bCs/>
                <w:sz w:val="26"/>
                <w:szCs w:val="26"/>
              </w:rPr>
              <w:t>Purpose</w:t>
            </w:r>
          </w:p>
          <w:p w14:paraId="2F06D404" w14:textId="77777777" w:rsidR="004D648B" w:rsidRPr="004D648B" w:rsidRDefault="0000683F" w:rsidP="004D648B">
            <w:pPr>
              <w:spacing w:before="160"/>
              <w:rPr>
                <w:b/>
                <w:bCs/>
                <w:szCs w:val="24"/>
              </w:rPr>
            </w:pPr>
            <w:r w:rsidRPr="007F4147">
              <w:rPr>
                <w:szCs w:val="24"/>
              </w:rPr>
              <w:t xml:space="preserve">This contribution </w:t>
            </w:r>
            <w:r w:rsidR="00942438">
              <w:rPr>
                <w:szCs w:val="24"/>
              </w:rPr>
              <w:t>proposes to start keeping track of items that should be included in the final report of the EG-ITRs to Council, which report will be transmitted to the Plenipotentiary Conference</w:t>
            </w:r>
            <w:r w:rsidR="00C03FCD">
              <w:rPr>
                <w:szCs w:val="24"/>
              </w:rPr>
              <w:t>.</w:t>
            </w:r>
          </w:p>
          <w:p w14:paraId="34006622" w14:textId="77777777" w:rsidR="004D648B" w:rsidRPr="004D648B" w:rsidRDefault="004D648B" w:rsidP="004D648B">
            <w:pPr>
              <w:spacing w:before="160"/>
              <w:rPr>
                <w:b/>
                <w:bCs/>
                <w:sz w:val="26"/>
                <w:szCs w:val="26"/>
              </w:rPr>
            </w:pPr>
            <w:r w:rsidRPr="004D648B">
              <w:rPr>
                <w:b/>
                <w:bCs/>
                <w:sz w:val="26"/>
                <w:szCs w:val="26"/>
              </w:rPr>
              <w:t>Action required</w:t>
            </w:r>
          </w:p>
          <w:p w14:paraId="0E5B0789" w14:textId="77777777" w:rsidR="00F0286A" w:rsidRDefault="00F0286A" w:rsidP="00F0286A">
            <w:pPr>
              <w:spacing w:before="160"/>
              <w:rPr>
                <w:b/>
                <w:bCs/>
                <w:szCs w:val="24"/>
              </w:rPr>
            </w:pPr>
            <w:r w:rsidRPr="007F4147">
              <w:t>Th</w:t>
            </w:r>
            <w:r>
              <w:t xml:space="preserve">e Expert Group on the International Telecommunication Regulations is invited to </w:t>
            </w:r>
            <w:r w:rsidRPr="004C5070">
              <w:rPr>
                <w:b/>
              </w:rPr>
              <w:t>consider</w:t>
            </w:r>
            <w:r w:rsidRPr="007F4147">
              <w:t xml:space="preserve"> </w:t>
            </w:r>
            <w:r>
              <w:t>this document.</w:t>
            </w:r>
          </w:p>
          <w:p w14:paraId="553CDCCC" w14:textId="41984E39" w:rsidR="00AD3606" w:rsidRDefault="004D648B" w:rsidP="004D648B">
            <w:pPr>
              <w:spacing w:before="160"/>
              <w:rPr>
                <w:i/>
                <w:iCs/>
                <w:sz w:val="26"/>
                <w:szCs w:val="26"/>
              </w:rPr>
            </w:pPr>
            <w:r w:rsidRPr="004D648B">
              <w:rPr>
                <w:b/>
                <w:bCs/>
                <w:sz w:val="26"/>
                <w:szCs w:val="26"/>
              </w:rPr>
              <w:t>References</w:t>
            </w:r>
          </w:p>
          <w:p w14:paraId="1AEF69A2" w14:textId="77777777" w:rsidR="000C0D27" w:rsidRPr="00AE1D53" w:rsidRDefault="000C0D27" w:rsidP="00AE1D53">
            <w:pPr>
              <w:rPr>
                <w:rFonts w:asciiTheme="minorHAnsi" w:hAnsiTheme="minorHAnsi" w:cstheme="minorHAnsi"/>
                <w:i/>
                <w:iCs/>
                <w:sz w:val="22"/>
                <w:szCs w:val="22"/>
              </w:rPr>
            </w:pPr>
            <w:r w:rsidRPr="00AE1D53">
              <w:rPr>
                <w:rFonts w:asciiTheme="minorHAnsi" w:hAnsiTheme="minorHAnsi" w:cstheme="minorHAnsi"/>
                <w:i/>
                <w:iCs/>
                <w:sz w:val="22"/>
                <w:szCs w:val="22"/>
              </w:rPr>
              <w:t xml:space="preserve">Council </w:t>
            </w:r>
            <w:hyperlink r:id="rId8" w:history="1">
              <w:r w:rsidRPr="00AE1D53">
                <w:rPr>
                  <w:rStyle w:val="Hyperlink"/>
                  <w:rFonts w:asciiTheme="minorHAnsi" w:hAnsiTheme="minorHAnsi" w:cstheme="minorHAnsi"/>
                  <w:i/>
                  <w:iCs/>
                  <w:sz w:val="22"/>
                  <w:szCs w:val="22"/>
                </w:rPr>
                <w:t>Resolution 1379</w:t>
              </w:r>
            </w:hyperlink>
            <w:r w:rsidRPr="00AE1D53">
              <w:rPr>
                <w:rFonts w:asciiTheme="minorHAnsi" w:hAnsiTheme="minorHAnsi" w:cstheme="minorHAnsi"/>
                <w:i/>
                <w:iCs/>
                <w:sz w:val="22"/>
                <w:szCs w:val="22"/>
              </w:rPr>
              <w:t xml:space="preserve"> (Terms of Reference) </w:t>
            </w:r>
          </w:p>
          <w:p w14:paraId="6DB4386D" w14:textId="77777777" w:rsidR="00AD3606" w:rsidRPr="005440C7" w:rsidRDefault="00AE1D53" w:rsidP="00375503">
            <w:pPr>
              <w:spacing w:after="160"/>
              <w:rPr>
                <w:lang w:val="en-US"/>
              </w:rPr>
            </w:pPr>
            <w:hyperlink r:id="rId9" w:history="1">
              <w:r w:rsidR="00F20CAF" w:rsidRPr="00AE1D53">
                <w:rPr>
                  <w:rStyle w:val="Hyperlink"/>
                  <w:i/>
                  <w:iCs/>
                  <w:sz w:val="22"/>
                  <w:szCs w:val="22"/>
                </w:rPr>
                <w:t>EG-ITRs-1/8</w:t>
              </w:r>
            </w:hyperlink>
            <w:r w:rsidR="00F20CAF" w:rsidRPr="00AE1D53">
              <w:rPr>
                <w:i/>
                <w:iCs/>
                <w:sz w:val="22"/>
                <w:szCs w:val="22"/>
              </w:rPr>
              <w:t xml:space="preserve">; </w:t>
            </w:r>
            <w:hyperlink r:id="rId10" w:history="1">
              <w:r w:rsidR="00375503" w:rsidRPr="00AE1D53">
                <w:rPr>
                  <w:rStyle w:val="Hyperlink"/>
                  <w:rFonts w:eastAsiaTheme="minorHAnsi" w:cs="Calibri"/>
                  <w:i/>
                  <w:iCs/>
                  <w:sz w:val="22"/>
                  <w:szCs w:val="22"/>
                </w:rPr>
                <w:t>EG-ITRs-2/</w:t>
              </w:r>
              <w:r w:rsidR="00375503" w:rsidRPr="00AE1D53">
                <w:rPr>
                  <w:rStyle w:val="Hyperlink"/>
                  <w:rFonts w:eastAsiaTheme="minorHAnsi" w:cs="Calibri"/>
                  <w:bCs/>
                  <w:i/>
                  <w:iCs/>
                  <w:sz w:val="22"/>
                  <w:szCs w:val="22"/>
                </w:rPr>
                <w:t>7</w:t>
              </w:r>
            </w:hyperlink>
            <w:r w:rsidR="00375503" w:rsidRPr="00AE1D53">
              <w:rPr>
                <w:rFonts w:eastAsiaTheme="minorHAnsi" w:cs="Calibri"/>
                <w:i/>
                <w:iCs/>
                <w:sz w:val="22"/>
                <w:szCs w:val="22"/>
                <w:lang w:val="en-US"/>
              </w:rPr>
              <w:t>;</w:t>
            </w:r>
            <w:r w:rsidR="00375503" w:rsidRPr="00AE1D53">
              <w:rPr>
                <w:rFonts w:eastAsiaTheme="minorHAnsi" w:cs="Calibri"/>
                <w:bCs/>
                <w:i/>
                <w:iCs/>
                <w:sz w:val="22"/>
                <w:szCs w:val="22"/>
              </w:rPr>
              <w:t xml:space="preserve"> </w:t>
            </w:r>
            <w:hyperlink r:id="rId11" w:history="1">
              <w:r w:rsidR="00375503" w:rsidRPr="00AE1D53">
                <w:rPr>
                  <w:rStyle w:val="Hyperlink"/>
                  <w:rFonts w:eastAsiaTheme="minorHAnsi" w:cs="Calibri"/>
                  <w:i/>
                  <w:iCs/>
                  <w:sz w:val="22"/>
                  <w:szCs w:val="22"/>
                </w:rPr>
                <w:t>EG-ITRs-2/</w:t>
              </w:r>
              <w:r w:rsidR="00375503" w:rsidRPr="00AE1D53">
                <w:rPr>
                  <w:rStyle w:val="Hyperlink"/>
                  <w:rFonts w:eastAsiaTheme="minorHAnsi" w:cs="Calibri"/>
                  <w:bCs/>
                  <w:i/>
                  <w:iCs/>
                  <w:sz w:val="22"/>
                  <w:szCs w:val="22"/>
                </w:rPr>
                <w:t>8</w:t>
              </w:r>
            </w:hyperlink>
            <w:r w:rsidR="005440C7" w:rsidRPr="00AE1D53">
              <w:rPr>
                <w:i/>
                <w:iCs/>
                <w:sz w:val="22"/>
                <w:szCs w:val="22"/>
              </w:rPr>
              <w:t xml:space="preserve">; </w:t>
            </w:r>
            <w:hyperlink r:id="rId12" w:history="1">
              <w:r w:rsidR="00212035" w:rsidRPr="00AE1D53">
                <w:rPr>
                  <w:rStyle w:val="Hyperlink"/>
                  <w:i/>
                  <w:iCs/>
                  <w:sz w:val="22"/>
                  <w:szCs w:val="22"/>
                </w:rPr>
                <w:t>EG-ITRs-2/20</w:t>
              </w:r>
            </w:hyperlink>
            <w:r w:rsidR="00212035" w:rsidRPr="00AE1D53">
              <w:rPr>
                <w:i/>
                <w:iCs/>
                <w:sz w:val="22"/>
                <w:szCs w:val="22"/>
              </w:rPr>
              <w:t xml:space="preserve">; </w:t>
            </w:r>
            <w:hyperlink r:id="rId13" w:history="1">
              <w:r w:rsidR="005440C7" w:rsidRPr="00AE1D53">
                <w:rPr>
                  <w:rStyle w:val="Hyperlink"/>
                  <w:i/>
                  <w:iCs/>
                  <w:sz w:val="22"/>
                  <w:szCs w:val="22"/>
                </w:rPr>
                <w:t>EG-ITRs-2/21</w:t>
              </w:r>
            </w:hyperlink>
          </w:p>
        </w:tc>
      </w:tr>
    </w:tbl>
    <w:p w14:paraId="4532BB46"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46474C0A"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383CECC8" w14:textId="12F045FC" w:rsidR="00F0286A" w:rsidRPr="004D648B" w:rsidRDefault="00F0286A" w:rsidP="00F0286A">
      <w:pPr>
        <w:spacing w:before="160"/>
        <w:rPr>
          <w:b/>
          <w:bCs/>
          <w:sz w:val="26"/>
          <w:szCs w:val="26"/>
        </w:rPr>
      </w:pPr>
      <w:r>
        <w:rPr>
          <w:b/>
          <w:bCs/>
          <w:sz w:val="26"/>
          <w:szCs w:val="26"/>
        </w:rPr>
        <w:lastRenderedPageBreak/>
        <w:t>Summary</w:t>
      </w:r>
    </w:p>
    <w:p w14:paraId="145483A2" w14:textId="77777777" w:rsidR="00F0286A" w:rsidRPr="00204E80" w:rsidRDefault="00F0286A" w:rsidP="00F0286A">
      <w:pPr>
        <w:spacing w:before="160"/>
        <w:rPr>
          <w:bCs/>
          <w:szCs w:val="24"/>
          <w:lang w:val="en-US"/>
        </w:rPr>
      </w:pPr>
      <w:r>
        <w:t>In order to ensure that all inputs are reflected in the Final Report of the EG-ITRs, it would appear to be judicious to start making a list of the inputs that should be reflected. This contribution presents items for inclusion in such a list.</w:t>
      </w:r>
    </w:p>
    <w:p w14:paraId="094AA291" w14:textId="77777777" w:rsidR="00F0286A" w:rsidRDefault="00F0286A" w:rsidP="00F0286A">
      <w:pPr>
        <w:spacing w:before="160" w:after="240"/>
        <w:rPr>
          <w:b/>
          <w:sz w:val="26"/>
          <w:szCs w:val="26"/>
        </w:rPr>
      </w:pPr>
      <w:r w:rsidRPr="00CE562D">
        <w:rPr>
          <w:b/>
          <w:sz w:val="26"/>
          <w:szCs w:val="26"/>
        </w:rPr>
        <w:t>Proposal</w:t>
      </w:r>
    </w:p>
    <w:p w14:paraId="0F4B3772" w14:textId="77777777" w:rsidR="00942438" w:rsidRDefault="00942438" w:rsidP="00370EE6">
      <w:pPr>
        <w:tabs>
          <w:tab w:val="clear" w:pos="567"/>
          <w:tab w:val="clear" w:pos="1134"/>
          <w:tab w:val="clear" w:pos="1701"/>
          <w:tab w:val="clear" w:pos="2268"/>
          <w:tab w:val="clear" w:pos="2835"/>
        </w:tabs>
        <w:overflowPunct/>
        <w:autoSpaceDE/>
        <w:autoSpaceDN/>
        <w:adjustRightInd/>
        <w:spacing w:before="0" w:after="120"/>
        <w:textAlignment w:val="auto"/>
        <w:rPr>
          <w:rFonts w:cs="Calibri"/>
          <w:bCs/>
          <w:szCs w:val="24"/>
          <w:lang w:val="en-US"/>
        </w:rPr>
      </w:pPr>
      <w:r>
        <w:rPr>
          <w:rFonts w:eastAsiaTheme="minorHAnsi" w:cs="Calibri"/>
          <w:szCs w:val="24"/>
          <w:lang w:val="en-US"/>
        </w:rPr>
        <w:t>1. As stated in 6.6.2 of the report of the second meeting (</w:t>
      </w:r>
      <w:hyperlink r:id="rId14" w:history="1">
        <w:r w:rsidRPr="005440C7">
          <w:rPr>
            <w:rStyle w:val="Hyperlink"/>
          </w:rPr>
          <w:t>EG-ITRs-2/21</w:t>
        </w:r>
      </w:hyperlink>
      <w:r>
        <w:rPr>
          <w:rFonts w:eastAsiaTheme="minorHAnsi" w:cs="Calibri"/>
          <w:szCs w:val="24"/>
          <w:lang w:val="en-US"/>
        </w:rPr>
        <w:t>): “</w:t>
      </w:r>
      <w:r w:rsidRPr="002A4D72">
        <w:rPr>
          <w:rFonts w:cs="Calibri"/>
          <w:bCs/>
          <w:szCs w:val="24"/>
        </w:rPr>
        <w:t>t</w:t>
      </w:r>
      <w:r w:rsidRPr="002A4D72">
        <w:rPr>
          <w:rFonts w:cs="Calibri"/>
          <w:bCs/>
          <w:szCs w:val="24"/>
          <w:lang w:val="en-US"/>
        </w:rPr>
        <w:t>he Final Report to Council 2026 will reflect all inputs made by Member States and Sector Members, and inputs from the Directors of the Bureaux, whether made in contributions or verbally.</w:t>
      </w:r>
      <w:r>
        <w:rPr>
          <w:rFonts w:cs="Calibri"/>
          <w:bCs/>
          <w:szCs w:val="24"/>
          <w:lang w:val="en-US"/>
        </w:rPr>
        <w:t>”</w:t>
      </w:r>
    </w:p>
    <w:p w14:paraId="539ACEAE" w14:textId="77777777" w:rsidR="00942438" w:rsidRDefault="00942438" w:rsidP="00370EE6">
      <w:pPr>
        <w:tabs>
          <w:tab w:val="clear" w:pos="567"/>
          <w:tab w:val="clear" w:pos="1134"/>
          <w:tab w:val="clear" w:pos="1701"/>
          <w:tab w:val="clear" w:pos="2268"/>
          <w:tab w:val="clear" w:pos="2835"/>
        </w:tabs>
        <w:overflowPunct/>
        <w:autoSpaceDE/>
        <w:autoSpaceDN/>
        <w:adjustRightInd/>
        <w:spacing w:before="0" w:after="120"/>
        <w:textAlignment w:val="auto"/>
      </w:pPr>
      <w:r>
        <w:rPr>
          <w:rFonts w:cs="Calibri"/>
          <w:bCs/>
          <w:szCs w:val="24"/>
          <w:lang w:val="en-US"/>
        </w:rPr>
        <w:t xml:space="preserve">2. Pursuant to the workplan set forth in Annex 1 of </w:t>
      </w:r>
      <w:hyperlink r:id="rId15" w:history="1">
        <w:r w:rsidRPr="005440C7">
          <w:rPr>
            <w:rStyle w:val="Hyperlink"/>
          </w:rPr>
          <w:t>EG-ITRs-2/21</w:t>
        </w:r>
      </w:hyperlink>
      <w:r>
        <w:t>, drafting of the Final Report will start during the fifth meeting of the EG-ITRs.</w:t>
      </w:r>
    </w:p>
    <w:p w14:paraId="74F7C0E0" w14:textId="77777777" w:rsidR="00375503" w:rsidRDefault="00375503" w:rsidP="00370EE6">
      <w:pPr>
        <w:tabs>
          <w:tab w:val="clear" w:pos="567"/>
          <w:tab w:val="clear" w:pos="1134"/>
          <w:tab w:val="clear" w:pos="1701"/>
          <w:tab w:val="clear" w:pos="2268"/>
          <w:tab w:val="clear" w:pos="2835"/>
        </w:tabs>
        <w:overflowPunct/>
        <w:autoSpaceDE/>
        <w:autoSpaceDN/>
        <w:adjustRightInd/>
        <w:spacing w:before="0" w:after="120"/>
        <w:textAlignment w:val="auto"/>
      </w:pPr>
      <w:r>
        <w:t xml:space="preserve">3. As stated in </w:t>
      </w:r>
      <w:r>
        <w:rPr>
          <w:rFonts w:eastAsiaTheme="minorHAnsi" w:cs="Calibri"/>
          <w:szCs w:val="24"/>
          <w:lang w:val="en-US"/>
        </w:rPr>
        <w:t>in 6.6.2 of the report of the second meeting (</w:t>
      </w:r>
      <w:hyperlink r:id="rId16" w:history="1">
        <w:r w:rsidRPr="005440C7">
          <w:rPr>
            <w:rStyle w:val="Hyperlink"/>
          </w:rPr>
          <w:t>EG-ITRs-2/21</w:t>
        </w:r>
      </w:hyperlink>
      <w:r>
        <w:rPr>
          <w:rFonts w:eastAsiaTheme="minorHAnsi" w:cs="Calibri"/>
          <w:szCs w:val="24"/>
          <w:lang w:val="en-US"/>
        </w:rPr>
        <w:t>):</w:t>
      </w:r>
      <w:r>
        <w:t xml:space="preserve"> “</w:t>
      </w:r>
      <w:r w:rsidRPr="002A4D72">
        <w:rPr>
          <w:rFonts w:cs="Calibri"/>
          <w:szCs w:val="24"/>
        </w:rPr>
        <w:t>contributions could continue to be submitted to future meetings on the structure and content of the Final Report</w:t>
      </w:r>
      <w:r>
        <w:rPr>
          <w:rFonts w:cs="Calibri"/>
          <w:szCs w:val="24"/>
        </w:rPr>
        <w:t>.”</w:t>
      </w:r>
    </w:p>
    <w:p w14:paraId="5FAF3F25" w14:textId="77777777" w:rsidR="00942438" w:rsidRDefault="00BC00F1" w:rsidP="00370EE6">
      <w:pPr>
        <w:tabs>
          <w:tab w:val="clear" w:pos="567"/>
          <w:tab w:val="clear" w:pos="1134"/>
          <w:tab w:val="clear" w:pos="1701"/>
          <w:tab w:val="clear" w:pos="2268"/>
          <w:tab w:val="clear" w:pos="2835"/>
        </w:tabs>
        <w:overflowPunct/>
        <w:autoSpaceDE/>
        <w:autoSpaceDN/>
        <w:adjustRightInd/>
        <w:spacing w:before="0" w:after="120"/>
        <w:textAlignment w:val="auto"/>
      </w:pPr>
      <w:r>
        <w:t>4</w:t>
      </w:r>
      <w:r w:rsidR="00942438">
        <w:t xml:space="preserve">. In </w:t>
      </w:r>
      <w:r w:rsidR="00375503">
        <w:t xml:space="preserve">light of the above, and in </w:t>
      </w:r>
      <w:r w:rsidR="00942438">
        <w:t>order to ensure that all inputs are reflect</w:t>
      </w:r>
      <w:r w:rsidR="00B8316F">
        <w:t>ed in the F</w:t>
      </w:r>
      <w:r w:rsidR="00942438">
        <w:t xml:space="preserve">inal </w:t>
      </w:r>
      <w:r w:rsidR="00B8316F">
        <w:t>R</w:t>
      </w:r>
      <w:r w:rsidR="00942438">
        <w:t>eport, it would appear to be judicious to start making a list of the inputs that should be reflected.</w:t>
      </w:r>
    </w:p>
    <w:p w14:paraId="61164C53" w14:textId="77777777" w:rsidR="00942438" w:rsidRDefault="00BC00F1" w:rsidP="00370EE6">
      <w:pPr>
        <w:tabs>
          <w:tab w:val="clear" w:pos="567"/>
          <w:tab w:val="clear" w:pos="1134"/>
          <w:tab w:val="clear" w:pos="1701"/>
          <w:tab w:val="clear" w:pos="2268"/>
          <w:tab w:val="clear" w:pos="2835"/>
        </w:tabs>
        <w:overflowPunct/>
        <w:autoSpaceDE/>
        <w:autoSpaceDN/>
        <w:adjustRightInd/>
        <w:spacing w:before="0" w:after="120"/>
        <w:textAlignment w:val="auto"/>
      </w:pPr>
      <w:r>
        <w:t>5</w:t>
      </w:r>
      <w:r w:rsidR="00942438">
        <w:t xml:space="preserve">. </w:t>
      </w:r>
      <w:r w:rsidR="00375503">
        <w:t>We propose that the Final Report should reflect at least the following inputs</w:t>
      </w:r>
      <w:r w:rsidR="00212035">
        <w:t xml:space="preserve"> (</w:t>
      </w:r>
      <w:r w:rsidR="00212035" w:rsidRPr="00212035">
        <w:rPr>
          <w:u w:val="single"/>
        </w:rPr>
        <w:t>of course other members will wish to add other items to the list below</w:t>
      </w:r>
      <w:r w:rsidR="00212035">
        <w:t>)</w:t>
      </w:r>
      <w:r w:rsidR="00375503">
        <w:t>:</w:t>
      </w:r>
    </w:p>
    <w:p w14:paraId="2F7AFCD9" w14:textId="77777777" w:rsidR="00375503" w:rsidRDefault="00375503" w:rsidP="0037550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 xml:space="preserve">The Annexes to EG-ITRs 3/2 (possibly in the format proposed in </w:t>
      </w:r>
      <w:hyperlink r:id="rId17" w:history="1">
        <w:r w:rsidRPr="00375503">
          <w:rPr>
            <w:rStyle w:val="Hyperlink"/>
            <w:rFonts w:eastAsiaTheme="minorHAnsi" w:cs="Calibri"/>
            <w:szCs w:val="24"/>
          </w:rPr>
          <w:t>EG-ITRs-2/</w:t>
        </w:r>
        <w:r w:rsidRPr="00375503">
          <w:rPr>
            <w:rStyle w:val="Hyperlink"/>
            <w:rFonts w:eastAsiaTheme="minorHAnsi" w:cs="Calibri"/>
            <w:bCs/>
            <w:szCs w:val="24"/>
          </w:rPr>
          <w:t>7</w:t>
        </w:r>
      </w:hyperlink>
      <w:r>
        <w:rPr>
          <w:rFonts w:eastAsiaTheme="minorHAnsi" w:cs="Calibri"/>
          <w:szCs w:val="24"/>
          <w:lang w:val="en-US"/>
        </w:rPr>
        <w:t xml:space="preserve"> and</w:t>
      </w:r>
      <w:r w:rsidRPr="00375503">
        <w:rPr>
          <w:rFonts w:eastAsiaTheme="minorHAnsi" w:cs="Calibri"/>
          <w:bCs/>
          <w:szCs w:val="24"/>
        </w:rPr>
        <w:t xml:space="preserve"> </w:t>
      </w:r>
      <w:hyperlink r:id="rId18" w:history="1">
        <w:r w:rsidRPr="00375503">
          <w:rPr>
            <w:rStyle w:val="Hyperlink"/>
            <w:rFonts w:eastAsiaTheme="minorHAnsi" w:cs="Calibri"/>
            <w:szCs w:val="24"/>
          </w:rPr>
          <w:t>EG-ITRs-2/</w:t>
        </w:r>
        <w:r w:rsidRPr="00375503">
          <w:rPr>
            <w:rStyle w:val="Hyperlink"/>
            <w:rFonts w:eastAsiaTheme="minorHAnsi" w:cs="Calibri"/>
            <w:bCs/>
            <w:szCs w:val="24"/>
          </w:rPr>
          <w:t>8</w:t>
        </w:r>
      </w:hyperlink>
      <w:r>
        <w:rPr>
          <w:rFonts w:eastAsiaTheme="minorHAnsi" w:cs="Calibri"/>
          <w:szCs w:val="24"/>
          <w:lang w:val="en-US"/>
        </w:rPr>
        <w:t>)</w:t>
      </w:r>
    </w:p>
    <w:p w14:paraId="1C42CB81" w14:textId="77777777" w:rsidR="00375503" w:rsidRPr="00375503" w:rsidRDefault="00375503" w:rsidP="0037550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A4D72">
        <w:rPr>
          <w:rFonts w:cs="Calibri"/>
          <w:szCs w:val="24"/>
        </w:rPr>
        <w:t xml:space="preserve">Some members </w:t>
      </w:r>
      <w:r w:rsidR="00B8316F">
        <w:rPr>
          <w:rFonts w:cs="Calibri"/>
          <w:szCs w:val="24"/>
        </w:rPr>
        <w:t>are of the view</w:t>
      </w:r>
      <w:r w:rsidRPr="002A4D72">
        <w:rPr>
          <w:rFonts w:cs="Calibri"/>
          <w:szCs w:val="24"/>
        </w:rPr>
        <w:t xml:space="preserve"> that most operators no longer rely on the accounting rate portions of the ITRs and that this does not necessarily reflect on other elements of the ITRs</w:t>
      </w:r>
      <w:r>
        <w:rPr>
          <w:rFonts w:cs="Calibri"/>
          <w:szCs w:val="24"/>
        </w:rPr>
        <w:t xml:space="preserve"> (see 4.5.2 of </w:t>
      </w:r>
      <w:hyperlink r:id="rId19" w:history="1">
        <w:r w:rsidRPr="005440C7">
          <w:rPr>
            <w:rStyle w:val="Hyperlink"/>
          </w:rPr>
          <w:t>EG-ITRs-2/21</w:t>
        </w:r>
      </w:hyperlink>
      <w:r>
        <w:t>)</w:t>
      </w:r>
      <w:r w:rsidRPr="002A4D72">
        <w:rPr>
          <w:rFonts w:cs="Calibri"/>
          <w:szCs w:val="24"/>
        </w:rPr>
        <w:t>.</w:t>
      </w:r>
    </w:p>
    <w:p w14:paraId="4985CFF5" w14:textId="77777777" w:rsidR="00375503" w:rsidRPr="00F20CAF" w:rsidRDefault="00375503" w:rsidP="0037550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A4D72">
        <w:rPr>
          <w:rFonts w:cs="Calibri"/>
          <w:szCs w:val="24"/>
        </w:rPr>
        <w:t xml:space="preserve">Some members </w:t>
      </w:r>
      <w:r w:rsidR="00B8316F">
        <w:rPr>
          <w:rFonts w:cs="Calibri"/>
          <w:szCs w:val="24"/>
        </w:rPr>
        <w:t>are of the view</w:t>
      </w:r>
      <w:r w:rsidRPr="002A4D72">
        <w:rPr>
          <w:rFonts w:cs="Calibri"/>
          <w:szCs w:val="24"/>
        </w:rPr>
        <w:t xml:space="preserve"> that collection of empirical data demonstrates the use and relevance of ITRs, highlighting the need to update them, particularly in order to help guide Member States with setting the policy agendas for operators nationally</w:t>
      </w:r>
      <w:r>
        <w:rPr>
          <w:rFonts w:cs="Calibri"/>
          <w:szCs w:val="24"/>
        </w:rPr>
        <w:t xml:space="preserve"> (see 5.1.3 of </w:t>
      </w:r>
      <w:hyperlink r:id="rId20" w:history="1">
        <w:r w:rsidRPr="005440C7">
          <w:rPr>
            <w:rStyle w:val="Hyperlink"/>
          </w:rPr>
          <w:t>EG-ITRs-2/21</w:t>
        </w:r>
      </w:hyperlink>
      <w:r>
        <w:t>)</w:t>
      </w:r>
      <w:r w:rsidRPr="002A4D72">
        <w:rPr>
          <w:rFonts w:cs="Calibri"/>
          <w:szCs w:val="24"/>
        </w:rPr>
        <w:t>.</w:t>
      </w:r>
    </w:p>
    <w:p w14:paraId="2D87B768" w14:textId="77777777" w:rsidR="00F20CAF" w:rsidRPr="00F20CAF" w:rsidRDefault="00F20CAF" w:rsidP="0037550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t xml:space="preserve">Some members are of the view that </w:t>
      </w:r>
      <w:r w:rsidRPr="00C94D6E">
        <w:t>the ITRs are essential for creating a level playing field in the world of telecommunications, ensuring that all nations have the opportunity to harness the benefits of modern communication technologies</w:t>
      </w:r>
      <w:r>
        <w:t>; t</w:t>
      </w:r>
      <w:r w:rsidRPr="00C94D6E">
        <w:t>hese regulations not only facilitate access to vital services but also pave the way for socio-economic growth, global collaboration, and enhanced quality of life for millions of people in less affluent regions of the world</w:t>
      </w:r>
      <w:r>
        <w:t xml:space="preserve"> (see </w:t>
      </w:r>
      <w:hyperlink r:id="rId21" w:history="1">
        <w:r w:rsidRPr="00F20CAF">
          <w:rPr>
            <w:rStyle w:val="Hyperlink"/>
          </w:rPr>
          <w:t>EG-ITRs-1/8</w:t>
        </w:r>
      </w:hyperlink>
      <w:r>
        <w:t>)</w:t>
      </w:r>
      <w:r w:rsidRPr="00C94D6E">
        <w:t>.</w:t>
      </w:r>
    </w:p>
    <w:p w14:paraId="4A93DC9C" w14:textId="77777777" w:rsidR="00F20CAF" w:rsidRPr="00212035" w:rsidRDefault="00F20CAF" w:rsidP="0037550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t xml:space="preserve">Some members are of the view that </w:t>
      </w:r>
      <w:r w:rsidRPr="00C94D6E">
        <w:t>it is important to have an up-to-date treaty that underpins how we communicate with each other</w:t>
      </w:r>
      <w:r>
        <w:t xml:space="preserve"> (see </w:t>
      </w:r>
      <w:hyperlink r:id="rId22" w:history="1">
        <w:r w:rsidRPr="00F20CAF">
          <w:rPr>
            <w:rStyle w:val="Hyperlink"/>
          </w:rPr>
          <w:t>EG-ITRs-1/8</w:t>
        </w:r>
      </w:hyperlink>
      <w:r>
        <w:t>)</w:t>
      </w:r>
      <w:r w:rsidRPr="00C94D6E">
        <w:t>.</w:t>
      </w:r>
    </w:p>
    <w:p w14:paraId="25831F9F" w14:textId="77777777" w:rsidR="00212035" w:rsidRPr="00104C25" w:rsidRDefault="00212035" w:rsidP="0037550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cs="Calibri"/>
          <w:bCs/>
          <w:szCs w:val="24"/>
        </w:rPr>
        <w:t xml:space="preserve">Some members are of the view </w:t>
      </w:r>
      <w:r w:rsidRPr="00CE2721">
        <w:rPr>
          <w:rFonts w:cs="Calibri"/>
          <w:bCs/>
          <w:szCs w:val="24"/>
        </w:rPr>
        <w:t>that some provisions of the ITRs (either 1988 or 2012 version) are no longer useful while others are still relevant</w:t>
      </w:r>
      <w:r>
        <w:rPr>
          <w:rFonts w:cs="Calibri"/>
          <w:bCs/>
          <w:szCs w:val="24"/>
        </w:rPr>
        <w:t xml:space="preserve"> (see 5.2 of </w:t>
      </w:r>
      <w:hyperlink r:id="rId23" w:history="1">
        <w:r>
          <w:rPr>
            <w:rStyle w:val="Hyperlink"/>
          </w:rPr>
          <w:t>EG-ITRs-2/20</w:t>
        </w:r>
      </w:hyperlink>
      <w:r>
        <w:t>).</w:t>
      </w:r>
    </w:p>
    <w:p w14:paraId="3260CD29" w14:textId="77777777" w:rsidR="00212035" w:rsidRPr="00212035" w:rsidRDefault="00212035" w:rsidP="0037550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cs="Calibri"/>
          <w:bCs/>
          <w:szCs w:val="24"/>
          <w:lang w:val="en-US"/>
        </w:rPr>
        <w:t>Some members are of the view that t</w:t>
      </w:r>
      <w:r w:rsidRPr="00CE2721">
        <w:rPr>
          <w:rFonts w:cs="Calibri"/>
          <w:bCs/>
          <w:szCs w:val="24"/>
          <w:lang w:val="en-US"/>
        </w:rPr>
        <w:t>he presence of two versions of ITRs (1988 and 2012) is seen as a hindrance to their functionality and to the image of the ITU</w:t>
      </w:r>
      <w:r>
        <w:rPr>
          <w:rFonts w:cs="Calibri"/>
          <w:bCs/>
          <w:szCs w:val="24"/>
          <w:lang w:val="en-US"/>
        </w:rPr>
        <w:t xml:space="preserve"> </w:t>
      </w:r>
      <w:r>
        <w:rPr>
          <w:rFonts w:cs="Calibri"/>
          <w:bCs/>
          <w:szCs w:val="24"/>
        </w:rPr>
        <w:t xml:space="preserve">(see 5.3 of </w:t>
      </w:r>
      <w:hyperlink r:id="rId24" w:history="1">
        <w:r>
          <w:rPr>
            <w:rStyle w:val="Hyperlink"/>
          </w:rPr>
          <w:t>EG-ITRs-2/20</w:t>
        </w:r>
      </w:hyperlink>
      <w:r>
        <w:t>)</w:t>
      </w:r>
      <w:r>
        <w:rPr>
          <w:rFonts w:cs="Calibri"/>
          <w:bCs/>
          <w:szCs w:val="24"/>
          <w:lang w:val="en-US"/>
        </w:rPr>
        <w:t>.</w:t>
      </w:r>
    </w:p>
    <w:p w14:paraId="46AB72CA" w14:textId="77777777" w:rsidR="00212035" w:rsidRPr="00104C25" w:rsidRDefault="00212035" w:rsidP="0037550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cs="Calibri"/>
          <w:bCs/>
          <w:szCs w:val="24"/>
          <w:lang w:val="en-US"/>
        </w:rPr>
        <w:t>Some members are of the view that t</w:t>
      </w:r>
      <w:r w:rsidRPr="00CE2721">
        <w:rPr>
          <w:rFonts w:cs="Calibri"/>
          <w:bCs/>
          <w:szCs w:val="24"/>
          <w:lang w:val="en-US"/>
        </w:rPr>
        <w:t>he ITRs should focus on addressing member states rather than operating agencies</w:t>
      </w:r>
      <w:r>
        <w:rPr>
          <w:rFonts w:cs="Calibri"/>
          <w:bCs/>
          <w:szCs w:val="24"/>
          <w:lang w:val="en-US"/>
        </w:rPr>
        <w:t xml:space="preserve">; </w:t>
      </w:r>
      <w:r w:rsidRPr="00CE2721">
        <w:rPr>
          <w:rFonts w:cs="Calibri"/>
          <w:bCs/>
          <w:szCs w:val="24"/>
          <w:lang w:val="en-US"/>
        </w:rPr>
        <w:t xml:space="preserve">Member States would then apply the </w:t>
      </w:r>
      <w:r w:rsidRPr="00CE2721">
        <w:rPr>
          <w:rFonts w:cs="Calibri"/>
          <w:bCs/>
          <w:szCs w:val="24"/>
          <w:lang w:val="en-US"/>
        </w:rPr>
        <w:lastRenderedPageBreak/>
        <w:t>provisions and articles of the ITRs in their territories according to their laws and regulations</w:t>
      </w:r>
      <w:r>
        <w:rPr>
          <w:rFonts w:cs="Calibri"/>
          <w:bCs/>
          <w:szCs w:val="24"/>
          <w:lang w:val="en-US"/>
        </w:rPr>
        <w:t xml:space="preserve"> </w:t>
      </w:r>
      <w:r>
        <w:rPr>
          <w:rFonts w:cs="Calibri"/>
          <w:bCs/>
          <w:szCs w:val="24"/>
        </w:rPr>
        <w:t xml:space="preserve">(see 5.3 of </w:t>
      </w:r>
      <w:hyperlink r:id="rId25" w:history="1">
        <w:r>
          <w:rPr>
            <w:rStyle w:val="Hyperlink"/>
          </w:rPr>
          <w:t>EG-ITRs-2/20</w:t>
        </w:r>
      </w:hyperlink>
      <w:r>
        <w:t>).</w:t>
      </w:r>
    </w:p>
    <w:p w14:paraId="3A5F8181" w14:textId="77777777" w:rsidR="00104C25" w:rsidRPr="00B8316F" w:rsidRDefault="00104C25" w:rsidP="0037550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t>Some members are of the view that t</w:t>
      </w:r>
      <w:r w:rsidRPr="00C94D6E">
        <w:t>he ITRs, both 1988 and 2012, are outdated in their current form and that there is a need to come up with a new ITRs, in a world where new and emerging technologies are expanding</w:t>
      </w:r>
      <w:r>
        <w:t xml:space="preserve"> (see </w:t>
      </w:r>
      <w:hyperlink r:id="rId26" w:history="1">
        <w:r w:rsidRPr="00F20CAF">
          <w:rPr>
            <w:rStyle w:val="Hyperlink"/>
          </w:rPr>
          <w:t>EG-ITRs-1/8</w:t>
        </w:r>
      </w:hyperlink>
      <w:r>
        <w:t>)</w:t>
      </w:r>
      <w:r w:rsidRPr="00C94D6E">
        <w:t>.</w:t>
      </w:r>
    </w:p>
    <w:p w14:paraId="7CF80EB2" w14:textId="77777777" w:rsidR="00B8316F" w:rsidRPr="00212035" w:rsidRDefault="00B8316F" w:rsidP="00B8316F">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cs="Calibri"/>
          <w:bCs/>
          <w:szCs w:val="24"/>
          <w:lang w:val="en-US"/>
        </w:rPr>
        <w:t>Some members are of the view that t</w:t>
      </w:r>
      <w:r w:rsidRPr="00CE2721">
        <w:rPr>
          <w:rFonts w:cs="Calibri"/>
          <w:bCs/>
          <w:szCs w:val="24"/>
          <w:lang w:val="en-US"/>
        </w:rPr>
        <w:t>he ITRs need to be updated to accommodate new and emerging technologies</w:t>
      </w:r>
      <w:r>
        <w:rPr>
          <w:rFonts w:cs="Calibri"/>
          <w:bCs/>
          <w:szCs w:val="24"/>
          <w:lang w:val="en-US"/>
        </w:rPr>
        <w:t xml:space="preserve"> </w:t>
      </w:r>
      <w:r>
        <w:rPr>
          <w:rFonts w:cs="Calibri"/>
          <w:bCs/>
          <w:szCs w:val="24"/>
        </w:rPr>
        <w:t xml:space="preserve">(see 5.3 of </w:t>
      </w:r>
      <w:hyperlink r:id="rId27" w:history="1">
        <w:r>
          <w:rPr>
            <w:rStyle w:val="Hyperlink"/>
          </w:rPr>
          <w:t>EG-ITRs-2/20</w:t>
        </w:r>
      </w:hyperlink>
      <w:r>
        <w:t>)</w:t>
      </w:r>
      <w:r w:rsidRPr="00CE2721">
        <w:rPr>
          <w:rFonts w:cs="Calibri"/>
          <w:bCs/>
          <w:szCs w:val="24"/>
          <w:lang w:val="en-US"/>
        </w:rPr>
        <w:t>.</w:t>
      </w:r>
    </w:p>
    <w:p w14:paraId="5358C4E3" w14:textId="77777777" w:rsidR="00B8316F" w:rsidRPr="00212035" w:rsidRDefault="00B8316F" w:rsidP="00B8316F">
      <w:pPr>
        <w:pStyle w:val="ListParagraph"/>
        <w:numPr>
          <w:ilvl w:val="0"/>
          <w:numId w:val="21"/>
        </w:numPr>
        <w:tabs>
          <w:tab w:val="clear" w:pos="567"/>
          <w:tab w:val="clear" w:pos="1134"/>
          <w:tab w:val="clear" w:pos="1701"/>
          <w:tab w:val="clear" w:pos="2268"/>
          <w:tab w:val="clear" w:pos="2835"/>
        </w:tabs>
        <w:overflowPunct/>
        <w:autoSpaceDE/>
        <w:autoSpaceDN/>
        <w:adjustRightInd/>
        <w:spacing w:before="0"/>
        <w:ind w:left="714" w:hanging="357"/>
        <w:contextualSpacing w:val="0"/>
        <w:textAlignment w:val="auto"/>
        <w:rPr>
          <w:rFonts w:eastAsiaTheme="minorHAnsi" w:cs="Calibri"/>
          <w:szCs w:val="24"/>
          <w:lang w:val="en-US"/>
        </w:rPr>
      </w:pPr>
      <w:r>
        <w:rPr>
          <w:rFonts w:eastAsiaTheme="minorHAnsi" w:cs="Calibri"/>
          <w:szCs w:val="24"/>
          <w:lang w:val="en-US"/>
        </w:rPr>
        <w:t xml:space="preserve">Some members are of the view that </w:t>
      </w:r>
      <w:r w:rsidRPr="002A4D72">
        <w:rPr>
          <w:rFonts w:cs="Calibri"/>
          <w:bCs/>
          <w:szCs w:val="24"/>
        </w:rPr>
        <w:t>the following trends and emerging issues in International Telecommunications/ ICT environment may impact the ITRs</w:t>
      </w:r>
      <w:r>
        <w:rPr>
          <w:rFonts w:cs="Calibri"/>
          <w:bCs/>
          <w:szCs w:val="24"/>
        </w:rPr>
        <w:t xml:space="preserve"> </w:t>
      </w:r>
      <w:r>
        <w:rPr>
          <w:rFonts w:cs="Calibri"/>
          <w:szCs w:val="24"/>
        </w:rPr>
        <w:t xml:space="preserve">(see 5.2.3 of </w:t>
      </w:r>
      <w:hyperlink r:id="rId28" w:history="1">
        <w:r w:rsidRPr="005440C7">
          <w:rPr>
            <w:rStyle w:val="Hyperlink"/>
          </w:rPr>
          <w:t>EG-ITRs-2/21</w:t>
        </w:r>
      </w:hyperlink>
      <w:r>
        <w:t>)</w:t>
      </w:r>
      <w:r w:rsidRPr="002A4D72">
        <w:rPr>
          <w:rFonts w:cs="Calibri"/>
          <w:bCs/>
          <w:szCs w:val="24"/>
        </w:rPr>
        <w:t xml:space="preserve">: </w:t>
      </w:r>
    </w:p>
    <w:p w14:paraId="0F862CFB"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Internet of Things;</w:t>
      </w:r>
    </w:p>
    <w:p w14:paraId="29785DF8"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 xml:space="preserve">Connectivity Technologies (FTTH, 5G and Satellite); </w:t>
      </w:r>
    </w:p>
    <w:p w14:paraId="09B9C332"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Artificial Intelligence;</w:t>
      </w:r>
    </w:p>
    <w:p w14:paraId="36820F4F"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 xml:space="preserve">Cybersecurity; </w:t>
      </w:r>
    </w:p>
    <w:p w14:paraId="369221BE"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Technological Evolution;</w:t>
      </w:r>
    </w:p>
    <w:p w14:paraId="1F2539E9"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Adjacent services from OTTs;</w:t>
      </w:r>
    </w:p>
    <w:p w14:paraId="722B68D9"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Separation of infrastructure and service layers;</w:t>
      </w:r>
    </w:p>
    <w:p w14:paraId="0662386F"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 xml:space="preserve">Decreasing voice revenues; </w:t>
      </w:r>
    </w:p>
    <w:p w14:paraId="011BA783"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Reduction in CDRs;</w:t>
      </w:r>
    </w:p>
    <w:p w14:paraId="1CF5EE03"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Taxation;</w:t>
      </w:r>
    </w:p>
    <w:p w14:paraId="21B89D05" w14:textId="77777777" w:rsidR="00B8316F" w:rsidRPr="002A4D72"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r w:rsidRPr="002A4D72">
        <w:rPr>
          <w:rFonts w:cs="Calibri"/>
          <w:bCs/>
          <w:szCs w:val="24"/>
        </w:rPr>
        <w:t xml:space="preserve">Collection charges; </w:t>
      </w:r>
    </w:p>
    <w:p w14:paraId="426C8313" w14:textId="77777777" w:rsidR="00B8316F" w:rsidRPr="00B8316F" w:rsidRDefault="00B8316F" w:rsidP="00B8316F">
      <w:pPr>
        <w:numPr>
          <w:ilvl w:val="0"/>
          <w:numId w:val="23"/>
        </w:num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lang w:val="en-ZA"/>
        </w:rPr>
      </w:pPr>
      <w:r w:rsidRPr="002A4D72">
        <w:rPr>
          <w:rFonts w:cs="Calibri"/>
          <w:bCs/>
          <w:szCs w:val="24"/>
        </w:rPr>
        <w:t xml:space="preserve">E-commerce and digital trade  </w:t>
      </w:r>
    </w:p>
    <w:p w14:paraId="57ED3F36" w14:textId="77777777" w:rsidR="00B8316F" w:rsidRDefault="00B8316F" w:rsidP="00B8316F">
      <w:p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p>
    <w:p w14:paraId="439EF1E7" w14:textId="77777777" w:rsidR="00B8316F" w:rsidRPr="002A4D72" w:rsidRDefault="00B8316F" w:rsidP="00B8316F">
      <w:pPr>
        <w:tabs>
          <w:tab w:val="clear" w:pos="567"/>
          <w:tab w:val="clear" w:pos="1134"/>
          <w:tab w:val="clear" w:pos="1701"/>
          <w:tab w:val="clear" w:pos="2268"/>
          <w:tab w:val="clear" w:pos="2835"/>
          <w:tab w:val="left" w:pos="794"/>
          <w:tab w:val="left" w:pos="1191"/>
          <w:tab w:val="left" w:pos="1588"/>
          <w:tab w:val="left" w:pos="1985"/>
        </w:tabs>
        <w:snapToGrid w:val="0"/>
        <w:spacing w:before="0"/>
        <w:jc w:val="center"/>
        <w:rPr>
          <w:rFonts w:cs="Calibri"/>
          <w:bCs/>
          <w:szCs w:val="24"/>
          <w:lang w:val="en-ZA"/>
        </w:rPr>
      </w:pPr>
      <w:r>
        <w:rPr>
          <w:rFonts w:cs="Calibri"/>
          <w:bCs/>
          <w:szCs w:val="24"/>
        </w:rPr>
        <w:t>__________</w:t>
      </w:r>
    </w:p>
    <w:sectPr w:rsidR="00B8316F" w:rsidRPr="002A4D72" w:rsidSect="00AD3606">
      <w:footerReference w:type="default" r:id="rId29"/>
      <w:headerReference w:type="first" r:id="rId30"/>
      <w:footerReference w:type="first" r:id="rId3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8D45F" w14:textId="77777777" w:rsidR="004400D8" w:rsidRDefault="004400D8">
      <w:r>
        <w:separator/>
      </w:r>
    </w:p>
  </w:endnote>
  <w:endnote w:type="continuationSeparator" w:id="0">
    <w:p w14:paraId="667AE08D" w14:textId="77777777" w:rsidR="004400D8" w:rsidRDefault="0044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D0A2E" w:rsidRPr="00784011" w14:paraId="6876BD4F" w14:textId="77777777" w:rsidTr="003669DB">
      <w:trPr>
        <w:jc w:val="center"/>
      </w:trPr>
      <w:tc>
        <w:tcPr>
          <w:tcW w:w="1803" w:type="dxa"/>
          <w:vAlign w:val="center"/>
        </w:tcPr>
        <w:p w14:paraId="52BF213D" w14:textId="3FBBB8AA" w:rsidR="002D0A2E" w:rsidRDefault="002D0A2E" w:rsidP="00EE49E8">
          <w:pPr>
            <w:pStyle w:val="Header"/>
            <w:jc w:val="left"/>
            <w:rPr>
              <w:noProof/>
            </w:rPr>
          </w:pPr>
        </w:p>
      </w:tc>
      <w:tc>
        <w:tcPr>
          <w:tcW w:w="8261" w:type="dxa"/>
        </w:tcPr>
        <w:p w14:paraId="096AFCF3" w14:textId="77777777" w:rsidR="002D0A2E" w:rsidRPr="00E06FD5" w:rsidRDefault="002D0A2E" w:rsidP="00942438">
          <w:pPr>
            <w:pStyle w:val="Header"/>
            <w:tabs>
              <w:tab w:val="left" w:pos="6163"/>
              <w:tab w:val="right" w:pos="8505"/>
              <w:tab w:val="right" w:pos="9639"/>
            </w:tabs>
            <w:jc w:val="left"/>
            <w:rPr>
              <w:rFonts w:ascii="Arial" w:hAnsi="Arial" w:cs="Arial"/>
              <w:b/>
              <w:bCs/>
              <w:szCs w:val="18"/>
            </w:rPr>
          </w:pPr>
          <w:r>
            <w:rPr>
              <w:bCs/>
            </w:rPr>
            <w:tab/>
            <w:t>EG-ITRs-3</w:t>
          </w:r>
          <w:r w:rsidRPr="00623AE3">
            <w:rPr>
              <w:bCs/>
            </w:rPr>
            <w:t>/</w:t>
          </w:r>
          <w:r w:rsidR="00942438">
            <w:rPr>
              <w:bCs/>
            </w:rPr>
            <w:t>4</w:t>
          </w:r>
          <w:r w:rsidRPr="00623AE3">
            <w:rPr>
              <w:bCs/>
            </w:rPr>
            <w:t>E</w:t>
          </w:r>
          <w:r>
            <w:rPr>
              <w:bCs/>
            </w:rPr>
            <w:tab/>
          </w:r>
          <w:r w:rsidR="00AE1D53">
            <w:fldChar w:fldCharType="begin"/>
          </w:r>
          <w:r w:rsidR="00AE1D53">
            <w:instrText>PAGE</w:instrText>
          </w:r>
          <w:r w:rsidR="00AE1D53">
            <w:fldChar w:fldCharType="separate"/>
          </w:r>
          <w:r w:rsidR="00F0286A">
            <w:rPr>
              <w:noProof/>
            </w:rPr>
            <w:t>2</w:t>
          </w:r>
          <w:r w:rsidR="00AE1D53">
            <w:rPr>
              <w:noProof/>
            </w:rPr>
            <w:fldChar w:fldCharType="end"/>
          </w:r>
        </w:p>
      </w:tc>
    </w:tr>
  </w:tbl>
  <w:p w14:paraId="2E496108" w14:textId="77777777" w:rsidR="002D0A2E" w:rsidRPr="00DB1936" w:rsidRDefault="002D0A2E"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2D0A2E" w:rsidRPr="00784011" w14:paraId="7EE88FE9" w14:textId="77777777" w:rsidTr="00A52C84">
      <w:trPr>
        <w:jc w:val="center"/>
      </w:trPr>
      <w:tc>
        <w:tcPr>
          <w:tcW w:w="3107" w:type="dxa"/>
          <w:vAlign w:val="center"/>
        </w:tcPr>
        <w:p w14:paraId="1162DCAE" w14:textId="77777777" w:rsidR="002D0A2E" w:rsidRDefault="002D0A2E" w:rsidP="00EE49E8">
          <w:pPr>
            <w:pStyle w:val="Header"/>
            <w:jc w:val="left"/>
            <w:rPr>
              <w:noProof/>
            </w:rPr>
          </w:pPr>
          <w:r w:rsidRPr="00293B38">
            <w:rPr>
              <w:color w:val="0070C0"/>
            </w:rPr>
            <w:t>https://council.itu.int/working-groups</w:t>
          </w:r>
        </w:p>
      </w:tc>
      <w:tc>
        <w:tcPr>
          <w:tcW w:w="6957" w:type="dxa"/>
        </w:tcPr>
        <w:p w14:paraId="18B8A6ED" w14:textId="77777777" w:rsidR="002D0A2E" w:rsidRPr="00E06FD5" w:rsidRDefault="002D0A2E" w:rsidP="00942438">
          <w:pPr>
            <w:pStyle w:val="Header"/>
            <w:tabs>
              <w:tab w:val="left" w:pos="4867"/>
              <w:tab w:val="right" w:pos="8505"/>
              <w:tab w:val="right" w:pos="9639"/>
            </w:tabs>
            <w:jc w:val="left"/>
            <w:rPr>
              <w:rFonts w:ascii="Arial" w:hAnsi="Arial" w:cs="Arial"/>
              <w:b/>
              <w:bCs/>
              <w:szCs w:val="18"/>
            </w:rPr>
          </w:pPr>
          <w:r>
            <w:rPr>
              <w:bCs/>
            </w:rPr>
            <w:tab/>
            <w:t>EG-ITRs-3</w:t>
          </w:r>
          <w:r w:rsidRPr="00623AE3">
            <w:rPr>
              <w:bCs/>
            </w:rPr>
            <w:t>/</w:t>
          </w:r>
          <w:r w:rsidR="00942438">
            <w:rPr>
              <w:bCs/>
            </w:rPr>
            <w:t>4</w:t>
          </w:r>
          <w:r w:rsidRPr="00623AE3">
            <w:rPr>
              <w:bCs/>
            </w:rPr>
            <w:t>-E</w:t>
          </w:r>
          <w:r>
            <w:rPr>
              <w:bCs/>
            </w:rPr>
            <w:tab/>
          </w:r>
          <w:r w:rsidR="00AE1D53">
            <w:fldChar w:fldCharType="begin"/>
          </w:r>
          <w:r w:rsidR="00AE1D53">
            <w:instrText>PAGE</w:instrText>
          </w:r>
          <w:r w:rsidR="00AE1D53">
            <w:fldChar w:fldCharType="separate"/>
          </w:r>
          <w:r w:rsidR="00F0286A">
            <w:rPr>
              <w:noProof/>
            </w:rPr>
            <w:t>1</w:t>
          </w:r>
          <w:r w:rsidR="00AE1D53">
            <w:rPr>
              <w:noProof/>
            </w:rPr>
            <w:fldChar w:fldCharType="end"/>
          </w:r>
        </w:p>
      </w:tc>
    </w:tr>
  </w:tbl>
  <w:p w14:paraId="3AE5D83A" w14:textId="77777777" w:rsidR="002D0A2E" w:rsidRPr="00623AE3" w:rsidRDefault="002D0A2E"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74CC5" w14:textId="77777777" w:rsidR="004400D8" w:rsidRDefault="004400D8">
      <w:r>
        <w:t>____________________</w:t>
      </w:r>
    </w:p>
  </w:footnote>
  <w:footnote w:type="continuationSeparator" w:id="0">
    <w:p w14:paraId="2A85753C" w14:textId="77777777" w:rsidR="004400D8" w:rsidRDefault="0044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2D0A2E" w:rsidRPr="00784011" w14:paraId="5A89F62B" w14:textId="77777777" w:rsidTr="00F74694">
      <w:trPr>
        <w:trHeight w:val="1304"/>
        <w:jc w:val="center"/>
      </w:trPr>
      <w:tc>
        <w:tcPr>
          <w:tcW w:w="6546" w:type="dxa"/>
        </w:tcPr>
        <w:p w14:paraId="67FE194A" w14:textId="2A87FC57" w:rsidR="002D0A2E" w:rsidRPr="009621F8" w:rsidRDefault="00AE1D53"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207B99A2" wp14:editId="431C2A1A">
                    <wp:simplePos x="0" y="0"/>
                    <wp:positionH relativeFrom="column">
                      <wp:posOffset>570230</wp:posOffset>
                    </wp:positionH>
                    <wp:positionV relativeFrom="paragraph">
                      <wp:posOffset>63500</wp:posOffset>
                    </wp:positionV>
                    <wp:extent cx="1652905" cy="541020"/>
                    <wp:effectExtent l="0" t="0" r="0" b="0"/>
                    <wp:wrapNone/>
                    <wp:docPr id="18851398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966CE"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2D0A2E">
            <w:rPr>
              <w:noProof/>
              <w:lang w:val="en-US"/>
            </w:rPr>
            <w:drawing>
              <wp:inline distT="0" distB="0" distL="0" distR="0" wp14:anchorId="40C1A32F" wp14:editId="5F9E18EA">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A1D1F93" w14:textId="77777777" w:rsidR="002D0A2E" w:rsidRDefault="002D0A2E" w:rsidP="00AD3606">
          <w:pPr>
            <w:pStyle w:val="Header"/>
            <w:jc w:val="right"/>
            <w:rPr>
              <w:rFonts w:ascii="Arial" w:hAnsi="Arial" w:cs="Arial"/>
              <w:b/>
              <w:bCs/>
              <w:color w:val="009CD6"/>
              <w:szCs w:val="18"/>
            </w:rPr>
          </w:pPr>
        </w:p>
        <w:p w14:paraId="6A510F42" w14:textId="77777777" w:rsidR="002D0A2E" w:rsidRDefault="002D0A2E" w:rsidP="00AD3606">
          <w:pPr>
            <w:pStyle w:val="Header"/>
            <w:jc w:val="right"/>
            <w:rPr>
              <w:rFonts w:ascii="Arial" w:hAnsi="Arial" w:cs="Arial"/>
              <w:b/>
              <w:bCs/>
              <w:color w:val="009CD6"/>
              <w:szCs w:val="18"/>
            </w:rPr>
          </w:pPr>
        </w:p>
        <w:p w14:paraId="42C35468" w14:textId="77777777" w:rsidR="002D0A2E" w:rsidRPr="00784011" w:rsidRDefault="002D0A2E"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9B5A809" w14:textId="1CD6C02A" w:rsidR="002D0A2E" w:rsidRDefault="00AE1D53">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F2EB6DA" wp14:editId="4805AD50">
              <wp:simplePos x="0" y="0"/>
              <wp:positionH relativeFrom="page">
                <wp:posOffset>14605</wp:posOffset>
              </wp:positionH>
              <wp:positionV relativeFrom="topMargin">
                <wp:posOffset>555625</wp:posOffset>
              </wp:positionV>
              <wp:extent cx="93345" cy="431800"/>
              <wp:effectExtent l="0" t="0" r="0" b="0"/>
              <wp:wrapNone/>
              <wp:docPr id="11159956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14890"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29ADF9" wp14:editId="126F4A63">
              <wp:simplePos x="0" y="0"/>
              <wp:positionH relativeFrom="column">
                <wp:posOffset>306705</wp:posOffset>
              </wp:positionH>
              <wp:positionV relativeFrom="paragraph">
                <wp:posOffset>-835660</wp:posOffset>
              </wp:positionV>
              <wp:extent cx="3999230" cy="618490"/>
              <wp:effectExtent l="0" t="0" r="0" b="0"/>
              <wp:wrapNone/>
              <wp:docPr id="12322504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30040F10" w14:textId="77777777" w:rsidR="002D0A2E" w:rsidRDefault="002D0A2E"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Third</w:t>
                          </w:r>
                          <w:r w:rsidRPr="00130599">
                            <w:rPr>
                              <w:sz w:val="20"/>
                            </w:rPr>
                            <w:t xml:space="preserve"> meeting - </w:t>
                          </w:r>
                          <w:r w:rsidR="00F0286A">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29ADF9"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30040F10" w14:textId="77777777" w:rsidR="002D0A2E" w:rsidRDefault="002D0A2E"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Third</w:t>
                    </w:r>
                    <w:r w:rsidRPr="00130599">
                      <w:rPr>
                        <w:sz w:val="20"/>
                      </w:rPr>
                      <w:t xml:space="preserve"> meeting - </w:t>
                    </w:r>
                    <w:r w:rsidR="00F0286A">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F36EB"/>
    <w:multiLevelType w:val="hybridMultilevel"/>
    <w:tmpl w:val="2E3C293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252FF"/>
    <w:multiLevelType w:val="hybridMultilevel"/>
    <w:tmpl w:val="9AB6A17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6837"/>
    <w:multiLevelType w:val="multilevel"/>
    <w:tmpl w:val="9994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2240D"/>
    <w:multiLevelType w:val="multilevel"/>
    <w:tmpl w:val="60C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96E04"/>
    <w:multiLevelType w:val="multilevel"/>
    <w:tmpl w:val="D4AA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2446D"/>
    <w:multiLevelType w:val="multilevel"/>
    <w:tmpl w:val="826E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726E3"/>
    <w:multiLevelType w:val="hybridMultilevel"/>
    <w:tmpl w:val="F25E9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94DE1"/>
    <w:multiLevelType w:val="multilevel"/>
    <w:tmpl w:val="0B38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42C46"/>
    <w:multiLevelType w:val="multilevel"/>
    <w:tmpl w:val="8E5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D632F"/>
    <w:multiLevelType w:val="hybridMultilevel"/>
    <w:tmpl w:val="21BC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D3B03"/>
    <w:multiLevelType w:val="multilevel"/>
    <w:tmpl w:val="4E8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901F8"/>
    <w:multiLevelType w:val="multilevel"/>
    <w:tmpl w:val="5FA2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3333C"/>
    <w:multiLevelType w:val="multilevel"/>
    <w:tmpl w:val="6CE035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36044"/>
    <w:multiLevelType w:val="multilevel"/>
    <w:tmpl w:val="2E9A4954"/>
    <w:lvl w:ilvl="0">
      <w:start w:val="1"/>
      <w:numFmt w:val="lowerLetter"/>
      <w:lvlText w:val="%1)"/>
      <w:lvlJc w:val="left"/>
      <w:pPr>
        <w:ind w:left="1514" w:hanging="720"/>
      </w:pPr>
      <w:rPr>
        <w:rFonts w:ascii="Calibri" w:hAnsi="Calibri" w:hint="default"/>
        <w:sz w:val="24"/>
      </w:r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5" w15:restartNumberingAfterBreak="0">
    <w:nsid w:val="5C707D2B"/>
    <w:multiLevelType w:val="multilevel"/>
    <w:tmpl w:val="5E88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25AAB"/>
    <w:multiLevelType w:val="hybridMultilevel"/>
    <w:tmpl w:val="4F68C84E"/>
    <w:lvl w:ilvl="0" w:tplc="B7FE09B8">
      <w:start w:val="1"/>
      <w:numFmt w:val="lowerLetter"/>
      <w:lvlText w:val="%1)"/>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20AD6"/>
    <w:multiLevelType w:val="hybridMultilevel"/>
    <w:tmpl w:val="C4822530"/>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B5F85"/>
    <w:multiLevelType w:val="hybridMultilevel"/>
    <w:tmpl w:val="2E3C293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C4B1E"/>
    <w:multiLevelType w:val="multilevel"/>
    <w:tmpl w:val="F298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D750C"/>
    <w:multiLevelType w:val="multilevel"/>
    <w:tmpl w:val="4EA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274133"/>
    <w:multiLevelType w:val="multilevel"/>
    <w:tmpl w:val="11E03612"/>
    <w:lvl w:ilvl="0">
      <w:start w:val="1"/>
      <w:numFmt w:val="lowerLetter"/>
      <w:lvlText w:val="(%1)"/>
      <w:lvlJc w:val="left"/>
      <w:pPr>
        <w:ind w:left="3579" w:hanging="720"/>
      </w:pPr>
    </w:lvl>
    <w:lvl w:ilvl="1">
      <w:start w:val="1"/>
      <w:numFmt w:val="lowerLetter"/>
      <w:lvlText w:val="%2."/>
      <w:lvlJc w:val="left"/>
      <w:pPr>
        <w:ind w:left="3939" w:hanging="360"/>
      </w:pPr>
    </w:lvl>
    <w:lvl w:ilvl="2">
      <w:start w:val="1"/>
      <w:numFmt w:val="lowerRoman"/>
      <w:lvlText w:val="%3."/>
      <w:lvlJc w:val="right"/>
      <w:pPr>
        <w:ind w:left="4659" w:hanging="180"/>
      </w:pPr>
    </w:lvl>
    <w:lvl w:ilvl="3">
      <w:start w:val="1"/>
      <w:numFmt w:val="decimal"/>
      <w:lvlText w:val="%4."/>
      <w:lvlJc w:val="left"/>
      <w:pPr>
        <w:ind w:left="5379" w:hanging="360"/>
      </w:pPr>
    </w:lvl>
    <w:lvl w:ilvl="4">
      <w:start w:val="1"/>
      <w:numFmt w:val="lowerLetter"/>
      <w:lvlText w:val="%5."/>
      <w:lvlJc w:val="left"/>
      <w:pPr>
        <w:ind w:left="6099" w:hanging="360"/>
      </w:pPr>
    </w:lvl>
    <w:lvl w:ilvl="5">
      <w:start w:val="1"/>
      <w:numFmt w:val="lowerRoman"/>
      <w:lvlText w:val="%6."/>
      <w:lvlJc w:val="right"/>
      <w:pPr>
        <w:ind w:left="6819" w:hanging="180"/>
      </w:pPr>
    </w:lvl>
    <w:lvl w:ilvl="6">
      <w:start w:val="1"/>
      <w:numFmt w:val="decimal"/>
      <w:lvlText w:val="%7."/>
      <w:lvlJc w:val="left"/>
      <w:pPr>
        <w:ind w:left="7539" w:hanging="360"/>
      </w:pPr>
    </w:lvl>
    <w:lvl w:ilvl="7">
      <w:start w:val="1"/>
      <w:numFmt w:val="lowerLetter"/>
      <w:lvlText w:val="%8."/>
      <w:lvlJc w:val="left"/>
      <w:pPr>
        <w:ind w:left="8259" w:hanging="360"/>
      </w:pPr>
    </w:lvl>
    <w:lvl w:ilvl="8">
      <w:start w:val="1"/>
      <w:numFmt w:val="lowerRoman"/>
      <w:lvlText w:val="%9."/>
      <w:lvlJc w:val="right"/>
      <w:pPr>
        <w:ind w:left="8979" w:hanging="180"/>
      </w:pPr>
    </w:lvl>
  </w:abstractNum>
  <w:abstractNum w:abstractNumId="22" w15:restartNumberingAfterBreak="0">
    <w:nsid w:val="7B617DA5"/>
    <w:multiLevelType w:val="multilevel"/>
    <w:tmpl w:val="0FE8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073549">
    <w:abstractNumId w:val="0"/>
  </w:num>
  <w:num w:numId="2" w16cid:durableId="1670520208">
    <w:abstractNumId w:val="1"/>
  </w:num>
  <w:num w:numId="3" w16cid:durableId="740833290">
    <w:abstractNumId w:val="16"/>
  </w:num>
  <w:num w:numId="4" w16cid:durableId="1966042742">
    <w:abstractNumId w:val="7"/>
  </w:num>
  <w:num w:numId="5" w16cid:durableId="884802923">
    <w:abstractNumId w:val="18"/>
  </w:num>
  <w:num w:numId="6" w16cid:durableId="225914770">
    <w:abstractNumId w:val="2"/>
  </w:num>
  <w:num w:numId="7" w16cid:durableId="1770422111">
    <w:abstractNumId w:val="13"/>
  </w:num>
  <w:num w:numId="8" w16cid:durableId="1881238025">
    <w:abstractNumId w:val="15"/>
  </w:num>
  <w:num w:numId="9" w16cid:durableId="1066877182">
    <w:abstractNumId w:val="19"/>
  </w:num>
  <w:num w:numId="10" w16cid:durableId="2138527297">
    <w:abstractNumId w:val="8"/>
  </w:num>
  <w:num w:numId="11" w16cid:durableId="677930933">
    <w:abstractNumId w:val="5"/>
  </w:num>
  <w:num w:numId="12" w16cid:durableId="881745924">
    <w:abstractNumId w:val="6"/>
  </w:num>
  <w:num w:numId="13" w16cid:durableId="2117946893">
    <w:abstractNumId w:val="20"/>
  </w:num>
  <w:num w:numId="14" w16cid:durableId="1984847465">
    <w:abstractNumId w:val="9"/>
  </w:num>
  <w:num w:numId="15" w16cid:durableId="506749761">
    <w:abstractNumId w:val="3"/>
  </w:num>
  <w:num w:numId="16" w16cid:durableId="41560133">
    <w:abstractNumId w:val="4"/>
  </w:num>
  <w:num w:numId="17" w16cid:durableId="781845081">
    <w:abstractNumId w:val="12"/>
  </w:num>
  <w:num w:numId="18" w16cid:durableId="1792623821">
    <w:abstractNumId w:val="11"/>
  </w:num>
  <w:num w:numId="19" w16cid:durableId="923420568">
    <w:abstractNumId w:val="22"/>
  </w:num>
  <w:num w:numId="20" w16cid:durableId="303660232">
    <w:abstractNumId w:val="17"/>
  </w:num>
  <w:num w:numId="21" w16cid:durableId="1421751384">
    <w:abstractNumId w:val="10"/>
  </w:num>
  <w:num w:numId="22" w16cid:durableId="1967542369">
    <w:abstractNumId w:val="21"/>
  </w:num>
  <w:num w:numId="23" w16cid:durableId="1539706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DBE"/>
    <w:rsid w:val="0000683F"/>
    <w:rsid w:val="000210D4"/>
    <w:rsid w:val="00022B92"/>
    <w:rsid w:val="00063016"/>
    <w:rsid w:val="00066795"/>
    <w:rsid w:val="00076AF6"/>
    <w:rsid w:val="00085CF2"/>
    <w:rsid w:val="000B1705"/>
    <w:rsid w:val="000C0D27"/>
    <w:rsid w:val="000D75B2"/>
    <w:rsid w:val="00104C25"/>
    <w:rsid w:val="001121F5"/>
    <w:rsid w:val="001239F6"/>
    <w:rsid w:val="00130599"/>
    <w:rsid w:val="001400DC"/>
    <w:rsid w:val="00140CE1"/>
    <w:rsid w:val="0017539C"/>
    <w:rsid w:val="00175AC2"/>
    <w:rsid w:val="0017609F"/>
    <w:rsid w:val="001916E4"/>
    <w:rsid w:val="001A7D1D"/>
    <w:rsid w:val="001B51DD"/>
    <w:rsid w:val="001C628E"/>
    <w:rsid w:val="001E0F7B"/>
    <w:rsid w:val="00204E80"/>
    <w:rsid w:val="002119FD"/>
    <w:rsid w:val="00212035"/>
    <w:rsid w:val="002130E0"/>
    <w:rsid w:val="00244F7F"/>
    <w:rsid w:val="002519C2"/>
    <w:rsid w:val="00257973"/>
    <w:rsid w:val="00264425"/>
    <w:rsid w:val="00265875"/>
    <w:rsid w:val="0027303B"/>
    <w:rsid w:val="00280C81"/>
    <w:rsid w:val="0028109B"/>
    <w:rsid w:val="00291CBF"/>
    <w:rsid w:val="00293B38"/>
    <w:rsid w:val="002A2188"/>
    <w:rsid w:val="002B1F58"/>
    <w:rsid w:val="002C1C7A"/>
    <w:rsid w:val="002C5221"/>
    <w:rsid w:val="002C54E2"/>
    <w:rsid w:val="002D0A2E"/>
    <w:rsid w:val="0030160F"/>
    <w:rsid w:val="00320223"/>
    <w:rsid w:val="00322D0D"/>
    <w:rsid w:val="0032753D"/>
    <w:rsid w:val="003433D2"/>
    <w:rsid w:val="003542B5"/>
    <w:rsid w:val="00361465"/>
    <w:rsid w:val="003669DB"/>
    <w:rsid w:val="00370EE6"/>
    <w:rsid w:val="00375503"/>
    <w:rsid w:val="003877F5"/>
    <w:rsid w:val="003942D4"/>
    <w:rsid w:val="003958A8"/>
    <w:rsid w:val="003C2533"/>
    <w:rsid w:val="003D5A7F"/>
    <w:rsid w:val="004016E2"/>
    <w:rsid w:val="0040435A"/>
    <w:rsid w:val="00416A24"/>
    <w:rsid w:val="00431D9E"/>
    <w:rsid w:val="00433CE8"/>
    <w:rsid w:val="00434A5C"/>
    <w:rsid w:val="004400D8"/>
    <w:rsid w:val="004544D9"/>
    <w:rsid w:val="00455A4D"/>
    <w:rsid w:val="00472BAD"/>
    <w:rsid w:val="004775DF"/>
    <w:rsid w:val="00484009"/>
    <w:rsid w:val="00490E72"/>
    <w:rsid w:val="00491157"/>
    <w:rsid w:val="004921C8"/>
    <w:rsid w:val="00495B0B"/>
    <w:rsid w:val="004A1B8B"/>
    <w:rsid w:val="004B5910"/>
    <w:rsid w:val="004D1851"/>
    <w:rsid w:val="004D599D"/>
    <w:rsid w:val="004D648B"/>
    <w:rsid w:val="004E2EA5"/>
    <w:rsid w:val="004E3AEB"/>
    <w:rsid w:val="004F0E24"/>
    <w:rsid w:val="0050223C"/>
    <w:rsid w:val="0052249C"/>
    <w:rsid w:val="005243FF"/>
    <w:rsid w:val="005440C7"/>
    <w:rsid w:val="00564FBC"/>
    <w:rsid w:val="0057251F"/>
    <w:rsid w:val="005800BC"/>
    <w:rsid w:val="00582442"/>
    <w:rsid w:val="005A335D"/>
    <w:rsid w:val="005E2BD5"/>
    <w:rsid w:val="005F3269"/>
    <w:rsid w:val="00616C10"/>
    <w:rsid w:val="00623AE3"/>
    <w:rsid w:val="00636853"/>
    <w:rsid w:val="0064737F"/>
    <w:rsid w:val="006535F1"/>
    <w:rsid w:val="0065557D"/>
    <w:rsid w:val="00660D50"/>
    <w:rsid w:val="00662984"/>
    <w:rsid w:val="006649C9"/>
    <w:rsid w:val="006716BB"/>
    <w:rsid w:val="006777EC"/>
    <w:rsid w:val="006819A4"/>
    <w:rsid w:val="00686A8D"/>
    <w:rsid w:val="006A1610"/>
    <w:rsid w:val="006B1859"/>
    <w:rsid w:val="006B6680"/>
    <w:rsid w:val="006B6DCC"/>
    <w:rsid w:val="006C11BB"/>
    <w:rsid w:val="006C4EFC"/>
    <w:rsid w:val="00702DEF"/>
    <w:rsid w:val="00706861"/>
    <w:rsid w:val="00745D44"/>
    <w:rsid w:val="0075051B"/>
    <w:rsid w:val="00775655"/>
    <w:rsid w:val="00793188"/>
    <w:rsid w:val="00794D34"/>
    <w:rsid w:val="00794DFC"/>
    <w:rsid w:val="007E0081"/>
    <w:rsid w:val="007F7DF3"/>
    <w:rsid w:val="0080425D"/>
    <w:rsid w:val="00813E5E"/>
    <w:rsid w:val="0083581B"/>
    <w:rsid w:val="0085677D"/>
    <w:rsid w:val="00863874"/>
    <w:rsid w:val="00864283"/>
    <w:rsid w:val="00864AFF"/>
    <w:rsid w:val="00865925"/>
    <w:rsid w:val="008759BD"/>
    <w:rsid w:val="00884D35"/>
    <w:rsid w:val="0088630E"/>
    <w:rsid w:val="008B056B"/>
    <w:rsid w:val="008B4A6A"/>
    <w:rsid w:val="008C1893"/>
    <w:rsid w:val="008C7E27"/>
    <w:rsid w:val="008F7448"/>
    <w:rsid w:val="0090147A"/>
    <w:rsid w:val="009166C0"/>
    <w:rsid w:val="009173EF"/>
    <w:rsid w:val="00932906"/>
    <w:rsid w:val="00941193"/>
    <w:rsid w:val="00942438"/>
    <w:rsid w:val="00950BC7"/>
    <w:rsid w:val="00961B0B"/>
    <w:rsid w:val="00962D33"/>
    <w:rsid w:val="009B38C3"/>
    <w:rsid w:val="009E17BD"/>
    <w:rsid w:val="009E485A"/>
    <w:rsid w:val="00A028B5"/>
    <w:rsid w:val="00A04CEC"/>
    <w:rsid w:val="00A27F92"/>
    <w:rsid w:val="00A32257"/>
    <w:rsid w:val="00A36D20"/>
    <w:rsid w:val="00A377D7"/>
    <w:rsid w:val="00A514A4"/>
    <w:rsid w:val="00A52C84"/>
    <w:rsid w:val="00A55622"/>
    <w:rsid w:val="00A645DF"/>
    <w:rsid w:val="00A83502"/>
    <w:rsid w:val="00AD15B3"/>
    <w:rsid w:val="00AD3606"/>
    <w:rsid w:val="00AD4A3D"/>
    <w:rsid w:val="00AE1D53"/>
    <w:rsid w:val="00AF6E49"/>
    <w:rsid w:val="00B03666"/>
    <w:rsid w:val="00B04A67"/>
    <w:rsid w:val="00B0583C"/>
    <w:rsid w:val="00B21BDA"/>
    <w:rsid w:val="00B40A81"/>
    <w:rsid w:val="00B4436B"/>
    <w:rsid w:val="00B44910"/>
    <w:rsid w:val="00B72267"/>
    <w:rsid w:val="00B76EB6"/>
    <w:rsid w:val="00B7737B"/>
    <w:rsid w:val="00B824C8"/>
    <w:rsid w:val="00B8316F"/>
    <w:rsid w:val="00B832E4"/>
    <w:rsid w:val="00B84B9D"/>
    <w:rsid w:val="00BC00F1"/>
    <w:rsid w:val="00BC251A"/>
    <w:rsid w:val="00BD032B"/>
    <w:rsid w:val="00BD3334"/>
    <w:rsid w:val="00BE14EE"/>
    <w:rsid w:val="00BE2640"/>
    <w:rsid w:val="00BF0749"/>
    <w:rsid w:val="00C01189"/>
    <w:rsid w:val="00C03FCD"/>
    <w:rsid w:val="00C24C16"/>
    <w:rsid w:val="00C35BAE"/>
    <w:rsid w:val="00C374DE"/>
    <w:rsid w:val="00C47AD4"/>
    <w:rsid w:val="00C52D81"/>
    <w:rsid w:val="00C55198"/>
    <w:rsid w:val="00CA6393"/>
    <w:rsid w:val="00CB18FF"/>
    <w:rsid w:val="00CD0C08"/>
    <w:rsid w:val="00CD18B8"/>
    <w:rsid w:val="00CE03FB"/>
    <w:rsid w:val="00CE433C"/>
    <w:rsid w:val="00CF0161"/>
    <w:rsid w:val="00CF33F3"/>
    <w:rsid w:val="00D01569"/>
    <w:rsid w:val="00D06183"/>
    <w:rsid w:val="00D22C42"/>
    <w:rsid w:val="00D464CC"/>
    <w:rsid w:val="00D65041"/>
    <w:rsid w:val="00D90350"/>
    <w:rsid w:val="00DB00D5"/>
    <w:rsid w:val="00DB0439"/>
    <w:rsid w:val="00DB1936"/>
    <w:rsid w:val="00DB384B"/>
    <w:rsid w:val="00DF0189"/>
    <w:rsid w:val="00E06FD5"/>
    <w:rsid w:val="00E10E80"/>
    <w:rsid w:val="00E124F0"/>
    <w:rsid w:val="00E227F3"/>
    <w:rsid w:val="00E44B70"/>
    <w:rsid w:val="00E45BD0"/>
    <w:rsid w:val="00E545C6"/>
    <w:rsid w:val="00E60F04"/>
    <w:rsid w:val="00E65B24"/>
    <w:rsid w:val="00E854E4"/>
    <w:rsid w:val="00E86DBF"/>
    <w:rsid w:val="00EB0D6F"/>
    <w:rsid w:val="00EB2232"/>
    <w:rsid w:val="00EC5337"/>
    <w:rsid w:val="00EC6779"/>
    <w:rsid w:val="00EE49E8"/>
    <w:rsid w:val="00EE4E8F"/>
    <w:rsid w:val="00F0286A"/>
    <w:rsid w:val="00F10614"/>
    <w:rsid w:val="00F16BAB"/>
    <w:rsid w:val="00F20CAF"/>
    <w:rsid w:val="00F2150A"/>
    <w:rsid w:val="00F21524"/>
    <w:rsid w:val="00F231D8"/>
    <w:rsid w:val="00F44C00"/>
    <w:rsid w:val="00F45D2C"/>
    <w:rsid w:val="00F46C5F"/>
    <w:rsid w:val="00F56336"/>
    <w:rsid w:val="00F632C0"/>
    <w:rsid w:val="00F63765"/>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2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08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370EE6"/>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numbering" w:customStyle="1" w:styleId="NoList1">
    <w:name w:val="No List1"/>
    <w:next w:val="NoList"/>
    <w:uiPriority w:val="99"/>
    <w:semiHidden/>
    <w:unhideWhenUsed/>
    <w:rsid w:val="002519C2"/>
  </w:style>
  <w:style w:type="character" w:customStyle="1" w:styleId="Heading3Char">
    <w:name w:val="Heading 3 Char"/>
    <w:basedOn w:val="DefaultParagraphFont"/>
    <w:link w:val="Heading3"/>
    <w:uiPriority w:val="9"/>
    <w:rsid w:val="002519C2"/>
    <w:rPr>
      <w:rFonts w:ascii="Calibri" w:hAnsi="Calibri"/>
      <w:b/>
      <w:sz w:val="24"/>
      <w:lang w:val="en-GB" w:eastAsia="en-US"/>
    </w:rPr>
  </w:style>
  <w:style w:type="paragraph" w:styleId="NormalWeb">
    <w:name w:val="Normal (Web)"/>
    <w:basedOn w:val="Normal"/>
    <w:uiPriority w:val="99"/>
    <w:semiHidden/>
    <w:unhideWhenUsed/>
    <w:rsid w:val="002519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2519C2"/>
    <w:rPr>
      <w:b/>
      <w:bCs/>
    </w:rPr>
  </w:style>
  <w:style w:type="character" w:styleId="Emphasis">
    <w:name w:val="Emphasis"/>
    <w:basedOn w:val="DefaultParagraphFont"/>
    <w:uiPriority w:val="20"/>
    <w:qFormat/>
    <w:rsid w:val="002519C2"/>
    <w:rPr>
      <w:i/>
      <w:iCs/>
    </w:rPr>
  </w:style>
  <w:style w:type="paragraph" w:styleId="BalloonText">
    <w:name w:val="Balloon Text"/>
    <w:basedOn w:val="Normal"/>
    <w:link w:val="BalloonTextChar"/>
    <w:uiPriority w:val="99"/>
    <w:semiHidden/>
    <w:unhideWhenUsed/>
    <w:rsid w:val="002519C2"/>
    <w:pPr>
      <w:tabs>
        <w:tab w:val="clear" w:pos="567"/>
        <w:tab w:val="clear" w:pos="1134"/>
        <w:tab w:val="clear" w:pos="1701"/>
        <w:tab w:val="clear" w:pos="2268"/>
        <w:tab w:val="clear" w:pos="2835"/>
      </w:tabs>
      <w:overflowPunct/>
      <w:autoSpaceDE/>
      <w:autoSpaceDN/>
      <w:adjustRightInd/>
      <w:spacing w:before="0"/>
      <w:textAlignment w:val="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2519C2"/>
    <w:rPr>
      <w:rFonts w:ascii="Tahoma" w:eastAsiaTheme="minorHAnsi" w:hAnsi="Tahoma" w:cs="Tahoma"/>
      <w:sz w:val="16"/>
      <w:szCs w:val="16"/>
      <w:lang w:eastAsia="en-US"/>
    </w:rPr>
  </w:style>
  <w:style w:type="character" w:customStyle="1" w:styleId="FootnoteTextChar">
    <w:name w:val="Footnote Text Char"/>
    <w:basedOn w:val="DefaultParagraphFont"/>
    <w:link w:val="FootnoteText"/>
    <w:uiPriority w:val="99"/>
    <w:rsid w:val="002519C2"/>
    <w:rPr>
      <w:rFonts w:ascii="Calibri" w:hAnsi="Calibri"/>
      <w:lang w:val="en-GB" w:eastAsia="en-US"/>
    </w:rPr>
  </w:style>
  <w:style w:type="paragraph" w:styleId="ListParagraph">
    <w:name w:val="List Paragraph"/>
    <w:basedOn w:val="Normal"/>
    <w:uiPriority w:val="34"/>
    <w:qFormat/>
    <w:rsid w:val="002D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3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EGITRS2-C-0021/en" TargetMode="External"/><Relationship Id="rId18" Type="http://schemas.openxmlformats.org/officeDocument/2006/relationships/hyperlink" Target="https://www.itu.int/md/S24-EGITRS2-C-0008/en" TargetMode="External"/><Relationship Id="rId26" Type="http://schemas.openxmlformats.org/officeDocument/2006/relationships/hyperlink" Target="https://www.itu.int/md/S23-EGITRS1-C-0008/en" TargetMode="External"/><Relationship Id="rId3" Type="http://schemas.openxmlformats.org/officeDocument/2006/relationships/styles" Target="styles.xml"/><Relationship Id="rId21" Type="http://schemas.openxmlformats.org/officeDocument/2006/relationships/hyperlink" Target="https://www.itu.int/md/S23-EGITRS1-C-0008/en" TargetMode="External"/><Relationship Id="rId7" Type="http://schemas.openxmlformats.org/officeDocument/2006/relationships/endnotes" Target="endnotes.xml"/><Relationship Id="rId12" Type="http://schemas.openxmlformats.org/officeDocument/2006/relationships/hyperlink" Target="https://www.itu.int/md/S24-EGITRS2-C-0020/en" TargetMode="External"/><Relationship Id="rId17" Type="http://schemas.openxmlformats.org/officeDocument/2006/relationships/hyperlink" Target="https://www.itu.int/md/S24-EGITRS2-C-0007/en" TargetMode="External"/><Relationship Id="rId25" Type="http://schemas.openxmlformats.org/officeDocument/2006/relationships/hyperlink" Target="https://www.itu.int/md/S24-EGITRS2-C-0020/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4-EGITRS2-C-0021/en" TargetMode="External"/><Relationship Id="rId20" Type="http://schemas.openxmlformats.org/officeDocument/2006/relationships/hyperlink" Target="https://www.itu.int/md/S24-EGITRS2-C-0021/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2-C-0008/en" TargetMode="External"/><Relationship Id="rId24" Type="http://schemas.openxmlformats.org/officeDocument/2006/relationships/hyperlink" Target="https://www.itu.int/md/S24-EGITRS2-C-0020/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4-EGITRS2-C-0021/en" TargetMode="External"/><Relationship Id="rId23" Type="http://schemas.openxmlformats.org/officeDocument/2006/relationships/hyperlink" Target="https://www.itu.int/md/S24-EGITRS2-C-0020/en" TargetMode="External"/><Relationship Id="rId28" Type="http://schemas.openxmlformats.org/officeDocument/2006/relationships/hyperlink" Target="https://www.itu.int/md/S24-EGITRS2-C-0021/en" TargetMode="External"/><Relationship Id="rId10" Type="http://schemas.openxmlformats.org/officeDocument/2006/relationships/hyperlink" Target="https://www.itu.int/md/S24-EGITRS2-C-0007/en" TargetMode="External"/><Relationship Id="rId19" Type="http://schemas.openxmlformats.org/officeDocument/2006/relationships/hyperlink" Target="https://www.itu.int/md/S24-EGITRS2-C-0021/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EGITRS1-C-0008/en" TargetMode="External"/><Relationship Id="rId14" Type="http://schemas.openxmlformats.org/officeDocument/2006/relationships/hyperlink" Target="https://www.itu.int/md/S24-EGITRS2-C-0021/en" TargetMode="External"/><Relationship Id="rId22" Type="http://schemas.openxmlformats.org/officeDocument/2006/relationships/hyperlink" Target="https://www.itu.int/md/S23-EGITRS1-C-0008/en" TargetMode="External"/><Relationship Id="rId27" Type="http://schemas.openxmlformats.org/officeDocument/2006/relationships/hyperlink" Target="https://www.itu.int/md/S24-EGITRS2-C-0020/en" TargetMode="External"/><Relationship Id="rId30" Type="http://schemas.openxmlformats.org/officeDocument/2006/relationships/header" Target="header1.xml"/><Relationship Id="rId8" Type="http://schemas.openxmlformats.org/officeDocument/2006/relationships/hyperlink" Target="https://www.itu.int/md/S23-CL-C-01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91CF-D47D-46F0-9D5F-3A74FDB4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HILL: Items for the final report</dc:title>
  <dc:subject>Expert Group on the International Telecommunication Regulations</dc:subject>
  <dc:creator/>
  <cp:keywords>EG-ITRs, C24, Council-24</cp:keywords>
  <dc:description/>
  <cp:lastModifiedBy/>
  <cp:revision>1</cp:revision>
  <dcterms:created xsi:type="dcterms:W3CDTF">2024-07-17T08:05:00Z</dcterms:created>
  <dcterms:modified xsi:type="dcterms:W3CDTF">2024-07-17T08:05:00Z</dcterms:modified>
  <cp:category>Conference document</cp:category>
</cp:coreProperties>
</file>