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43E7" w14:paraId="60BFD2B4" w14:textId="77777777" w:rsidTr="00AD3606">
        <w:trPr>
          <w:cantSplit/>
          <w:trHeight w:val="23"/>
        </w:trPr>
        <w:tc>
          <w:tcPr>
            <w:tcW w:w="3969" w:type="dxa"/>
            <w:vMerge w:val="restart"/>
            <w:tcMar>
              <w:left w:w="0" w:type="dxa"/>
            </w:tcMar>
          </w:tcPr>
          <w:p w14:paraId="20A7D5B6" w14:textId="77777777" w:rsidR="00AD3606" w:rsidRPr="004B43E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1BE689A" w14:textId="7FBC3194" w:rsidR="00AD3606" w:rsidRPr="004B43E7" w:rsidRDefault="004B43E7" w:rsidP="00E84E4D">
            <w:pPr>
              <w:tabs>
                <w:tab w:val="left" w:pos="851"/>
              </w:tabs>
              <w:spacing w:before="0" w:line="240" w:lineRule="atLeast"/>
              <w:jc w:val="right"/>
              <w:rPr>
                <w:b/>
              </w:rPr>
            </w:pPr>
            <w:r w:rsidRPr="004B43E7">
              <w:rPr>
                <w:b/>
              </w:rPr>
              <w:t>Addendum 1 to</w:t>
            </w:r>
            <w:r w:rsidRPr="004B43E7">
              <w:rPr>
                <w:b/>
              </w:rPr>
              <w:br/>
            </w:r>
            <w:r w:rsidR="00AD3606" w:rsidRPr="004B43E7">
              <w:rPr>
                <w:b/>
              </w:rPr>
              <w:t xml:space="preserve">Document </w:t>
            </w:r>
            <w:bookmarkStart w:id="6" w:name="_Hlk174977301"/>
            <w:proofErr w:type="spellStart"/>
            <w:r w:rsidR="00A028B5" w:rsidRPr="004B43E7">
              <w:rPr>
                <w:b/>
              </w:rPr>
              <w:t>EG</w:t>
            </w:r>
            <w:proofErr w:type="spellEnd"/>
            <w:r w:rsidR="00A028B5" w:rsidRPr="004B43E7">
              <w:rPr>
                <w:b/>
              </w:rPr>
              <w:t>-</w:t>
            </w:r>
            <w:proofErr w:type="spellStart"/>
            <w:r w:rsidR="00A028B5" w:rsidRPr="004B43E7">
              <w:rPr>
                <w:b/>
              </w:rPr>
              <w:t>ITRs</w:t>
            </w:r>
            <w:proofErr w:type="spellEnd"/>
            <w:r w:rsidR="00A52C84" w:rsidRPr="004B43E7">
              <w:rPr>
                <w:b/>
              </w:rPr>
              <w:t>-</w:t>
            </w:r>
            <w:r w:rsidR="00E84E4D" w:rsidRPr="004B43E7">
              <w:rPr>
                <w:b/>
              </w:rPr>
              <w:t>3</w:t>
            </w:r>
            <w:r w:rsidR="00AD3606" w:rsidRPr="004B43E7">
              <w:rPr>
                <w:b/>
              </w:rPr>
              <w:t>/</w:t>
            </w:r>
            <w:r w:rsidR="00E84E4D" w:rsidRPr="004B43E7">
              <w:rPr>
                <w:b/>
              </w:rPr>
              <w:t>3</w:t>
            </w:r>
            <w:bookmarkEnd w:id="6"/>
            <w:r w:rsidRPr="004B43E7">
              <w:rPr>
                <w:b/>
              </w:rPr>
              <w:t>-E</w:t>
            </w:r>
          </w:p>
        </w:tc>
      </w:tr>
      <w:tr w:rsidR="00AD3606" w:rsidRPr="004B43E7" w14:paraId="39ACBECB" w14:textId="77777777" w:rsidTr="00AD3606">
        <w:trPr>
          <w:cantSplit/>
        </w:trPr>
        <w:tc>
          <w:tcPr>
            <w:tcW w:w="3969" w:type="dxa"/>
            <w:vMerge/>
          </w:tcPr>
          <w:p w14:paraId="3A033FC6" w14:textId="77777777" w:rsidR="00AD3606" w:rsidRPr="004B43E7" w:rsidRDefault="00AD3606" w:rsidP="00AD3606">
            <w:pPr>
              <w:tabs>
                <w:tab w:val="left" w:pos="851"/>
              </w:tabs>
              <w:spacing w:line="240" w:lineRule="atLeast"/>
              <w:rPr>
                <w:b/>
              </w:rPr>
            </w:pPr>
            <w:bookmarkStart w:id="7" w:name="ddate" w:colFirst="1" w:colLast="1"/>
            <w:bookmarkEnd w:id="0"/>
            <w:bookmarkEnd w:id="1"/>
          </w:p>
        </w:tc>
        <w:tc>
          <w:tcPr>
            <w:tcW w:w="5245" w:type="dxa"/>
          </w:tcPr>
          <w:p w14:paraId="29B2567D" w14:textId="77777777" w:rsidR="00AD3606" w:rsidRPr="004B43E7" w:rsidRDefault="003A5D2D" w:rsidP="007F3A09">
            <w:pPr>
              <w:tabs>
                <w:tab w:val="left" w:pos="851"/>
              </w:tabs>
              <w:spacing w:before="0"/>
              <w:jc w:val="right"/>
              <w:rPr>
                <w:b/>
              </w:rPr>
            </w:pPr>
            <w:r w:rsidRPr="004B43E7">
              <w:rPr>
                <w:b/>
              </w:rPr>
              <w:t>1</w:t>
            </w:r>
            <w:r w:rsidR="007F3A09" w:rsidRPr="004B43E7">
              <w:rPr>
                <w:b/>
              </w:rPr>
              <w:t>9 August</w:t>
            </w:r>
            <w:r w:rsidR="00E84E4D" w:rsidRPr="004B43E7">
              <w:rPr>
                <w:b/>
              </w:rPr>
              <w:t xml:space="preserve"> 2024</w:t>
            </w:r>
          </w:p>
        </w:tc>
      </w:tr>
      <w:tr w:rsidR="00AD3606" w:rsidRPr="004B43E7" w14:paraId="14F5D47F" w14:textId="77777777" w:rsidTr="00AD3606">
        <w:trPr>
          <w:cantSplit/>
          <w:trHeight w:val="23"/>
        </w:trPr>
        <w:tc>
          <w:tcPr>
            <w:tcW w:w="3969" w:type="dxa"/>
            <w:vMerge/>
          </w:tcPr>
          <w:p w14:paraId="3320533B" w14:textId="77777777" w:rsidR="00AD3606" w:rsidRPr="004B43E7" w:rsidRDefault="00AD3606" w:rsidP="00AD3606">
            <w:pPr>
              <w:tabs>
                <w:tab w:val="left" w:pos="851"/>
              </w:tabs>
              <w:spacing w:line="240" w:lineRule="atLeast"/>
              <w:rPr>
                <w:b/>
              </w:rPr>
            </w:pPr>
            <w:bookmarkStart w:id="8" w:name="dorlang" w:colFirst="1" w:colLast="1"/>
            <w:bookmarkEnd w:id="7"/>
          </w:p>
        </w:tc>
        <w:tc>
          <w:tcPr>
            <w:tcW w:w="5245" w:type="dxa"/>
          </w:tcPr>
          <w:p w14:paraId="7A25BDF8" w14:textId="77777777" w:rsidR="00AD3606" w:rsidRPr="004B43E7" w:rsidRDefault="00A028B5" w:rsidP="00AD3606">
            <w:pPr>
              <w:tabs>
                <w:tab w:val="left" w:pos="851"/>
              </w:tabs>
              <w:spacing w:before="0" w:line="240" w:lineRule="atLeast"/>
              <w:jc w:val="right"/>
              <w:rPr>
                <w:b/>
              </w:rPr>
            </w:pPr>
            <w:r w:rsidRPr="004B43E7">
              <w:rPr>
                <w:b/>
              </w:rPr>
              <w:t>English</w:t>
            </w:r>
            <w:r w:rsidR="00291CBF" w:rsidRPr="004B43E7">
              <w:rPr>
                <w:b/>
              </w:rPr>
              <w:t xml:space="preserve"> only</w:t>
            </w:r>
          </w:p>
        </w:tc>
      </w:tr>
      <w:tr w:rsidR="00472BAD" w:rsidRPr="004B43E7" w14:paraId="26BD2939" w14:textId="77777777" w:rsidTr="00AD3606">
        <w:trPr>
          <w:cantSplit/>
          <w:trHeight w:val="23"/>
        </w:trPr>
        <w:tc>
          <w:tcPr>
            <w:tcW w:w="3969" w:type="dxa"/>
          </w:tcPr>
          <w:p w14:paraId="35E5DA4A" w14:textId="77777777" w:rsidR="00472BAD" w:rsidRPr="004B43E7" w:rsidRDefault="00472BAD" w:rsidP="00AD3606">
            <w:pPr>
              <w:tabs>
                <w:tab w:val="left" w:pos="851"/>
              </w:tabs>
              <w:spacing w:line="240" w:lineRule="atLeast"/>
              <w:rPr>
                <w:b/>
              </w:rPr>
            </w:pPr>
          </w:p>
        </w:tc>
        <w:tc>
          <w:tcPr>
            <w:tcW w:w="5245" w:type="dxa"/>
          </w:tcPr>
          <w:p w14:paraId="4DF40DAB" w14:textId="77777777" w:rsidR="00472BAD" w:rsidRPr="004B43E7" w:rsidRDefault="00472BAD" w:rsidP="00AD3606">
            <w:pPr>
              <w:tabs>
                <w:tab w:val="left" w:pos="851"/>
              </w:tabs>
              <w:spacing w:before="0" w:line="240" w:lineRule="atLeast"/>
              <w:jc w:val="right"/>
              <w:rPr>
                <w:b/>
              </w:rPr>
            </w:pPr>
          </w:p>
        </w:tc>
      </w:tr>
      <w:tr w:rsidR="00AD3606" w:rsidRPr="004B43E7" w14:paraId="42C9683C" w14:textId="77777777" w:rsidTr="00AD3606">
        <w:trPr>
          <w:cantSplit/>
        </w:trPr>
        <w:tc>
          <w:tcPr>
            <w:tcW w:w="9214" w:type="dxa"/>
            <w:gridSpan w:val="2"/>
            <w:tcMar>
              <w:left w:w="0" w:type="dxa"/>
            </w:tcMar>
          </w:tcPr>
          <w:p w14:paraId="41E329DA" w14:textId="77777777" w:rsidR="00AD3606" w:rsidRPr="004B43E7" w:rsidRDefault="00244F7F" w:rsidP="00E15C3A">
            <w:pPr>
              <w:pStyle w:val="Source"/>
              <w:framePr w:hSpace="0" w:wrap="auto" w:vAnchor="margin" w:hAnchor="text" w:yAlign="inline"/>
            </w:pPr>
            <w:bookmarkStart w:id="9" w:name="dsource" w:colFirst="0" w:colLast="0"/>
            <w:bookmarkEnd w:id="8"/>
            <w:r w:rsidRPr="004B43E7">
              <w:t>Contribution</w:t>
            </w:r>
            <w:r w:rsidR="00AD3606" w:rsidRPr="004B43E7">
              <w:t xml:space="preserve"> </w:t>
            </w:r>
            <w:r w:rsidR="00864283" w:rsidRPr="004B43E7">
              <w:t xml:space="preserve">from </w:t>
            </w:r>
            <w:r w:rsidR="00E15C3A" w:rsidRPr="004B43E7">
              <w:t>Hill</w:t>
            </w:r>
          </w:p>
        </w:tc>
      </w:tr>
      <w:tr w:rsidR="00AD3606" w:rsidRPr="004B43E7" w14:paraId="6C5E8590" w14:textId="77777777" w:rsidTr="00AD3606">
        <w:trPr>
          <w:cantSplit/>
        </w:trPr>
        <w:tc>
          <w:tcPr>
            <w:tcW w:w="9214" w:type="dxa"/>
            <w:gridSpan w:val="2"/>
            <w:tcMar>
              <w:left w:w="0" w:type="dxa"/>
            </w:tcMar>
          </w:tcPr>
          <w:p w14:paraId="43B0B00C" w14:textId="77777777" w:rsidR="00AD3606" w:rsidRPr="004B43E7" w:rsidRDefault="007F3A09" w:rsidP="0082723D">
            <w:pPr>
              <w:pStyle w:val="Subtitle"/>
              <w:framePr w:hSpace="0" w:wrap="auto" w:hAnchor="text" w:xAlign="left" w:yAlign="inline"/>
            </w:pPr>
            <w:bookmarkStart w:id="10" w:name="dtitle1" w:colFirst="0" w:colLast="0"/>
            <w:bookmarkEnd w:id="9"/>
            <w:r w:rsidRPr="004B43E7">
              <w:t>Overlaps ITU-WTO</w:t>
            </w:r>
          </w:p>
        </w:tc>
      </w:tr>
      <w:tr w:rsidR="00AD3606" w:rsidRPr="004B43E7" w14:paraId="21E08E75" w14:textId="77777777" w:rsidTr="00AD3606">
        <w:trPr>
          <w:cantSplit/>
        </w:trPr>
        <w:tc>
          <w:tcPr>
            <w:tcW w:w="9214" w:type="dxa"/>
            <w:gridSpan w:val="2"/>
            <w:tcBorders>
              <w:top w:val="single" w:sz="4" w:space="0" w:color="auto"/>
              <w:bottom w:val="single" w:sz="4" w:space="0" w:color="auto"/>
            </w:tcBorders>
            <w:tcMar>
              <w:left w:w="0" w:type="dxa"/>
            </w:tcMar>
          </w:tcPr>
          <w:p w14:paraId="0136D0EA" w14:textId="77777777" w:rsidR="004D648B" w:rsidRPr="004B43E7" w:rsidRDefault="004D648B" w:rsidP="00FD1988">
            <w:pPr>
              <w:pStyle w:val="Headingb"/>
            </w:pPr>
            <w:r w:rsidRPr="004B43E7">
              <w:t>Purpose</w:t>
            </w:r>
          </w:p>
          <w:p w14:paraId="2EF94E31" w14:textId="77777777" w:rsidR="004D648B" w:rsidRPr="004B43E7" w:rsidRDefault="0082723D" w:rsidP="004D648B">
            <w:pPr>
              <w:spacing w:before="160"/>
              <w:rPr>
                <w:szCs w:val="24"/>
              </w:rPr>
            </w:pPr>
            <w:r w:rsidRPr="004B43E7">
              <w:rPr>
                <w:szCs w:val="24"/>
              </w:rPr>
              <w:t xml:space="preserve">To </w:t>
            </w:r>
            <w:r w:rsidR="007F3A09" w:rsidRPr="004B43E7">
              <w:rPr>
                <w:szCs w:val="24"/>
              </w:rPr>
              <w:t>present overlaps between ITU and WTO work on e-commerce</w:t>
            </w:r>
            <w:r w:rsidRPr="004B43E7">
              <w:rPr>
                <w:szCs w:val="24"/>
              </w:rPr>
              <w:t>.</w:t>
            </w:r>
            <w:r w:rsidR="007B08D6" w:rsidRPr="004B43E7">
              <w:rPr>
                <w:szCs w:val="24"/>
              </w:rPr>
              <w:t xml:space="preserve"> </w:t>
            </w:r>
          </w:p>
          <w:p w14:paraId="2D397596" w14:textId="77777777" w:rsidR="004D648B" w:rsidRPr="004B43E7" w:rsidRDefault="004D648B" w:rsidP="00FD1988">
            <w:pPr>
              <w:pStyle w:val="Headingb"/>
            </w:pPr>
            <w:r w:rsidRPr="004B43E7">
              <w:t>Action required</w:t>
            </w:r>
          </w:p>
          <w:p w14:paraId="1060BAEC" w14:textId="77777777" w:rsidR="003A5D2D" w:rsidRPr="004B43E7" w:rsidRDefault="003A5D2D" w:rsidP="003A5D2D">
            <w:pPr>
              <w:spacing w:before="160"/>
            </w:pPr>
            <w:r w:rsidRPr="004B43E7">
              <w:t xml:space="preserve">The Expert Group on the International Telecommunication Regulations is invited to </w:t>
            </w:r>
            <w:r w:rsidRPr="004B43E7">
              <w:rPr>
                <w:b/>
              </w:rPr>
              <w:t>consider</w:t>
            </w:r>
            <w:r w:rsidRPr="004B43E7">
              <w:t xml:space="preserve"> this document.</w:t>
            </w:r>
          </w:p>
          <w:p w14:paraId="7CFE3979" w14:textId="77777777" w:rsidR="004B43E7" w:rsidRPr="004B43E7" w:rsidRDefault="004B43E7">
            <w:r w:rsidRPr="004B43E7">
              <w:t>_______________</w:t>
            </w:r>
          </w:p>
          <w:p w14:paraId="69EFAD23" w14:textId="71C6F259" w:rsidR="00AD3606" w:rsidRPr="004B43E7" w:rsidRDefault="004D648B" w:rsidP="00FD1988">
            <w:pPr>
              <w:pStyle w:val="Headingb"/>
            </w:pPr>
            <w:r w:rsidRPr="004B43E7">
              <w:t>Reference</w:t>
            </w:r>
            <w:r w:rsidR="003A5D2D" w:rsidRPr="004B43E7">
              <w:t>s</w:t>
            </w:r>
          </w:p>
          <w:p w14:paraId="2AD1FF28" w14:textId="77777777" w:rsidR="001648F9" w:rsidRPr="004B43E7" w:rsidRDefault="0082723D" w:rsidP="001648F9">
            <w:pPr>
              <w:spacing w:after="160"/>
              <w:rPr>
                <w:rFonts w:asciiTheme="minorHAnsi" w:hAnsiTheme="minorHAnsi" w:cstheme="minorHAnsi"/>
                <w:i/>
                <w:iCs/>
                <w:sz w:val="22"/>
                <w:szCs w:val="22"/>
              </w:rPr>
            </w:pPr>
            <w:r w:rsidRPr="004B43E7">
              <w:rPr>
                <w:rFonts w:asciiTheme="minorHAnsi" w:hAnsiTheme="minorHAnsi" w:cstheme="minorHAnsi"/>
                <w:i/>
                <w:iCs/>
                <w:sz w:val="22"/>
                <w:szCs w:val="22"/>
              </w:rPr>
              <w:t xml:space="preserve">Council </w:t>
            </w:r>
            <w:hyperlink r:id="rId8" w:history="1">
              <w:r w:rsidRPr="004B43E7">
                <w:rPr>
                  <w:rStyle w:val="Hyperlink"/>
                  <w:rFonts w:asciiTheme="minorHAnsi" w:hAnsiTheme="minorHAnsi" w:cstheme="minorHAnsi"/>
                  <w:i/>
                  <w:iCs/>
                  <w:sz w:val="22"/>
                  <w:szCs w:val="22"/>
                </w:rPr>
                <w:t>Resolution 1379</w:t>
              </w:r>
            </w:hyperlink>
            <w:r w:rsidRPr="004B43E7">
              <w:rPr>
                <w:rFonts w:asciiTheme="minorHAnsi" w:hAnsiTheme="minorHAnsi" w:cstheme="minorHAnsi"/>
                <w:i/>
                <w:iCs/>
                <w:sz w:val="22"/>
                <w:szCs w:val="22"/>
              </w:rPr>
              <w:t xml:space="preserve"> (Terms of Reference)</w:t>
            </w:r>
            <w:r w:rsidR="001648F9" w:rsidRPr="004B43E7">
              <w:rPr>
                <w:rFonts w:asciiTheme="minorHAnsi" w:hAnsiTheme="minorHAnsi" w:cstheme="minorHAnsi"/>
                <w:i/>
                <w:iCs/>
                <w:sz w:val="22"/>
                <w:szCs w:val="22"/>
              </w:rPr>
              <w:t xml:space="preserve"> </w:t>
            </w:r>
          </w:p>
          <w:p w14:paraId="55365ED2" w14:textId="77777777" w:rsidR="00112DDE" w:rsidRPr="004B43E7" w:rsidRDefault="007A37EC" w:rsidP="00D14787">
            <w:pPr>
              <w:spacing w:after="160"/>
            </w:pPr>
            <w:hyperlink r:id="rId9" w:history="1">
              <w:proofErr w:type="spellStart"/>
              <w:r w:rsidR="009259A8" w:rsidRPr="004B43E7">
                <w:rPr>
                  <w:rStyle w:val="Hyperlink"/>
                  <w:i/>
                  <w:iCs/>
                  <w:sz w:val="22"/>
                  <w:szCs w:val="22"/>
                </w:rPr>
                <w:t>EG</w:t>
              </w:r>
              <w:proofErr w:type="spellEnd"/>
              <w:r w:rsidR="009259A8" w:rsidRPr="004B43E7">
                <w:rPr>
                  <w:rStyle w:val="Hyperlink"/>
                  <w:i/>
                  <w:iCs/>
                  <w:sz w:val="22"/>
                  <w:szCs w:val="22"/>
                </w:rPr>
                <w:t>-</w:t>
              </w:r>
              <w:proofErr w:type="spellStart"/>
              <w:r w:rsidR="009259A8" w:rsidRPr="004B43E7">
                <w:rPr>
                  <w:rStyle w:val="Hyperlink"/>
                  <w:i/>
                  <w:iCs/>
                  <w:sz w:val="22"/>
                  <w:szCs w:val="22"/>
                </w:rPr>
                <w:t>ITRs</w:t>
              </w:r>
              <w:proofErr w:type="spellEnd"/>
              <w:r w:rsidR="009259A8" w:rsidRPr="004B43E7">
                <w:rPr>
                  <w:rStyle w:val="Hyperlink"/>
                  <w:i/>
                  <w:iCs/>
                  <w:sz w:val="22"/>
                  <w:szCs w:val="22"/>
                </w:rPr>
                <w:t>-1/2</w:t>
              </w:r>
            </w:hyperlink>
            <w:r w:rsidR="009259A8" w:rsidRPr="004B43E7">
              <w:rPr>
                <w:i/>
                <w:iCs/>
                <w:sz w:val="22"/>
                <w:szCs w:val="22"/>
              </w:rPr>
              <w:t>;</w:t>
            </w:r>
            <w:hyperlink r:id="rId10" w:history="1">
              <w:r w:rsidR="00812D85" w:rsidRPr="004B43E7">
                <w:rPr>
                  <w:rStyle w:val="Hyperlink"/>
                  <w:rFonts w:asciiTheme="minorHAnsi" w:hAnsiTheme="minorHAnsi" w:cstheme="minorHAnsi"/>
                  <w:i/>
                  <w:iCs/>
                  <w:sz w:val="22"/>
                  <w:szCs w:val="22"/>
                </w:rPr>
                <w:t xml:space="preserve"> </w:t>
              </w:r>
              <w:proofErr w:type="spellStart"/>
              <w:r w:rsidR="00812D85" w:rsidRPr="004B43E7">
                <w:rPr>
                  <w:rStyle w:val="Hyperlink"/>
                  <w:rFonts w:asciiTheme="minorHAnsi" w:hAnsiTheme="minorHAnsi" w:cstheme="minorHAnsi"/>
                  <w:i/>
                  <w:iCs/>
                  <w:sz w:val="22"/>
                  <w:szCs w:val="22"/>
                </w:rPr>
                <w:t>EG</w:t>
              </w:r>
              <w:proofErr w:type="spellEnd"/>
              <w:r w:rsidR="00812D85" w:rsidRPr="004B43E7">
                <w:rPr>
                  <w:rStyle w:val="Hyperlink"/>
                  <w:rFonts w:asciiTheme="minorHAnsi" w:hAnsiTheme="minorHAnsi" w:cstheme="minorHAnsi"/>
                  <w:i/>
                  <w:iCs/>
                  <w:sz w:val="22"/>
                  <w:szCs w:val="22"/>
                </w:rPr>
                <w:t>-</w:t>
              </w:r>
              <w:proofErr w:type="spellStart"/>
              <w:r w:rsidR="00812D85" w:rsidRPr="004B43E7">
                <w:rPr>
                  <w:rStyle w:val="Hyperlink"/>
                  <w:rFonts w:asciiTheme="minorHAnsi" w:hAnsiTheme="minorHAnsi" w:cstheme="minorHAnsi"/>
                  <w:i/>
                  <w:iCs/>
                  <w:sz w:val="22"/>
                  <w:szCs w:val="22"/>
                </w:rPr>
                <w:t>ITRs</w:t>
              </w:r>
              <w:proofErr w:type="spellEnd"/>
              <w:r w:rsidR="00812D85" w:rsidRPr="004B43E7">
                <w:rPr>
                  <w:rStyle w:val="Hyperlink"/>
                  <w:rFonts w:asciiTheme="minorHAnsi" w:hAnsiTheme="minorHAnsi" w:cstheme="minorHAnsi"/>
                  <w:i/>
                  <w:iCs/>
                  <w:sz w:val="22"/>
                  <w:szCs w:val="22"/>
                </w:rPr>
                <w:t>-2/4</w:t>
              </w:r>
            </w:hyperlink>
            <w:r w:rsidR="00761F81" w:rsidRPr="004B43E7">
              <w:rPr>
                <w:i/>
                <w:iCs/>
                <w:sz w:val="22"/>
                <w:szCs w:val="22"/>
              </w:rPr>
              <w:t xml:space="preserve">; </w:t>
            </w:r>
            <w:hyperlink r:id="rId11" w:history="1">
              <w:proofErr w:type="spellStart"/>
              <w:r w:rsidR="00761F81" w:rsidRPr="004B43E7">
                <w:rPr>
                  <w:rStyle w:val="Hyperlink"/>
                  <w:i/>
                  <w:iCs/>
                  <w:sz w:val="22"/>
                  <w:szCs w:val="22"/>
                </w:rPr>
                <w:t>EG</w:t>
              </w:r>
              <w:proofErr w:type="spellEnd"/>
              <w:r w:rsidR="00761F81" w:rsidRPr="004B43E7">
                <w:rPr>
                  <w:rStyle w:val="Hyperlink"/>
                  <w:i/>
                  <w:iCs/>
                  <w:sz w:val="22"/>
                  <w:szCs w:val="22"/>
                </w:rPr>
                <w:t>-</w:t>
              </w:r>
              <w:proofErr w:type="spellStart"/>
              <w:r w:rsidR="00761F81" w:rsidRPr="004B43E7">
                <w:rPr>
                  <w:rStyle w:val="Hyperlink"/>
                  <w:i/>
                  <w:iCs/>
                  <w:sz w:val="22"/>
                  <w:szCs w:val="22"/>
                </w:rPr>
                <w:t>ITRs</w:t>
              </w:r>
              <w:proofErr w:type="spellEnd"/>
              <w:r w:rsidR="00761F81" w:rsidRPr="004B43E7">
                <w:rPr>
                  <w:rStyle w:val="Hyperlink"/>
                  <w:i/>
                  <w:iCs/>
                  <w:sz w:val="22"/>
                  <w:szCs w:val="22"/>
                </w:rPr>
                <w:t>-2/21</w:t>
              </w:r>
            </w:hyperlink>
          </w:p>
        </w:tc>
      </w:tr>
    </w:tbl>
    <w:p w14:paraId="3EC5F51F" w14:textId="77777777" w:rsidR="00E227F3" w:rsidRPr="004B43E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B597F34" w14:textId="77777777" w:rsidR="0090147A" w:rsidRPr="004B43E7"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B43E7">
        <w:br w:type="page"/>
      </w:r>
    </w:p>
    <w:bookmarkEnd w:id="5"/>
    <w:bookmarkEnd w:id="11"/>
    <w:p w14:paraId="4371B8AB" w14:textId="57C153C4" w:rsidR="003A5D2D" w:rsidRPr="004B43E7" w:rsidRDefault="003A5D2D" w:rsidP="007A37EC">
      <w:pPr>
        <w:pStyle w:val="Headingb"/>
      </w:pPr>
      <w:r w:rsidRPr="004B43E7">
        <w:lastRenderedPageBreak/>
        <w:t>Summary</w:t>
      </w:r>
      <w:r w:rsidRPr="004B43E7">
        <w:rPr>
          <w:i/>
        </w:rPr>
        <w:t xml:space="preserve"> </w:t>
      </w:r>
    </w:p>
    <w:p w14:paraId="7CC65C99" w14:textId="77777777" w:rsidR="003A5D2D" w:rsidRPr="004B43E7" w:rsidRDefault="007F3A09" w:rsidP="00FD1988">
      <w:pPr>
        <w:rPr>
          <w:bCs/>
          <w:szCs w:val="24"/>
        </w:rPr>
      </w:pPr>
      <w:r w:rsidRPr="004B43E7">
        <w:t xml:space="preserve">This Addendum presents our analysis of the overlaps between work in ITU and work in the WTO Joint Statement Initiative on </w:t>
      </w:r>
      <w:r w:rsidR="004B608F" w:rsidRPr="004B43E7">
        <w:t>E</w:t>
      </w:r>
      <w:r w:rsidRPr="004B43E7">
        <w:t>-</w:t>
      </w:r>
      <w:r w:rsidR="004B608F" w:rsidRPr="004B43E7">
        <w:t>C</w:t>
      </w:r>
      <w:r w:rsidRPr="004B43E7">
        <w:t>ommerce</w:t>
      </w:r>
      <w:r w:rsidR="003A5D2D" w:rsidRPr="004B43E7">
        <w:t>.</w:t>
      </w:r>
    </w:p>
    <w:p w14:paraId="60DB49AC" w14:textId="77777777" w:rsidR="003A5D2D" w:rsidRPr="004B43E7" w:rsidRDefault="003A5D2D" w:rsidP="004B43E7">
      <w:pPr>
        <w:pStyle w:val="Headingb"/>
      </w:pPr>
      <w:r w:rsidRPr="004B43E7">
        <w:t>Proposal</w:t>
      </w:r>
    </w:p>
    <w:p w14:paraId="57A6417F" w14:textId="3FD6B5B3" w:rsidR="0082723D" w:rsidRPr="004B43E7" w:rsidRDefault="009259A8" w:rsidP="00FD1988">
      <w:r w:rsidRPr="004B43E7">
        <w:t>1</w:t>
      </w:r>
      <w:r w:rsidR="004B43E7" w:rsidRPr="004B43E7">
        <w:tab/>
      </w:r>
      <w:r w:rsidR="007F3A09" w:rsidRPr="004B43E7">
        <w:t xml:space="preserve">On 26 July 2024, the Co-Convenors of the WTO the Joint Statement Initiative on Electronic Commerce </w:t>
      </w:r>
      <w:r w:rsidR="005C4732" w:rsidRPr="004B43E7">
        <w:t>(</w:t>
      </w:r>
      <w:proofErr w:type="spellStart"/>
      <w:r w:rsidR="005C4732" w:rsidRPr="004B43E7">
        <w:t>JSI</w:t>
      </w:r>
      <w:proofErr w:type="spellEnd"/>
      <w:r w:rsidR="005C4732" w:rsidRPr="004B43E7">
        <w:t xml:space="preserve"> E-Commerce) </w:t>
      </w:r>
      <w:r w:rsidR="007F3A09" w:rsidRPr="004B43E7">
        <w:t xml:space="preserve">published stabilized text of an Agreement on Electronic Commerce, document </w:t>
      </w:r>
      <w:hyperlink r:id="rId12" w:history="1">
        <w:r w:rsidR="007F3A09" w:rsidRPr="004B43E7">
          <w:rPr>
            <w:rStyle w:val="Hyperlink"/>
          </w:rPr>
          <w:t>INF/ECOM/87</w:t>
        </w:r>
      </w:hyperlink>
      <w:r w:rsidR="007F3A09" w:rsidRPr="004B43E7">
        <w:t>.</w:t>
      </w:r>
    </w:p>
    <w:p w14:paraId="202B8233" w14:textId="560B1C8E" w:rsidR="007F3A09" w:rsidRPr="004B43E7" w:rsidRDefault="007F3A09" w:rsidP="00FD1988">
      <w:r w:rsidRPr="004B43E7">
        <w:t>2</w:t>
      </w:r>
      <w:r w:rsidR="004B43E7" w:rsidRPr="004B43E7">
        <w:tab/>
      </w:r>
      <w:r w:rsidRPr="004B43E7">
        <w:t>The document states: “Taking note of the evolving nature of cross-border electronic commerce and digital technology, participants recognise that some issues of importance to digital trade have not been addressed in this text. Participants will discuss the inclusion of these issues in future negotiations. Participants reserve the right in any future negotiations to propose amendments to the attached Agreement including with respect to scope, exceptions and dispute settlement.”</w:t>
      </w:r>
    </w:p>
    <w:p w14:paraId="402EA8EE" w14:textId="5EB57EA2" w:rsidR="004B608F" w:rsidRPr="004B43E7" w:rsidRDefault="005C4732" w:rsidP="00FD1988">
      <w:r w:rsidRPr="004B43E7">
        <w:t>3</w:t>
      </w:r>
      <w:r w:rsidR="004B43E7" w:rsidRPr="004B43E7">
        <w:tab/>
      </w:r>
      <w:r w:rsidRPr="004B43E7">
        <w:t xml:space="preserve">Thus it appears that the “stabilized text” may be revisited, in particular to accommodate the comments of countries that participate in the </w:t>
      </w:r>
      <w:proofErr w:type="spellStart"/>
      <w:r w:rsidRPr="004B43E7">
        <w:t>JSI</w:t>
      </w:r>
      <w:proofErr w:type="spellEnd"/>
      <w:r w:rsidRPr="004B43E7">
        <w:t xml:space="preserve"> E-Commerce but apparently did not approve the “stabilized text”, namely Brazil, Colombia, El Salvador, Guatemala, Indonesia, Paraguay, Separate Customs Territory of Taiwan, Penghu, Kinmen and Matsu, Türkiye and United States (see the footnote at the end of the first page of the cited document).</w:t>
      </w:r>
    </w:p>
    <w:p w14:paraId="60197F33" w14:textId="2224A1CF" w:rsidR="005C4732" w:rsidRPr="004B43E7" w:rsidRDefault="005C4732" w:rsidP="00FD1988">
      <w:r w:rsidRPr="004B43E7">
        <w:t>See also:</w:t>
      </w:r>
      <w:r w:rsidR="004B43E7" w:rsidRPr="004B43E7">
        <w:t xml:space="preserve"> </w:t>
      </w:r>
      <w:hyperlink r:id="rId13" w:history="1">
        <w:r w:rsidRPr="004B43E7">
          <w:rPr>
            <w:rStyle w:val="Hyperlink"/>
          </w:rPr>
          <w:t>https://johnmenadue.com/australia-developing-countries-and-the-us-clash-over-wto-electronic-commerce-rules/</w:t>
        </w:r>
      </w:hyperlink>
      <w:r w:rsidR="007A37EC" w:rsidRPr="004B43E7">
        <w:t>.</w:t>
      </w:r>
      <w:r w:rsidRPr="004B43E7">
        <w:t xml:space="preserve"> </w:t>
      </w:r>
    </w:p>
    <w:p w14:paraId="4D31BBAA" w14:textId="5249A689" w:rsidR="004B608F" w:rsidRPr="004B43E7" w:rsidRDefault="005C4732" w:rsidP="00FD1988">
      <w:r w:rsidRPr="004B43E7">
        <w:t>4</w:t>
      </w:r>
      <w:r w:rsidR="004B43E7" w:rsidRPr="004B43E7">
        <w:tab/>
      </w:r>
      <w:r w:rsidRPr="004B43E7">
        <w:t xml:space="preserve">In our view, there are the following overlaps between work in ITU and work in the WTO </w:t>
      </w:r>
      <w:proofErr w:type="spellStart"/>
      <w:r w:rsidRPr="004B43E7">
        <w:t>JSI</w:t>
      </w:r>
      <w:proofErr w:type="spellEnd"/>
      <w:r w:rsidRPr="004B43E7">
        <w:t xml:space="preserve"> E-Commerce.</w:t>
      </w:r>
      <w:r w:rsidR="004B608F" w:rsidRPr="004B43E7">
        <w:t xml:space="preserve"> </w:t>
      </w:r>
    </w:p>
    <w:p w14:paraId="07F9576E" w14:textId="7963A741" w:rsidR="005C4732" w:rsidRPr="004B43E7" w:rsidRDefault="004B608F" w:rsidP="00FD1988">
      <w:r w:rsidRPr="004B43E7">
        <w:t>5</w:t>
      </w:r>
      <w:r w:rsidR="004B43E7" w:rsidRPr="004B43E7">
        <w:tab/>
      </w:r>
      <w:r w:rsidRPr="004B43E7">
        <w:t>It may be advisable to revisit those overlaps in the context of future discussions in WTO regarding possible revisions of the “stabilized text”.</w:t>
      </w:r>
    </w:p>
    <w:p w14:paraId="039BD54E" w14:textId="77777777" w:rsidR="005C4732" w:rsidRPr="004B43E7" w:rsidRDefault="005C4732" w:rsidP="004B43E7">
      <w:pPr>
        <w:pStyle w:val="Headingb"/>
      </w:pPr>
      <w:r w:rsidRPr="004B43E7">
        <w:t xml:space="preserve">Allocation of frequencies </w:t>
      </w:r>
    </w:p>
    <w:p w14:paraId="0C52C99C" w14:textId="76B2E1EC" w:rsidR="005C4732" w:rsidRPr="004B43E7" w:rsidRDefault="005C4732" w:rsidP="00FD1988">
      <w:r w:rsidRPr="004B43E7">
        <w:t>6</w:t>
      </w:r>
      <w:r w:rsidR="004B43E7" w:rsidRPr="004B43E7">
        <w:tab/>
      </w:r>
      <w:r w:rsidRPr="004B43E7">
        <w:t xml:space="preserve">Article 21.6 of the </w:t>
      </w:r>
      <w:proofErr w:type="spellStart"/>
      <w:r w:rsidRPr="004B43E7">
        <w:t>JSI</w:t>
      </w:r>
      <w:proofErr w:type="spellEnd"/>
      <w:r w:rsidRPr="004B43E7">
        <w:t xml:space="preserve"> E-Commerce Agreement contains specific provisions on allocation of frequencies. </w:t>
      </w:r>
    </w:p>
    <w:p w14:paraId="5F0D28F5" w14:textId="0D33B53F" w:rsidR="005C4732" w:rsidRPr="004B43E7" w:rsidRDefault="005C4732" w:rsidP="00FD1988">
      <w:r w:rsidRPr="004B43E7">
        <w:t>7</w:t>
      </w:r>
      <w:r w:rsidR="004B43E7" w:rsidRPr="004B43E7">
        <w:tab/>
      </w:r>
      <w:r w:rsidRPr="004B43E7">
        <w:t>Yet this is one of the core mandates of the ITU, and there are numerous ITU instruments and even treaty provisions for frequencies</w:t>
      </w:r>
      <w:r w:rsidRPr="004B43E7">
        <w:rPr>
          <w:rStyle w:val="FootnoteReference"/>
          <w:szCs w:val="24"/>
        </w:rPr>
        <w:footnoteReference w:id="1"/>
      </w:r>
      <w:r w:rsidRPr="004B43E7">
        <w:t>.</w:t>
      </w:r>
    </w:p>
    <w:p w14:paraId="16E91D31" w14:textId="2C67F12C" w:rsidR="005C4732" w:rsidRPr="004B43E7" w:rsidRDefault="005C4732" w:rsidP="00FD1988">
      <w:r w:rsidRPr="004B43E7">
        <w:t>8</w:t>
      </w:r>
      <w:r w:rsidR="004B43E7" w:rsidRPr="004B43E7">
        <w:tab/>
      </w:r>
      <w:r w:rsidRPr="004B43E7">
        <w:t xml:space="preserve">Further, the e-commerce </w:t>
      </w:r>
      <w:proofErr w:type="spellStart"/>
      <w:r w:rsidRPr="004B43E7">
        <w:t>JSI</w:t>
      </w:r>
      <w:proofErr w:type="spellEnd"/>
      <w:r w:rsidRPr="004B43E7">
        <w:t xml:space="preserve"> provisions on the use of frequencies impose certain restrictions on domestic measures; such restrictions have not been agreed in ITU. If such restrictions are felt to be useful and necessary, then they should be negotiated and agreed in the ITU, which is the agency with expertise on frequency matters.</w:t>
      </w:r>
    </w:p>
    <w:p w14:paraId="0811A0A5" w14:textId="77777777" w:rsidR="005C4732" w:rsidRPr="004B43E7" w:rsidRDefault="005C4732" w:rsidP="004B43E7">
      <w:pPr>
        <w:pStyle w:val="Headingb"/>
      </w:pPr>
      <w:r w:rsidRPr="004B43E7">
        <w:t xml:space="preserve">Access to infrastructure and interconnection </w:t>
      </w:r>
    </w:p>
    <w:p w14:paraId="274C8421" w14:textId="2713DDC6" w:rsidR="005C4732" w:rsidRPr="004B43E7" w:rsidRDefault="005C4732" w:rsidP="00FD1988">
      <w:r w:rsidRPr="004B43E7">
        <w:t>9</w:t>
      </w:r>
      <w:r w:rsidR="004B43E7" w:rsidRPr="004B43E7">
        <w:tab/>
      </w:r>
      <w:r w:rsidRPr="004B43E7">
        <w:t xml:space="preserve">Article 21.7 of the of the </w:t>
      </w:r>
      <w:proofErr w:type="spellStart"/>
      <w:r w:rsidRPr="004B43E7">
        <w:t>JSI</w:t>
      </w:r>
      <w:proofErr w:type="spellEnd"/>
      <w:r w:rsidRPr="004B43E7">
        <w:t xml:space="preserve"> E-Commerce Agreement contains specific provisions on access to infrastructure and interconnection.</w:t>
      </w:r>
    </w:p>
    <w:p w14:paraId="3D75A394" w14:textId="49265ABA" w:rsidR="005C4732" w:rsidRPr="004B43E7" w:rsidRDefault="005C4732" w:rsidP="00FD1988">
      <w:r w:rsidRPr="004B43E7">
        <w:lastRenderedPageBreak/>
        <w:t>10</w:t>
      </w:r>
      <w:r w:rsidR="004B43E7" w:rsidRPr="004B43E7">
        <w:tab/>
      </w:r>
      <w:r w:rsidRPr="004B43E7">
        <w:t>ITU publishes best practices and capacity building for conditions for the use of infrastructure by competitors</w:t>
      </w:r>
      <w:r w:rsidRPr="004B43E7">
        <w:rPr>
          <w:rStyle w:val="FootnoteReference"/>
          <w:szCs w:val="24"/>
        </w:rPr>
        <w:footnoteReference w:id="2"/>
      </w:r>
      <w:r w:rsidRPr="004B43E7">
        <w:t xml:space="preserve"> and for interconnection</w:t>
      </w:r>
      <w:r w:rsidRPr="004B43E7">
        <w:rPr>
          <w:rStyle w:val="FootnoteReference"/>
          <w:szCs w:val="24"/>
        </w:rPr>
        <w:footnoteReference w:id="3"/>
      </w:r>
      <w:r w:rsidRPr="004B43E7">
        <w:t>.</w:t>
      </w:r>
    </w:p>
    <w:p w14:paraId="65114A71" w14:textId="5DAE9A8F" w:rsidR="005C4732" w:rsidRPr="004B43E7" w:rsidRDefault="005C4732" w:rsidP="00FD1988">
      <w:r w:rsidRPr="004B43E7">
        <w:t>11</w:t>
      </w:r>
      <w:r w:rsidR="004B43E7" w:rsidRPr="004B43E7">
        <w:tab/>
      </w:r>
      <w:r w:rsidRPr="004B43E7">
        <w:t>The relevant ITU provisions are not binding. Since there is no agreement in ITU on making such provisions binding, the TPP provisions contradict what has been agreed in ITU. If binding provisions are felt to be useful and necessary, then they should be negotiated and agreed in the ITU, which is the agency with expertise on such matters.</w:t>
      </w:r>
    </w:p>
    <w:p w14:paraId="6361BD8C" w14:textId="77777777" w:rsidR="005C4732" w:rsidRPr="004B43E7" w:rsidRDefault="005C4732" w:rsidP="004B43E7">
      <w:pPr>
        <w:pStyle w:val="Headingb"/>
      </w:pPr>
      <w:r w:rsidRPr="004B43E7">
        <w:t>Cybersecurity</w:t>
      </w:r>
    </w:p>
    <w:p w14:paraId="37B17E4C" w14:textId="43A0D6C9" w:rsidR="005C4732" w:rsidRPr="004B43E7" w:rsidRDefault="005C4732" w:rsidP="00FD1988">
      <w:r w:rsidRPr="004B43E7">
        <w:t>12</w:t>
      </w:r>
      <w:r w:rsidR="004B43E7" w:rsidRPr="004B43E7">
        <w:tab/>
      </w:r>
      <w:r w:rsidRPr="004B43E7">
        <w:t xml:space="preserve">Article 17 of the of the </w:t>
      </w:r>
      <w:proofErr w:type="spellStart"/>
      <w:r w:rsidRPr="004B43E7">
        <w:t>JSI</w:t>
      </w:r>
      <w:proofErr w:type="spellEnd"/>
      <w:r w:rsidRPr="004B43E7">
        <w:t xml:space="preserve"> E-Commerce Agreement calls for cooperation regarding cybersecurity. </w:t>
      </w:r>
    </w:p>
    <w:p w14:paraId="2F470CAA" w14:textId="6358C97A" w:rsidR="005C4732" w:rsidRPr="004B43E7" w:rsidRDefault="005C4732" w:rsidP="00FD1988">
      <w:r w:rsidRPr="004B43E7">
        <w:t>13</w:t>
      </w:r>
      <w:r w:rsidR="004B43E7" w:rsidRPr="004B43E7">
        <w:tab/>
      </w:r>
      <w:r w:rsidRPr="004B43E7">
        <w:t>There are numerous ITU Recommendations on security</w:t>
      </w:r>
      <w:r w:rsidRPr="004B43E7">
        <w:rPr>
          <w:rStyle w:val="FootnoteReference"/>
          <w:szCs w:val="24"/>
        </w:rPr>
        <w:footnoteReference w:id="4"/>
      </w:r>
      <w:r w:rsidRPr="004B43E7">
        <w:t xml:space="preserve"> and cybersecurity</w:t>
      </w:r>
      <w:r w:rsidRPr="004B43E7">
        <w:rPr>
          <w:rStyle w:val="FootnoteReference"/>
          <w:szCs w:val="24"/>
        </w:rPr>
        <w:footnoteReference w:id="5"/>
      </w:r>
      <w:r w:rsidRPr="004B43E7">
        <w:t xml:space="preserve">, and </w:t>
      </w:r>
      <w:r w:rsidR="00FD1988" w:rsidRPr="004B43E7">
        <w:t>Article</w:t>
      </w:r>
      <w:r w:rsidR="00FD1988">
        <w:t> </w:t>
      </w:r>
      <w:r w:rsidRPr="004B43E7">
        <w:t xml:space="preserve">6 of the 2012 International Telecommunication Regulations, a treaty, provides that: “Member States shall individually and collectively </w:t>
      </w:r>
      <w:proofErr w:type="spellStart"/>
      <w:r w:rsidRPr="004B43E7">
        <w:t>endeavor</w:t>
      </w:r>
      <w:proofErr w:type="spellEnd"/>
      <w:r w:rsidRPr="004B43E7">
        <w:t xml:space="preserve"> to ensure that the security and robustness of international telecommunication networks in order to achieve effective use thereof and avoidance of technical harm thereto, as well as the harmonious development of international telecommunication services offered to the public.”</w:t>
      </w:r>
    </w:p>
    <w:p w14:paraId="53BDB48B" w14:textId="40E6A2CB" w:rsidR="005C4732" w:rsidRPr="004B43E7" w:rsidRDefault="005C4732" w:rsidP="00FD1988">
      <w:r w:rsidRPr="004B43E7">
        <w:t>14</w:t>
      </w:r>
      <w:r w:rsidR="004B43E7" w:rsidRPr="004B43E7">
        <w:tab/>
      </w:r>
      <w:r w:rsidRPr="004B43E7">
        <w:t xml:space="preserve">The e-commerce </w:t>
      </w:r>
      <w:proofErr w:type="spellStart"/>
      <w:r w:rsidRPr="004B43E7">
        <w:t>JSI</w:t>
      </w:r>
      <w:proofErr w:type="spellEnd"/>
      <w:r w:rsidRPr="004B43E7">
        <w:t xml:space="preserve"> provision is more specific than the ITU provision. </w:t>
      </w:r>
      <w:r w:rsidR="004B43E7" w:rsidRPr="004B43E7">
        <w:t>Thus,</w:t>
      </w:r>
      <w:r w:rsidRPr="004B43E7">
        <w:t xml:space="preserve"> the e-commerce </w:t>
      </w:r>
      <w:proofErr w:type="spellStart"/>
      <w:r w:rsidRPr="004B43E7">
        <w:t>JSI</w:t>
      </w:r>
      <w:proofErr w:type="spellEnd"/>
      <w:r w:rsidRPr="004B43E7">
        <w:t xml:space="preserve"> provision contradicts what has been agreed in ITU. If specific binding provisions are felt to be useful and necessary, then they should be negotiated and agreed in the ITU, which is the agency with expertise on such matters.</w:t>
      </w:r>
    </w:p>
    <w:p w14:paraId="2FC409B8" w14:textId="77777777" w:rsidR="005C4732" w:rsidRPr="004B43E7" w:rsidRDefault="005C4732" w:rsidP="004B43E7">
      <w:pPr>
        <w:pStyle w:val="Headingb"/>
      </w:pPr>
      <w:r w:rsidRPr="004B43E7">
        <w:t>Spam</w:t>
      </w:r>
    </w:p>
    <w:p w14:paraId="0EB5ADCA" w14:textId="5D5A46BB" w:rsidR="005C4732" w:rsidRPr="004B43E7" w:rsidRDefault="005C4732" w:rsidP="00FD1988">
      <w:r w:rsidRPr="004B43E7">
        <w:t>15</w:t>
      </w:r>
      <w:r w:rsidR="004B43E7" w:rsidRPr="004B43E7">
        <w:tab/>
      </w:r>
      <w:r w:rsidRPr="004B43E7">
        <w:t xml:space="preserve">Article 15 of the of the </w:t>
      </w:r>
      <w:proofErr w:type="spellStart"/>
      <w:r w:rsidRPr="004B43E7">
        <w:t>JSI</w:t>
      </w:r>
      <w:proofErr w:type="spellEnd"/>
      <w:r w:rsidRPr="004B43E7">
        <w:t xml:space="preserve"> E-Commerce Agreement contains specific provisions regarding spam (unsolicited commercial electronic messages). </w:t>
      </w:r>
    </w:p>
    <w:p w14:paraId="6AD8DEF8" w14:textId="16DD0A8F" w:rsidR="005C4732" w:rsidRPr="004B43E7" w:rsidRDefault="005C4732" w:rsidP="00FD1988">
      <w:r w:rsidRPr="004B43E7">
        <w:t>16</w:t>
      </w:r>
      <w:r w:rsidR="004B43E7" w:rsidRPr="004B43E7">
        <w:tab/>
      </w:r>
      <w:r w:rsidRPr="004B43E7">
        <w:t>There are numerous ITU-T Recommendations on spam</w:t>
      </w:r>
      <w:r w:rsidRPr="004B43E7">
        <w:rPr>
          <w:rStyle w:val="FootnoteReference"/>
          <w:szCs w:val="24"/>
        </w:rPr>
        <w:footnoteReference w:id="6"/>
      </w:r>
      <w:r w:rsidRPr="004B43E7">
        <w:t xml:space="preserve">, and </w:t>
      </w:r>
      <w:r w:rsidR="004B43E7" w:rsidRPr="004B43E7">
        <w:t xml:space="preserve">Article </w:t>
      </w:r>
      <w:r w:rsidRPr="004B43E7">
        <w:t xml:space="preserve">7 of the 2012 International Telecommunication Regulations, a treaty, provides that: “Member States should </w:t>
      </w:r>
      <w:proofErr w:type="spellStart"/>
      <w:r w:rsidRPr="004B43E7">
        <w:t>endeavor</w:t>
      </w:r>
      <w:proofErr w:type="spellEnd"/>
      <w:r w:rsidRPr="004B43E7">
        <w:t xml:space="preserve"> to take necessary measures to prevent the propagation of unsolicited bulk electronic communications and minimize its impact on international telecommunication services. Member States are encouraged to cooperate in that sense.”</w:t>
      </w:r>
    </w:p>
    <w:p w14:paraId="1CEEBFF7" w14:textId="351E7A93" w:rsidR="005C4732" w:rsidRPr="004B43E7" w:rsidRDefault="005C4732" w:rsidP="00FD1988">
      <w:r w:rsidRPr="004B43E7">
        <w:t>17</w:t>
      </w:r>
      <w:r w:rsidR="004B43E7" w:rsidRPr="004B43E7">
        <w:tab/>
      </w:r>
      <w:r w:rsidRPr="004B43E7">
        <w:t xml:space="preserve">The e-commerce </w:t>
      </w:r>
      <w:proofErr w:type="spellStart"/>
      <w:r w:rsidRPr="004B43E7">
        <w:t>JSI</w:t>
      </w:r>
      <w:proofErr w:type="spellEnd"/>
      <w:r w:rsidRPr="004B43E7">
        <w:t xml:space="preserve"> provision is far more specific than the ITU provision. </w:t>
      </w:r>
      <w:r w:rsidR="004B43E7" w:rsidRPr="004B43E7">
        <w:t>Thus,</w:t>
      </w:r>
      <w:r w:rsidRPr="004B43E7">
        <w:t xml:space="preserve"> the e-commerce </w:t>
      </w:r>
      <w:proofErr w:type="spellStart"/>
      <w:r w:rsidRPr="004B43E7">
        <w:t>JSI</w:t>
      </w:r>
      <w:proofErr w:type="spellEnd"/>
      <w:r w:rsidRPr="004B43E7">
        <w:t xml:space="preserve"> provision contradicts what has been agreed in ITU. If specific binding provisions are felt to be useful and necessary, then they should be negotiated and agreed in the ITU, which is the agency with expertise on such matters.</w:t>
      </w:r>
    </w:p>
    <w:p w14:paraId="0E47218D" w14:textId="77777777" w:rsidR="005C4732" w:rsidRPr="004B43E7" w:rsidRDefault="005C4732" w:rsidP="004B43E7">
      <w:pPr>
        <w:pStyle w:val="Headingb"/>
      </w:pPr>
      <w:r w:rsidRPr="004B43E7">
        <w:t>Regulatory body and licensing</w:t>
      </w:r>
    </w:p>
    <w:p w14:paraId="59DEE840" w14:textId="0B55123B" w:rsidR="005C4732" w:rsidRPr="004B43E7" w:rsidRDefault="005C4732" w:rsidP="00FD1988">
      <w:r w:rsidRPr="004B43E7">
        <w:t>18</w:t>
      </w:r>
      <w:r w:rsidR="004B43E7" w:rsidRPr="004B43E7">
        <w:tab/>
      </w:r>
      <w:r w:rsidRPr="004B43E7">
        <w:t xml:space="preserve">Articles 21.3-21.5 of the </w:t>
      </w:r>
      <w:proofErr w:type="spellStart"/>
      <w:r w:rsidRPr="004B43E7">
        <w:t>JSI</w:t>
      </w:r>
      <w:proofErr w:type="spellEnd"/>
      <w:r w:rsidRPr="004B43E7">
        <w:t xml:space="preserve"> </w:t>
      </w:r>
      <w:r w:rsidR="004B608F" w:rsidRPr="004B43E7">
        <w:t>E</w:t>
      </w:r>
      <w:r w:rsidRPr="004B43E7">
        <w:t>-</w:t>
      </w:r>
      <w:r w:rsidR="004B608F" w:rsidRPr="004B43E7">
        <w:t>C</w:t>
      </w:r>
      <w:r w:rsidRPr="004B43E7">
        <w:t xml:space="preserve">ommerce </w:t>
      </w:r>
      <w:r w:rsidR="004B608F" w:rsidRPr="004B43E7">
        <w:t>A</w:t>
      </w:r>
      <w:r w:rsidRPr="004B43E7">
        <w:t>greement contain specific provisions regarding telecommunication regulatory bodies.</w:t>
      </w:r>
    </w:p>
    <w:p w14:paraId="5780CAC5" w14:textId="270A4AC6" w:rsidR="005C4732" w:rsidRPr="004B43E7" w:rsidRDefault="004B608F" w:rsidP="00FD1988">
      <w:r w:rsidRPr="004B43E7">
        <w:lastRenderedPageBreak/>
        <w:t>19</w:t>
      </w:r>
      <w:r w:rsidR="004B43E7" w:rsidRPr="004B43E7">
        <w:tab/>
      </w:r>
      <w:r w:rsidR="005C4732" w:rsidRPr="004B43E7">
        <w:t>ITU has numerous activities related to best practices for regulatory bodies</w:t>
      </w:r>
      <w:r w:rsidR="005C4732" w:rsidRPr="004B43E7">
        <w:rPr>
          <w:rStyle w:val="FootnoteReference"/>
          <w:szCs w:val="24"/>
        </w:rPr>
        <w:footnoteReference w:id="7"/>
      </w:r>
      <w:r w:rsidR="005C4732" w:rsidRPr="004B43E7">
        <w:t xml:space="preserve"> and licensing</w:t>
      </w:r>
      <w:r w:rsidR="005C4732" w:rsidRPr="004B43E7">
        <w:rPr>
          <w:rStyle w:val="FootnoteReference"/>
          <w:szCs w:val="24"/>
        </w:rPr>
        <w:footnoteReference w:id="8"/>
      </w:r>
      <w:r w:rsidR="005C4732" w:rsidRPr="004B43E7">
        <w:t>.</w:t>
      </w:r>
    </w:p>
    <w:p w14:paraId="02EFDA83" w14:textId="60651840" w:rsidR="005C4732" w:rsidRPr="004B43E7" w:rsidRDefault="004B608F" w:rsidP="00FD1988">
      <w:r w:rsidRPr="004B43E7">
        <w:t>20</w:t>
      </w:r>
      <w:r w:rsidR="004B43E7" w:rsidRPr="004B43E7">
        <w:tab/>
      </w:r>
      <w:r w:rsidR="005C4732" w:rsidRPr="004B43E7">
        <w:t>The relevant ITU provisions are not binding. Since there is no agreement in ITU on making such provisions binding, the TPP provisions contradict what has been agreed in ITU. If binding provisions are felt to be useful and necessary, then they should be negotiated and agreed in the ITU, which is the agency with expertise on such matters.</w:t>
      </w:r>
    </w:p>
    <w:p w14:paraId="469E7921" w14:textId="77777777" w:rsidR="005C4732" w:rsidRPr="004B43E7" w:rsidRDefault="005C4732" w:rsidP="004B43E7">
      <w:pPr>
        <w:pStyle w:val="Headingb"/>
      </w:pPr>
      <w:r w:rsidRPr="004B43E7">
        <w:t>Recourse</w:t>
      </w:r>
    </w:p>
    <w:p w14:paraId="4899C0E8" w14:textId="7D728885" w:rsidR="005C4732" w:rsidRPr="004B43E7" w:rsidRDefault="004B608F" w:rsidP="00FD1988">
      <w:r w:rsidRPr="004B43E7">
        <w:t>21</w:t>
      </w:r>
      <w:r w:rsidR="004B43E7" w:rsidRPr="004B43E7">
        <w:tab/>
      </w:r>
      <w:r w:rsidR="005C4732" w:rsidRPr="004B43E7">
        <w:t xml:space="preserve">Article 21.8 of the </w:t>
      </w:r>
      <w:proofErr w:type="spellStart"/>
      <w:r w:rsidR="005C4732" w:rsidRPr="004B43E7">
        <w:t>JSI</w:t>
      </w:r>
      <w:proofErr w:type="spellEnd"/>
      <w:r w:rsidR="005C4732" w:rsidRPr="004B43E7">
        <w:t xml:space="preserve"> </w:t>
      </w:r>
      <w:r w:rsidRPr="004B43E7">
        <w:t>E</w:t>
      </w:r>
      <w:r w:rsidR="005C4732" w:rsidRPr="004B43E7">
        <w:t xml:space="preserve">-commerce </w:t>
      </w:r>
      <w:r w:rsidRPr="004B43E7">
        <w:t>A</w:t>
      </w:r>
      <w:r w:rsidR="005C4732" w:rsidRPr="004B43E7">
        <w:t>greement provides that enterprises have the right to have recourse to the regulatory and authorities of other states.</w:t>
      </w:r>
    </w:p>
    <w:p w14:paraId="4D8A4D90" w14:textId="7A13BCBB" w:rsidR="005C4732" w:rsidRPr="004B43E7" w:rsidRDefault="004B608F" w:rsidP="00FD1988">
      <w:r w:rsidRPr="004B43E7">
        <w:t>22</w:t>
      </w:r>
      <w:r w:rsidR="004B43E7" w:rsidRPr="004B43E7">
        <w:tab/>
      </w:r>
      <w:r w:rsidR="005C4732" w:rsidRPr="004B43E7">
        <w:t>A very similar provision was proposed for the 2012 International Telecommunication Regulations but was rejected by the developed countries.</w:t>
      </w:r>
    </w:p>
    <w:p w14:paraId="01F01836" w14:textId="720A11CF" w:rsidR="004B43E7" w:rsidRPr="004B43E7" w:rsidRDefault="004B608F" w:rsidP="00FD1988">
      <w:r w:rsidRPr="004B43E7">
        <w:t>23</w:t>
      </w:r>
      <w:r w:rsidR="004B43E7" w:rsidRPr="004B43E7">
        <w:tab/>
      </w:r>
      <w:r w:rsidR="005C4732" w:rsidRPr="004B43E7">
        <w:t>Thus</w:t>
      </w:r>
      <w:r w:rsidR="004B43E7" w:rsidRPr="004B43E7">
        <w:t>,</w:t>
      </w:r>
      <w:r w:rsidR="005C4732" w:rsidRPr="004B43E7">
        <w:t xml:space="preserve"> the e-commerce </w:t>
      </w:r>
      <w:proofErr w:type="spellStart"/>
      <w:r w:rsidR="005C4732" w:rsidRPr="004B43E7">
        <w:t>JSI</w:t>
      </w:r>
      <w:proofErr w:type="spellEnd"/>
      <w:r w:rsidR="005C4732" w:rsidRPr="004B43E7">
        <w:t xml:space="preserve"> goes against what had been agreed in ITU.</w:t>
      </w:r>
    </w:p>
    <w:p w14:paraId="50CF3388" w14:textId="77777777" w:rsidR="004B43E7" w:rsidRPr="004B43E7" w:rsidRDefault="004B43E7" w:rsidP="004B43E7">
      <w:pPr>
        <w:pStyle w:val="Reasons"/>
        <w:rPr>
          <w:lang w:val="en-GB"/>
        </w:rPr>
      </w:pPr>
    </w:p>
    <w:p w14:paraId="37F8C6AB" w14:textId="77777777" w:rsidR="004B43E7" w:rsidRPr="004B43E7" w:rsidRDefault="004B43E7">
      <w:pPr>
        <w:jc w:val="center"/>
      </w:pPr>
      <w:r w:rsidRPr="004B43E7">
        <w:t>______________</w:t>
      </w:r>
    </w:p>
    <w:sectPr w:rsidR="004B43E7" w:rsidRPr="004B43E7"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B398" w14:textId="77777777" w:rsidR="00F61A71" w:rsidRDefault="00F61A71">
      <w:r>
        <w:separator/>
      </w:r>
    </w:p>
  </w:endnote>
  <w:endnote w:type="continuationSeparator" w:id="0">
    <w:p w14:paraId="436C755F" w14:textId="77777777" w:rsidR="00F61A71" w:rsidRDefault="00F6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2081F9C" w14:textId="77777777" w:rsidTr="0042469C">
      <w:trPr>
        <w:jc w:val="center"/>
      </w:trPr>
      <w:tc>
        <w:tcPr>
          <w:tcW w:w="1803" w:type="dxa"/>
          <w:vAlign w:val="center"/>
        </w:tcPr>
        <w:p w14:paraId="460368C7" w14:textId="1CEDF401" w:rsidR="00EE49E8" w:rsidRDefault="00EE49E8" w:rsidP="00EE49E8">
          <w:pPr>
            <w:pStyle w:val="Header"/>
            <w:jc w:val="left"/>
            <w:rPr>
              <w:noProof/>
            </w:rPr>
          </w:pPr>
        </w:p>
      </w:tc>
      <w:tc>
        <w:tcPr>
          <w:tcW w:w="8261" w:type="dxa"/>
        </w:tcPr>
        <w:p w14:paraId="0BD769F2" w14:textId="01FE8982" w:rsidR="00EE49E8" w:rsidRPr="00E06FD5" w:rsidRDefault="00EE49E8" w:rsidP="00E84E4D">
          <w:pPr>
            <w:pStyle w:val="Header"/>
            <w:tabs>
              <w:tab w:val="left" w:pos="6163"/>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84E4D">
            <w:rPr>
              <w:bCs/>
            </w:rPr>
            <w:t>3</w:t>
          </w:r>
          <w:r w:rsidR="00A52C84" w:rsidRPr="00623AE3">
            <w:rPr>
              <w:bCs/>
            </w:rPr>
            <w:t>/</w:t>
          </w:r>
          <w:r w:rsidR="00E84E4D">
            <w:rPr>
              <w:bCs/>
            </w:rPr>
            <w:t>3</w:t>
          </w:r>
          <w:r w:rsidR="004B43E7">
            <w:rPr>
              <w:bCs/>
            </w:rPr>
            <w:t>(</w:t>
          </w:r>
          <w:proofErr w:type="spellStart"/>
          <w:r w:rsidR="004B43E7">
            <w:rPr>
              <w:bCs/>
            </w:rPr>
            <w:t>Add.1</w:t>
          </w:r>
          <w:proofErr w:type="spellEnd"/>
          <w:r w:rsidR="004B43E7">
            <w:rPr>
              <w:bCs/>
            </w:rPr>
            <w:t>)-E</w:t>
          </w:r>
          <w:r>
            <w:rPr>
              <w:bCs/>
            </w:rPr>
            <w:tab/>
          </w:r>
          <w:r w:rsidR="00B809AA">
            <w:fldChar w:fldCharType="begin"/>
          </w:r>
          <w:r>
            <w:instrText>PAGE</w:instrText>
          </w:r>
          <w:r w:rsidR="00B809AA">
            <w:fldChar w:fldCharType="separate"/>
          </w:r>
          <w:r w:rsidR="004B608F">
            <w:rPr>
              <w:noProof/>
            </w:rPr>
            <w:t>2</w:t>
          </w:r>
          <w:r w:rsidR="00B809AA">
            <w:rPr>
              <w:noProof/>
            </w:rPr>
            <w:fldChar w:fldCharType="end"/>
          </w:r>
        </w:p>
      </w:tc>
    </w:tr>
  </w:tbl>
  <w:p w14:paraId="6CB1947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24B5C13" w14:textId="77777777" w:rsidTr="00A52C84">
      <w:trPr>
        <w:jc w:val="center"/>
      </w:trPr>
      <w:tc>
        <w:tcPr>
          <w:tcW w:w="3107" w:type="dxa"/>
          <w:vAlign w:val="center"/>
        </w:tcPr>
        <w:p w14:paraId="304ADF7A" w14:textId="77777777"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436C06BD" w14:textId="60407463" w:rsidR="00EE49E8" w:rsidRPr="00E06FD5" w:rsidRDefault="00EE49E8" w:rsidP="00E84E4D">
          <w:pPr>
            <w:pStyle w:val="Header"/>
            <w:tabs>
              <w:tab w:val="left" w:pos="4867"/>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84E4D">
            <w:rPr>
              <w:bCs/>
            </w:rPr>
            <w:t>3</w:t>
          </w:r>
          <w:r w:rsidRPr="00623AE3">
            <w:rPr>
              <w:bCs/>
            </w:rPr>
            <w:t>/</w:t>
          </w:r>
          <w:r w:rsidR="00E84E4D">
            <w:rPr>
              <w:bCs/>
            </w:rPr>
            <w:t>3</w:t>
          </w:r>
          <w:r w:rsidR="004B43E7">
            <w:rPr>
              <w:bCs/>
            </w:rPr>
            <w:t>(</w:t>
          </w:r>
          <w:proofErr w:type="spellStart"/>
          <w:r w:rsidR="004B43E7">
            <w:rPr>
              <w:bCs/>
            </w:rPr>
            <w:t>Add.1</w:t>
          </w:r>
          <w:proofErr w:type="spellEnd"/>
          <w:r w:rsidR="004B43E7">
            <w:rPr>
              <w:bCs/>
            </w:rPr>
            <w:t>)-E</w:t>
          </w:r>
          <w:r>
            <w:rPr>
              <w:bCs/>
            </w:rPr>
            <w:tab/>
          </w:r>
          <w:r w:rsidR="00B809AA">
            <w:fldChar w:fldCharType="begin"/>
          </w:r>
          <w:r>
            <w:instrText>PAGE</w:instrText>
          </w:r>
          <w:r w:rsidR="00B809AA">
            <w:fldChar w:fldCharType="separate"/>
          </w:r>
          <w:r w:rsidR="004B608F">
            <w:rPr>
              <w:noProof/>
            </w:rPr>
            <w:t>1</w:t>
          </w:r>
          <w:r w:rsidR="00B809AA">
            <w:rPr>
              <w:noProof/>
            </w:rPr>
            <w:fldChar w:fldCharType="end"/>
          </w:r>
        </w:p>
      </w:tc>
    </w:tr>
  </w:tbl>
  <w:p w14:paraId="40180F75"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27C5" w14:textId="77777777" w:rsidR="00F61A71" w:rsidRDefault="00F61A71">
      <w:r>
        <w:t>____________________</w:t>
      </w:r>
    </w:p>
  </w:footnote>
  <w:footnote w:type="continuationSeparator" w:id="0">
    <w:p w14:paraId="581C99F3" w14:textId="77777777" w:rsidR="00F61A71" w:rsidRDefault="00F61A71">
      <w:r>
        <w:continuationSeparator/>
      </w:r>
    </w:p>
  </w:footnote>
  <w:footnote w:id="1">
    <w:p w14:paraId="27938E11" w14:textId="705008A6" w:rsidR="005C4732" w:rsidRPr="00D5316D" w:rsidRDefault="005C4732" w:rsidP="005C4732">
      <w:pPr>
        <w:pStyle w:val="FootnoteText"/>
      </w:pPr>
      <w:r>
        <w:rPr>
          <w:rStyle w:val="FootnoteReference"/>
        </w:rPr>
        <w:footnoteRef/>
      </w:r>
      <w:r w:rsidR="004B43E7">
        <w:tab/>
      </w:r>
      <w:r>
        <w:t>The ITU Radio Regulations</w:t>
      </w:r>
      <w:r w:rsidR="004B43E7">
        <w:t>.</w:t>
      </w:r>
    </w:p>
  </w:footnote>
  <w:footnote w:id="2">
    <w:p w14:paraId="62BDF69E" w14:textId="609EAB48" w:rsidR="005C4732" w:rsidRPr="00DE4EFF" w:rsidRDefault="005C4732" w:rsidP="005C4732">
      <w:pPr>
        <w:pStyle w:val="FootnoteText"/>
      </w:pPr>
      <w:r>
        <w:rPr>
          <w:rStyle w:val="FootnoteReference"/>
        </w:rPr>
        <w:footnoteRef/>
      </w:r>
      <w:r w:rsidR="004B43E7">
        <w:tab/>
      </w:r>
      <w:hyperlink r:id="rId1" w:history="1">
        <w:r w:rsidRPr="00AD62E0">
          <w:rPr>
            <w:rStyle w:val="Hyperlink"/>
          </w:rPr>
          <w:t>https://</w:t>
        </w:r>
        <w:proofErr w:type="spellStart"/>
        <w:r w:rsidRPr="00AD62E0">
          <w:rPr>
            <w:rStyle w:val="Hyperlink"/>
          </w:rPr>
          <w:t>www.itu.int</w:t>
        </w:r>
        <w:proofErr w:type="spellEnd"/>
        <w:r w:rsidRPr="00AD62E0">
          <w:rPr>
            <w:rStyle w:val="Hyperlink"/>
          </w:rPr>
          <w:t>/en/ITU-D/Technology/Pages/</w:t>
        </w:r>
        <w:proofErr w:type="spellStart"/>
        <w:r w:rsidRPr="00AD62E0">
          <w:rPr>
            <w:rStyle w:val="Hyperlink"/>
          </w:rPr>
          <w:t>default.aspx</w:t>
        </w:r>
        <w:proofErr w:type="spellEnd"/>
      </w:hyperlink>
      <w:r w:rsidR="00FD1988">
        <w:t>.</w:t>
      </w:r>
      <w:r>
        <w:t xml:space="preserve"> </w:t>
      </w:r>
    </w:p>
  </w:footnote>
  <w:footnote w:id="3">
    <w:p w14:paraId="2CAB0070" w14:textId="05DAEC09" w:rsidR="005C4732" w:rsidRPr="00DE4EFF" w:rsidRDefault="005C4732" w:rsidP="005C4732">
      <w:pPr>
        <w:pStyle w:val="FootnoteText"/>
      </w:pPr>
      <w:r>
        <w:rPr>
          <w:rStyle w:val="FootnoteReference"/>
        </w:rPr>
        <w:footnoteRef/>
      </w:r>
      <w:r w:rsidR="004B43E7">
        <w:tab/>
      </w:r>
      <w:r>
        <w:t xml:space="preserve">See Recommendation ITU-T </w:t>
      </w:r>
      <w:proofErr w:type="spellStart"/>
      <w:r>
        <w:t>D.50</w:t>
      </w:r>
      <w:proofErr w:type="spellEnd"/>
      <w:r>
        <w:t xml:space="preserve"> and its Supplements.</w:t>
      </w:r>
    </w:p>
  </w:footnote>
  <w:footnote w:id="4">
    <w:p w14:paraId="373C97E3" w14:textId="52BAD297" w:rsidR="005C4732" w:rsidRPr="00347843" w:rsidRDefault="005C4732" w:rsidP="005C4732">
      <w:pPr>
        <w:pStyle w:val="FootnoteText"/>
      </w:pPr>
      <w:r>
        <w:rPr>
          <w:rStyle w:val="FootnoteReference"/>
        </w:rPr>
        <w:footnoteRef/>
      </w:r>
      <w:r w:rsidR="004B43E7">
        <w:tab/>
      </w:r>
      <w:r>
        <w:t xml:space="preserve">See Recommendations ITU-T </w:t>
      </w:r>
      <w:proofErr w:type="spellStart"/>
      <w:r>
        <w:t>X.800-X.849</w:t>
      </w:r>
      <w:proofErr w:type="spellEnd"/>
      <w:r>
        <w:t xml:space="preserve">; and </w:t>
      </w:r>
      <w:proofErr w:type="spellStart"/>
      <w:r>
        <w:t>X.1000-X.1099</w:t>
      </w:r>
      <w:proofErr w:type="spellEnd"/>
      <w:r>
        <w:t xml:space="preserve">. </w:t>
      </w:r>
    </w:p>
  </w:footnote>
  <w:footnote w:id="5">
    <w:p w14:paraId="2A9BB915" w14:textId="4E6C0978" w:rsidR="005C4732" w:rsidRPr="00347843" w:rsidRDefault="005C4732" w:rsidP="005C4732">
      <w:pPr>
        <w:pStyle w:val="FootnoteText"/>
        <w:rPr>
          <w:lang w:val="en-US"/>
        </w:rPr>
      </w:pPr>
      <w:r>
        <w:rPr>
          <w:rStyle w:val="FootnoteReference"/>
        </w:rPr>
        <w:footnoteRef/>
      </w:r>
      <w:r w:rsidR="004B43E7">
        <w:tab/>
      </w:r>
      <w:r>
        <w:rPr>
          <w:lang w:val="en-US"/>
        </w:rPr>
        <w:t xml:space="preserve">See Recommendations ITU-T </w:t>
      </w:r>
      <w:proofErr w:type="spellStart"/>
      <w:r>
        <w:rPr>
          <w:lang w:val="en-US"/>
        </w:rPr>
        <w:t>X.1200-X.1299</w:t>
      </w:r>
      <w:proofErr w:type="spellEnd"/>
      <w:r>
        <w:rPr>
          <w:lang w:val="en-US"/>
        </w:rPr>
        <w:t xml:space="preserve">; </w:t>
      </w:r>
      <w:proofErr w:type="spellStart"/>
      <w:r>
        <w:rPr>
          <w:lang w:val="en-US"/>
        </w:rPr>
        <w:t>X.1500-X.1599</w:t>
      </w:r>
      <w:proofErr w:type="spellEnd"/>
      <w:r>
        <w:rPr>
          <w:lang w:val="en-US"/>
        </w:rPr>
        <w:t xml:space="preserve">; </w:t>
      </w:r>
      <w:proofErr w:type="spellStart"/>
      <w:r>
        <w:rPr>
          <w:lang w:val="en-US"/>
        </w:rPr>
        <w:t>X.1600-X.1699</w:t>
      </w:r>
      <w:proofErr w:type="spellEnd"/>
      <w:r>
        <w:rPr>
          <w:lang w:val="en-US"/>
        </w:rPr>
        <w:t>.</w:t>
      </w:r>
    </w:p>
  </w:footnote>
  <w:footnote w:id="6">
    <w:p w14:paraId="33181766" w14:textId="15A62327" w:rsidR="005C4732" w:rsidRPr="00EF7900" w:rsidRDefault="005C4732" w:rsidP="005C4732">
      <w:pPr>
        <w:pStyle w:val="FootnoteText"/>
      </w:pPr>
      <w:r>
        <w:rPr>
          <w:rStyle w:val="FootnoteReference"/>
        </w:rPr>
        <w:footnoteRef/>
      </w:r>
      <w:r w:rsidR="004B43E7">
        <w:tab/>
      </w:r>
      <w:r>
        <w:t xml:space="preserve">See Recommendations ITU-T </w:t>
      </w:r>
      <w:proofErr w:type="spellStart"/>
      <w:r>
        <w:t>X.1230-X.1249</w:t>
      </w:r>
      <w:proofErr w:type="spellEnd"/>
      <w:r>
        <w:t>.</w:t>
      </w:r>
    </w:p>
  </w:footnote>
  <w:footnote w:id="7">
    <w:p w14:paraId="3E466372" w14:textId="77777777" w:rsidR="005C4732" w:rsidRPr="00DA0171" w:rsidRDefault="005C4732" w:rsidP="005C4732">
      <w:pPr>
        <w:pStyle w:val="FootnoteText"/>
      </w:pPr>
      <w:r>
        <w:rPr>
          <w:rStyle w:val="FootnoteReference"/>
        </w:rPr>
        <w:footnoteRef/>
      </w:r>
      <w:r>
        <w:t xml:space="preserve"> See for example: </w:t>
      </w:r>
      <w:hyperlink r:id="rId2" w:history="1">
        <w:r w:rsidRPr="00F84B86">
          <w:rPr>
            <w:rStyle w:val="Hyperlink"/>
          </w:rPr>
          <w:t>http://</w:t>
        </w:r>
        <w:proofErr w:type="spellStart"/>
        <w:r w:rsidRPr="00F84B86">
          <w:rPr>
            <w:rStyle w:val="Hyperlink"/>
          </w:rPr>
          <w:t>www.ictregulationtoolkit.org</w:t>
        </w:r>
        <w:proofErr w:type="spellEnd"/>
        <w:r w:rsidRPr="00F84B86">
          <w:rPr>
            <w:rStyle w:val="Hyperlink"/>
          </w:rPr>
          <w:t>/toolkit/6</w:t>
        </w:r>
      </w:hyperlink>
      <w:r>
        <w:t xml:space="preserve"> </w:t>
      </w:r>
    </w:p>
  </w:footnote>
  <w:footnote w:id="8">
    <w:p w14:paraId="2D61D984" w14:textId="77777777" w:rsidR="005C4732" w:rsidRPr="00DA0171" w:rsidRDefault="005C4732" w:rsidP="005C4732">
      <w:pPr>
        <w:pStyle w:val="FootnoteText"/>
        <w:rPr>
          <w:lang w:val="en-US"/>
        </w:rPr>
      </w:pPr>
      <w:r>
        <w:rPr>
          <w:rStyle w:val="FootnoteReference"/>
        </w:rPr>
        <w:footnoteRef/>
      </w:r>
      <w:r>
        <w:t xml:space="preserve"> </w:t>
      </w:r>
      <w:r>
        <w:rPr>
          <w:lang w:val="en-US"/>
        </w:rPr>
        <w:t xml:space="preserve">See for example: </w:t>
      </w:r>
      <w:hyperlink r:id="rId3" w:history="1">
        <w:r w:rsidRPr="00F84B86">
          <w:rPr>
            <w:rStyle w:val="Hyperlink"/>
            <w:lang w:val="en-US"/>
          </w:rPr>
          <w:t>http://</w:t>
        </w:r>
        <w:proofErr w:type="spellStart"/>
        <w:r w:rsidRPr="00F84B86">
          <w:rPr>
            <w:rStyle w:val="Hyperlink"/>
            <w:lang w:val="en-US"/>
          </w:rPr>
          <w:t>www.ictregulationtoolkit.org</w:t>
        </w:r>
        <w:proofErr w:type="spellEnd"/>
        <w:r w:rsidRPr="00F84B86">
          <w:rPr>
            <w:rStyle w:val="Hyperlink"/>
            <w:lang w:val="en-US"/>
          </w:rPr>
          <w:t>/toolkit/3</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A4BB995" w14:textId="77777777" w:rsidTr="00F74694">
      <w:trPr>
        <w:trHeight w:val="1304"/>
        <w:jc w:val="center"/>
      </w:trPr>
      <w:tc>
        <w:tcPr>
          <w:tcW w:w="6546" w:type="dxa"/>
        </w:tcPr>
        <w:p w14:paraId="3AC16246" w14:textId="2F6B1936" w:rsidR="00AD3606" w:rsidRPr="009621F8" w:rsidRDefault="00152386"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0C745C06" wp14:editId="66F71199">
                    <wp:simplePos x="0" y="0"/>
                    <wp:positionH relativeFrom="column">
                      <wp:posOffset>570230</wp:posOffset>
                    </wp:positionH>
                    <wp:positionV relativeFrom="paragraph">
                      <wp:posOffset>63500</wp:posOffset>
                    </wp:positionV>
                    <wp:extent cx="1652905" cy="541020"/>
                    <wp:effectExtent l="0" t="0" r="0" b="0"/>
                    <wp:wrapNone/>
                    <wp:docPr id="290038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594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66FB1A69" wp14:editId="4A310BE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7E3E548" w14:textId="77777777" w:rsidR="00AD3606" w:rsidRDefault="00AD3606" w:rsidP="00AD3606">
          <w:pPr>
            <w:pStyle w:val="Header"/>
            <w:jc w:val="right"/>
            <w:rPr>
              <w:rFonts w:ascii="Arial" w:hAnsi="Arial" w:cs="Arial"/>
              <w:b/>
              <w:bCs/>
              <w:color w:val="009CD6"/>
              <w:szCs w:val="18"/>
            </w:rPr>
          </w:pPr>
        </w:p>
        <w:p w14:paraId="6CDFCA6E" w14:textId="77777777" w:rsidR="00AD3606" w:rsidRDefault="00AD3606" w:rsidP="00AD3606">
          <w:pPr>
            <w:pStyle w:val="Header"/>
            <w:jc w:val="right"/>
            <w:rPr>
              <w:rFonts w:ascii="Arial" w:hAnsi="Arial" w:cs="Arial"/>
              <w:b/>
              <w:bCs/>
              <w:color w:val="009CD6"/>
              <w:szCs w:val="18"/>
            </w:rPr>
          </w:pPr>
        </w:p>
        <w:p w14:paraId="6065BE8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61B4FDD" w14:textId="072FFA30" w:rsidR="00AD3606" w:rsidRDefault="0015238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A1997E" wp14:editId="14CC92FF">
              <wp:simplePos x="0" y="0"/>
              <wp:positionH relativeFrom="page">
                <wp:posOffset>14605</wp:posOffset>
              </wp:positionH>
              <wp:positionV relativeFrom="topMargin">
                <wp:posOffset>555625</wp:posOffset>
              </wp:positionV>
              <wp:extent cx="93345" cy="431800"/>
              <wp:effectExtent l="0" t="0" r="0" b="0"/>
              <wp:wrapNone/>
              <wp:docPr id="7739068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DD0DA"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08A600D" wp14:editId="0899ECE3">
              <wp:simplePos x="0" y="0"/>
              <wp:positionH relativeFrom="column">
                <wp:posOffset>306705</wp:posOffset>
              </wp:positionH>
              <wp:positionV relativeFrom="paragraph">
                <wp:posOffset>-835660</wp:posOffset>
              </wp:positionV>
              <wp:extent cx="3999230" cy="618490"/>
              <wp:effectExtent l="0" t="0" r="0" b="0"/>
              <wp:wrapNone/>
              <wp:docPr id="805465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136D0180"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84E4D">
                            <w:rPr>
                              <w:sz w:val="20"/>
                            </w:rPr>
                            <w:t>Third</w:t>
                          </w:r>
                          <w:r w:rsidR="00F92704">
                            <w:rPr>
                              <w:sz w:val="20"/>
                            </w:rPr>
                            <w:t xml:space="preserve"> meeting - </w:t>
                          </w:r>
                          <w:r w:rsidR="003A5D2D">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8A600D"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136D0180"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84E4D">
                      <w:rPr>
                        <w:sz w:val="20"/>
                      </w:rPr>
                      <w:t>Third</w:t>
                    </w:r>
                    <w:r w:rsidR="00F92704">
                      <w:rPr>
                        <w:sz w:val="20"/>
                      </w:rPr>
                      <w:t xml:space="preserve"> meeting - </w:t>
                    </w:r>
                    <w:r w:rsidR="003A5D2D">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CEA4BB3"/>
    <w:multiLevelType w:val="hybridMultilevel"/>
    <w:tmpl w:val="D2221988"/>
    <w:lvl w:ilvl="0" w:tplc="B7FE09B8">
      <w:start w:val="1"/>
      <w:numFmt w:val="lowerLetter"/>
      <w:lvlText w:val="%1)"/>
      <w:lvlJc w:val="left"/>
      <w:pPr>
        <w:ind w:left="761" w:hanging="360"/>
      </w:pPr>
      <w:rPr>
        <w:rFonts w:ascii="Times New Roman" w:hAnsi="Times New Roman" w:hint="default"/>
        <w:sz w:val="24"/>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C10831"/>
    <w:multiLevelType w:val="hybridMultilevel"/>
    <w:tmpl w:val="E03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511120">
    <w:abstractNumId w:val="0"/>
  </w:num>
  <w:num w:numId="2" w16cid:durableId="1422606972">
    <w:abstractNumId w:val="10"/>
  </w:num>
  <w:num w:numId="3" w16cid:durableId="432555271">
    <w:abstractNumId w:val="11"/>
  </w:num>
  <w:num w:numId="4" w16cid:durableId="1237284963">
    <w:abstractNumId w:val="6"/>
  </w:num>
  <w:num w:numId="5" w16cid:durableId="13653488">
    <w:abstractNumId w:val="7"/>
  </w:num>
  <w:num w:numId="6" w16cid:durableId="1499223653">
    <w:abstractNumId w:val="9"/>
  </w:num>
  <w:num w:numId="7" w16cid:durableId="883828984">
    <w:abstractNumId w:val="4"/>
  </w:num>
  <w:num w:numId="8" w16cid:durableId="1996294327">
    <w:abstractNumId w:val="3"/>
  </w:num>
  <w:num w:numId="9" w16cid:durableId="1140805035">
    <w:abstractNumId w:val="2"/>
  </w:num>
  <w:num w:numId="10" w16cid:durableId="121929480">
    <w:abstractNumId w:val="1"/>
  </w:num>
  <w:num w:numId="11" w16cid:durableId="664363341">
    <w:abstractNumId w:val="8"/>
  </w:num>
  <w:num w:numId="12" w16cid:durableId="1016004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8D3"/>
    <w:rsid w:val="000064E3"/>
    <w:rsid w:val="000210D4"/>
    <w:rsid w:val="000334F2"/>
    <w:rsid w:val="00063016"/>
    <w:rsid w:val="00066795"/>
    <w:rsid w:val="00076AF6"/>
    <w:rsid w:val="00085CF2"/>
    <w:rsid w:val="000B15D4"/>
    <w:rsid w:val="000B1705"/>
    <w:rsid w:val="000B2AAF"/>
    <w:rsid w:val="000D75B2"/>
    <w:rsid w:val="000E4EE7"/>
    <w:rsid w:val="000F2144"/>
    <w:rsid w:val="001121F5"/>
    <w:rsid w:val="00112DDE"/>
    <w:rsid w:val="00130599"/>
    <w:rsid w:val="001400DC"/>
    <w:rsid w:val="00140CE1"/>
    <w:rsid w:val="00152386"/>
    <w:rsid w:val="001560FA"/>
    <w:rsid w:val="001569E7"/>
    <w:rsid w:val="001648F9"/>
    <w:rsid w:val="001706DD"/>
    <w:rsid w:val="00170B8D"/>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75CBF"/>
    <w:rsid w:val="0028109B"/>
    <w:rsid w:val="00291CBF"/>
    <w:rsid w:val="00293B38"/>
    <w:rsid w:val="00296C9E"/>
    <w:rsid w:val="002A2188"/>
    <w:rsid w:val="002A7B2C"/>
    <w:rsid w:val="002B1F58"/>
    <w:rsid w:val="002C1C7A"/>
    <w:rsid w:val="002C54E2"/>
    <w:rsid w:val="002F6AF6"/>
    <w:rsid w:val="002F7555"/>
    <w:rsid w:val="0030160F"/>
    <w:rsid w:val="00311D96"/>
    <w:rsid w:val="00320223"/>
    <w:rsid w:val="00322D0D"/>
    <w:rsid w:val="003425F0"/>
    <w:rsid w:val="00346962"/>
    <w:rsid w:val="00361465"/>
    <w:rsid w:val="00385A85"/>
    <w:rsid w:val="003877F5"/>
    <w:rsid w:val="003942D4"/>
    <w:rsid w:val="003958A8"/>
    <w:rsid w:val="003A5D2D"/>
    <w:rsid w:val="003C063A"/>
    <w:rsid w:val="003C2533"/>
    <w:rsid w:val="003D5A7F"/>
    <w:rsid w:val="003D6854"/>
    <w:rsid w:val="004016E2"/>
    <w:rsid w:val="00403B7F"/>
    <w:rsid w:val="0040435A"/>
    <w:rsid w:val="00405C77"/>
    <w:rsid w:val="00416A24"/>
    <w:rsid w:val="00431D9E"/>
    <w:rsid w:val="00433CE8"/>
    <w:rsid w:val="00434A5C"/>
    <w:rsid w:val="00445F52"/>
    <w:rsid w:val="004544D9"/>
    <w:rsid w:val="00455493"/>
    <w:rsid w:val="00467314"/>
    <w:rsid w:val="00472BAD"/>
    <w:rsid w:val="00484009"/>
    <w:rsid w:val="0048484B"/>
    <w:rsid w:val="00484FF9"/>
    <w:rsid w:val="00490E72"/>
    <w:rsid w:val="00491157"/>
    <w:rsid w:val="004921C8"/>
    <w:rsid w:val="00495B0B"/>
    <w:rsid w:val="004A1B8B"/>
    <w:rsid w:val="004A5564"/>
    <w:rsid w:val="004B43E7"/>
    <w:rsid w:val="004B608F"/>
    <w:rsid w:val="004D1851"/>
    <w:rsid w:val="004D599D"/>
    <w:rsid w:val="004D648B"/>
    <w:rsid w:val="004E0D81"/>
    <w:rsid w:val="004E2EA5"/>
    <w:rsid w:val="004E31A8"/>
    <w:rsid w:val="004E3AEB"/>
    <w:rsid w:val="0050223C"/>
    <w:rsid w:val="00515924"/>
    <w:rsid w:val="0051705A"/>
    <w:rsid w:val="00520AC3"/>
    <w:rsid w:val="0052249C"/>
    <w:rsid w:val="005243FF"/>
    <w:rsid w:val="0053640F"/>
    <w:rsid w:val="00545D07"/>
    <w:rsid w:val="00564FBC"/>
    <w:rsid w:val="005800BC"/>
    <w:rsid w:val="005801BA"/>
    <w:rsid w:val="00582442"/>
    <w:rsid w:val="00591E46"/>
    <w:rsid w:val="005A335D"/>
    <w:rsid w:val="005B461F"/>
    <w:rsid w:val="005C3BE5"/>
    <w:rsid w:val="005C4732"/>
    <w:rsid w:val="005D0B88"/>
    <w:rsid w:val="005E2BD5"/>
    <w:rsid w:val="005F3269"/>
    <w:rsid w:val="006035C0"/>
    <w:rsid w:val="00616C10"/>
    <w:rsid w:val="00623AE3"/>
    <w:rsid w:val="00630C76"/>
    <w:rsid w:val="00636853"/>
    <w:rsid w:val="0064737F"/>
    <w:rsid w:val="006535F1"/>
    <w:rsid w:val="0065557D"/>
    <w:rsid w:val="00660D50"/>
    <w:rsid w:val="00662984"/>
    <w:rsid w:val="006638C3"/>
    <w:rsid w:val="00664A2C"/>
    <w:rsid w:val="006716BB"/>
    <w:rsid w:val="006819A4"/>
    <w:rsid w:val="0069699A"/>
    <w:rsid w:val="006B1859"/>
    <w:rsid w:val="006B6680"/>
    <w:rsid w:val="006B6DCC"/>
    <w:rsid w:val="006C11BB"/>
    <w:rsid w:val="006C2CD7"/>
    <w:rsid w:val="00702DEF"/>
    <w:rsid w:val="00706861"/>
    <w:rsid w:val="00734FAC"/>
    <w:rsid w:val="00745D44"/>
    <w:rsid w:val="0075051B"/>
    <w:rsid w:val="00761F81"/>
    <w:rsid w:val="00775655"/>
    <w:rsid w:val="00777028"/>
    <w:rsid w:val="00793188"/>
    <w:rsid w:val="00794D34"/>
    <w:rsid w:val="00794DFC"/>
    <w:rsid w:val="007A37EC"/>
    <w:rsid w:val="007B08D6"/>
    <w:rsid w:val="007C01FB"/>
    <w:rsid w:val="007F268B"/>
    <w:rsid w:val="007F3A09"/>
    <w:rsid w:val="007F6EFC"/>
    <w:rsid w:val="0080358A"/>
    <w:rsid w:val="00812D85"/>
    <w:rsid w:val="00813E5E"/>
    <w:rsid w:val="008169FA"/>
    <w:rsid w:val="0082723D"/>
    <w:rsid w:val="0083581B"/>
    <w:rsid w:val="008428DC"/>
    <w:rsid w:val="00847E0C"/>
    <w:rsid w:val="00856DA7"/>
    <w:rsid w:val="00863874"/>
    <w:rsid w:val="00864283"/>
    <w:rsid w:val="00864AFF"/>
    <w:rsid w:val="00865925"/>
    <w:rsid w:val="0088630E"/>
    <w:rsid w:val="008976CD"/>
    <w:rsid w:val="008A3BA6"/>
    <w:rsid w:val="008B056B"/>
    <w:rsid w:val="008B4A6A"/>
    <w:rsid w:val="008B56F6"/>
    <w:rsid w:val="008C7E27"/>
    <w:rsid w:val="008D146D"/>
    <w:rsid w:val="008E2868"/>
    <w:rsid w:val="008F7448"/>
    <w:rsid w:val="0090147A"/>
    <w:rsid w:val="009173EF"/>
    <w:rsid w:val="009224F5"/>
    <w:rsid w:val="009259A8"/>
    <w:rsid w:val="00932906"/>
    <w:rsid w:val="00950BC7"/>
    <w:rsid w:val="00961B0B"/>
    <w:rsid w:val="00962D33"/>
    <w:rsid w:val="009A3498"/>
    <w:rsid w:val="009A4ED2"/>
    <w:rsid w:val="009A611D"/>
    <w:rsid w:val="009B38C3"/>
    <w:rsid w:val="009E17BD"/>
    <w:rsid w:val="009E485A"/>
    <w:rsid w:val="00A028B5"/>
    <w:rsid w:val="00A04CEC"/>
    <w:rsid w:val="00A21F8F"/>
    <w:rsid w:val="00A26802"/>
    <w:rsid w:val="00A27F92"/>
    <w:rsid w:val="00A317FD"/>
    <w:rsid w:val="00A32257"/>
    <w:rsid w:val="00A36D20"/>
    <w:rsid w:val="00A377D7"/>
    <w:rsid w:val="00A514A4"/>
    <w:rsid w:val="00A5271F"/>
    <w:rsid w:val="00A52C84"/>
    <w:rsid w:val="00A55622"/>
    <w:rsid w:val="00A73CD8"/>
    <w:rsid w:val="00A83502"/>
    <w:rsid w:val="00AC30A5"/>
    <w:rsid w:val="00AD15B3"/>
    <w:rsid w:val="00AD3606"/>
    <w:rsid w:val="00AD4A3D"/>
    <w:rsid w:val="00AF1EE7"/>
    <w:rsid w:val="00AF29E2"/>
    <w:rsid w:val="00AF6E49"/>
    <w:rsid w:val="00B04A67"/>
    <w:rsid w:val="00B0583C"/>
    <w:rsid w:val="00B40A81"/>
    <w:rsid w:val="00B4436B"/>
    <w:rsid w:val="00B44910"/>
    <w:rsid w:val="00B72267"/>
    <w:rsid w:val="00B76EB6"/>
    <w:rsid w:val="00B7737B"/>
    <w:rsid w:val="00B809AA"/>
    <w:rsid w:val="00B824C8"/>
    <w:rsid w:val="00B84B9D"/>
    <w:rsid w:val="00B90C7D"/>
    <w:rsid w:val="00BA344D"/>
    <w:rsid w:val="00BA5337"/>
    <w:rsid w:val="00BC251A"/>
    <w:rsid w:val="00BC3DED"/>
    <w:rsid w:val="00BD032B"/>
    <w:rsid w:val="00BD4122"/>
    <w:rsid w:val="00BE10C8"/>
    <w:rsid w:val="00BE2640"/>
    <w:rsid w:val="00BF0749"/>
    <w:rsid w:val="00BF7279"/>
    <w:rsid w:val="00C01189"/>
    <w:rsid w:val="00C258FB"/>
    <w:rsid w:val="00C33177"/>
    <w:rsid w:val="00C374DE"/>
    <w:rsid w:val="00C47AD4"/>
    <w:rsid w:val="00C52D81"/>
    <w:rsid w:val="00C55198"/>
    <w:rsid w:val="00C56AB4"/>
    <w:rsid w:val="00C67880"/>
    <w:rsid w:val="00CA6393"/>
    <w:rsid w:val="00CB18FF"/>
    <w:rsid w:val="00CB3D1D"/>
    <w:rsid w:val="00CC3D47"/>
    <w:rsid w:val="00CD0C08"/>
    <w:rsid w:val="00CD743D"/>
    <w:rsid w:val="00CE03FB"/>
    <w:rsid w:val="00CE433C"/>
    <w:rsid w:val="00CF0161"/>
    <w:rsid w:val="00CF33F3"/>
    <w:rsid w:val="00D06183"/>
    <w:rsid w:val="00D14787"/>
    <w:rsid w:val="00D22C42"/>
    <w:rsid w:val="00D464CC"/>
    <w:rsid w:val="00D65041"/>
    <w:rsid w:val="00DB00D5"/>
    <w:rsid w:val="00DB1936"/>
    <w:rsid w:val="00DB384B"/>
    <w:rsid w:val="00DE2C44"/>
    <w:rsid w:val="00DF0189"/>
    <w:rsid w:val="00E06FD5"/>
    <w:rsid w:val="00E10E80"/>
    <w:rsid w:val="00E124F0"/>
    <w:rsid w:val="00E138F2"/>
    <w:rsid w:val="00E15C3A"/>
    <w:rsid w:val="00E227F3"/>
    <w:rsid w:val="00E32C21"/>
    <w:rsid w:val="00E530D9"/>
    <w:rsid w:val="00E545C6"/>
    <w:rsid w:val="00E60F04"/>
    <w:rsid w:val="00E65B24"/>
    <w:rsid w:val="00E849FB"/>
    <w:rsid w:val="00E84E4D"/>
    <w:rsid w:val="00E854E4"/>
    <w:rsid w:val="00E86DBF"/>
    <w:rsid w:val="00EA0CE2"/>
    <w:rsid w:val="00EB0D6F"/>
    <w:rsid w:val="00EB2232"/>
    <w:rsid w:val="00EC5337"/>
    <w:rsid w:val="00ED398B"/>
    <w:rsid w:val="00EE49E8"/>
    <w:rsid w:val="00F16BAB"/>
    <w:rsid w:val="00F2150A"/>
    <w:rsid w:val="00F231D8"/>
    <w:rsid w:val="00F23745"/>
    <w:rsid w:val="00F23870"/>
    <w:rsid w:val="00F241E9"/>
    <w:rsid w:val="00F275E9"/>
    <w:rsid w:val="00F32C97"/>
    <w:rsid w:val="00F44C00"/>
    <w:rsid w:val="00F45D2C"/>
    <w:rsid w:val="00F46C5F"/>
    <w:rsid w:val="00F61A71"/>
    <w:rsid w:val="00F632C0"/>
    <w:rsid w:val="00F74694"/>
    <w:rsid w:val="00F92704"/>
    <w:rsid w:val="00F93094"/>
    <w:rsid w:val="00F94A63"/>
    <w:rsid w:val="00FA1C28"/>
    <w:rsid w:val="00FB1279"/>
    <w:rsid w:val="00FB42ED"/>
    <w:rsid w:val="00FB5695"/>
    <w:rsid w:val="00FB6B76"/>
    <w:rsid w:val="00FB7596"/>
    <w:rsid w:val="00FC3541"/>
    <w:rsid w:val="00FD1071"/>
    <w:rsid w:val="00FD1988"/>
    <w:rsid w:val="00FE4077"/>
    <w:rsid w:val="00FE4B66"/>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4BA56"/>
  <w15:docId w15:val="{A0DC836D-9E39-4257-A96B-E88C1E0B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4B43E7"/>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paragraph" w:styleId="BalloonText">
    <w:name w:val="Balloon Text"/>
    <w:basedOn w:val="Normal"/>
    <w:link w:val="BalloonTextChar"/>
    <w:semiHidden/>
    <w:unhideWhenUsed/>
    <w:rsid w:val="003A5D2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A5D2D"/>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rsid w:val="005C4732"/>
    <w:rPr>
      <w:rFonts w:ascii="Calibri" w:hAnsi="Calibri"/>
      <w:sz w:val="24"/>
      <w:lang w:val="en-GB" w:eastAsia="en-US"/>
    </w:rPr>
  </w:style>
  <w:style w:type="paragraph" w:customStyle="1" w:styleId="Reasons">
    <w:name w:val="Reasons"/>
    <w:basedOn w:val="Normal"/>
    <w:qFormat/>
    <w:rsid w:val="004B43E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johnmenadue.com/australia-developing-countries-and-the-us-clash-over-wto-electronic-commerce-ru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wto.org/dol2fe/Pages/SS/directdoc.aspx?filename=q:/INF/ECOM/87.pdf&amp;Open=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2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EGITRS2-C-0004/en" TargetMode="Externa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tregulationtoolkit.org/toolkit/3" TargetMode="External"/><Relationship Id="rId2" Type="http://schemas.openxmlformats.org/officeDocument/2006/relationships/hyperlink" Target="http://www.ictregulationtoolkit.org/toolkit/6" TargetMode="External"/><Relationship Id="rId1" Type="http://schemas.openxmlformats.org/officeDocument/2006/relationships/hyperlink" Target="https://www.itu.int/en/ITU-D/Technology/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8316-D285-4C65-9083-8D47661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915</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6612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LRT</dc:creator>
  <cp:keywords>EG-ITRs, C23, Council-23, C23-ADD</cp:keywords>
  <dc:description/>
  <cp:lastModifiedBy>LRT</cp:lastModifiedBy>
  <cp:revision>5</cp:revision>
  <dcterms:created xsi:type="dcterms:W3CDTF">2024-08-19T14:30:00Z</dcterms:created>
  <dcterms:modified xsi:type="dcterms:W3CDTF">2024-08-19T14:40:00Z</dcterms:modified>
  <cp:category>Conference document</cp:category>
</cp:coreProperties>
</file>