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45D44" w14:paraId="45AD5716" w14:textId="77777777" w:rsidTr="00AD3606">
        <w:trPr>
          <w:cantSplit/>
          <w:trHeight w:val="23"/>
        </w:trPr>
        <w:tc>
          <w:tcPr>
            <w:tcW w:w="3969" w:type="dxa"/>
            <w:vMerge w:val="restart"/>
            <w:tcMar>
              <w:left w:w="0" w:type="dxa"/>
            </w:tcMar>
          </w:tcPr>
          <w:p w14:paraId="01DE58BA" w14:textId="77777777"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9FE8E7E" w14:textId="77777777" w:rsidR="00AD3606" w:rsidRPr="00A52C84" w:rsidRDefault="00AD3606" w:rsidP="00E84E4D">
            <w:pPr>
              <w:tabs>
                <w:tab w:val="left" w:pos="851"/>
              </w:tabs>
              <w:spacing w:before="0" w:line="240" w:lineRule="atLeast"/>
              <w:jc w:val="right"/>
              <w:rPr>
                <w:b/>
                <w:lang w:val="fr-CH"/>
              </w:rPr>
            </w:pPr>
            <w:r w:rsidRPr="00A52C84">
              <w:rPr>
                <w:b/>
                <w:lang w:val="fr-CH"/>
              </w:rPr>
              <w:t xml:space="preserve">Document </w:t>
            </w:r>
            <w:r w:rsidR="00A028B5">
              <w:rPr>
                <w:b/>
                <w:lang w:val="fr-CH"/>
              </w:rPr>
              <w:t>EG-ITRs</w:t>
            </w:r>
            <w:r w:rsidR="00A52C84" w:rsidRPr="00A52C84">
              <w:rPr>
                <w:b/>
                <w:lang w:val="fr-CH"/>
              </w:rPr>
              <w:t>-</w:t>
            </w:r>
            <w:r w:rsidR="00E84E4D">
              <w:rPr>
                <w:b/>
                <w:lang w:val="fr-CH"/>
              </w:rPr>
              <w:t>3</w:t>
            </w:r>
            <w:r w:rsidRPr="00A52C84">
              <w:rPr>
                <w:b/>
                <w:lang w:val="fr-CH"/>
              </w:rPr>
              <w:t>/</w:t>
            </w:r>
            <w:r w:rsidR="00E84E4D">
              <w:rPr>
                <w:b/>
                <w:lang w:val="fr-CH"/>
              </w:rPr>
              <w:t>3</w:t>
            </w:r>
          </w:p>
        </w:tc>
      </w:tr>
      <w:tr w:rsidR="00AD3606" w:rsidRPr="00813E5E" w14:paraId="69ED56E6" w14:textId="77777777" w:rsidTr="00AD3606">
        <w:trPr>
          <w:cantSplit/>
        </w:trPr>
        <w:tc>
          <w:tcPr>
            <w:tcW w:w="3969" w:type="dxa"/>
            <w:vMerge/>
          </w:tcPr>
          <w:p w14:paraId="25F2B345"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6AD43475" w14:textId="77777777" w:rsidR="00AD3606" w:rsidRPr="00E85629" w:rsidRDefault="003A5D2D" w:rsidP="003A5D2D">
            <w:pPr>
              <w:tabs>
                <w:tab w:val="left" w:pos="851"/>
              </w:tabs>
              <w:spacing w:before="0"/>
              <w:jc w:val="right"/>
              <w:rPr>
                <w:b/>
              </w:rPr>
            </w:pPr>
            <w:r>
              <w:rPr>
                <w:b/>
              </w:rPr>
              <w:t>10 July</w:t>
            </w:r>
            <w:r w:rsidR="00E84E4D">
              <w:rPr>
                <w:b/>
              </w:rPr>
              <w:t xml:space="preserve"> 2024</w:t>
            </w:r>
          </w:p>
        </w:tc>
      </w:tr>
      <w:tr w:rsidR="00AD3606" w:rsidRPr="00813E5E" w14:paraId="3A2D9822" w14:textId="77777777" w:rsidTr="00AD3606">
        <w:trPr>
          <w:cantSplit/>
          <w:trHeight w:val="23"/>
        </w:trPr>
        <w:tc>
          <w:tcPr>
            <w:tcW w:w="3969" w:type="dxa"/>
            <w:vMerge/>
          </w:tcPr>
          <w:p w14:paraId="512BB30F"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148129CF" w14:textId="77777777" w:rsidR="00AD3606" w:rsidRPr="00E85629" w:rsidRDefault="00A028B5" w:rsidP="00AD3606">
            <w:pPr>
              <w:tabs>
                <w:tab w:val="left" w:pos="851"/>
              </w:tabs>
              <w:spacing w:before="0" w:line="240" w:lineRule="atLeast"/>
              <w:jc w:val="right"/>
              <w:rPr>
                <w:b/>
              </w:rPr>
            </w:pPr>
            <w:r>
              <w:rPr>
                <w:b/>
              </w:rPr>
              <w:t>English</w:t>
            </w:r>
            <w:r w:rsidR="00291CBF">
              <w:rPr>
                <w:b/>
              </w:rPr>
              <w:t xml:space="preserve"> only</w:t>
            </w:r>
          </w:p>
        </w:tc>
      </w:tr>
      <w:tr w:rsidR="00472BAD" w:rsidRPr="00813E5E" w14:paraId="39C848FA" w14:textId="77777777" w:rsidTr="00AD3606">
        <w:trPr>
          <w:cantSplit/>
          <w:trHeight w:val="23"/>
        </w:trPr>
        <w:tc>
          <w:tcPr>
            <w:tcW w:w="3969" w:type="dxa"/>
          </w:tcPr>
          <w:p w14:paraId="02321118" w14:textId="77777777" w:rsidR="00472BAD" w:rsidRPr="00813E5E" w:rsidRDefault="00472BAD" w:rsidP="00AD3606">
            <w:pPr>
              <w:tabs>
                <w:tab w:val="left" w:pos="851"/>
              </w:tabs>
              <w:spacing w:line="240" w:lineRule="atLeast"/>
              <w:rPr>
                <w:b/>
              </w:rPr>
            </w:pPr>
          </w:p>
        </w:tc>
        <w:tc>
          <w:tcPr>
            <w:tcW w:w="5245" w:type="dxa"/>
          </w:tcPr>
          <w:p w14:paraId="55C676CC" w14:textId="77777777" w:rsidR="00472BAD" w:rsidRDefault="00472BAD" w:rsidP="00AD3606">
            <w:pPr>
              <w:tabs>
                <w:tab w:val="left" w:pos="851"/>
              </w:tabs>
              <w:spacing w:before="0" w:line="240" w:lineRule="atLeast"/>
              <w:jc w:val="right"/>
              <w:rPr>
                <w:b/>
              </w:rPr>
            </w:pPr>
          </w:p>
        </w:tc>
      </w:tr>
      <w:tr w:rsidR="00AD3606" w:rsidRPr="00813E5E" w14:paraId="67DB1B62" w14:textId="77777777" w:rsidTr="00AD3606">
        <w:trPr>
          <w:cantSplit/>
        </w:trPr>
        <w:tc>
          <w:tcPr>
            <w:tcW w:w="9214" w:type="dxa"/>
            <w:gridSpan w:val="2"/>
            <w:tcMar>
              <w:left w:w="0" w:type="dxa"/>
            </w:tcMar>
          </w:tcPr>
          <w:p w14:paraId="53A479A2" w14:textId="77777777" w:rsidR="00AD3606" w:rsidRPr="00813E5E" w:rsidRDefault="00244F7F" w:rsidP="00E15C3A">
            <w:pPr>
              <w:pStyle w:val="Source"/>
              <w:framePr w:hSpace="0" w:wrap="auto" w:vAnchor="margin" w:hAnchor="text" w:yAlign="inline"/>
            </w:pPr>
            <w:bookmarkStart w:id="8" w:name="dsource" w:colFirst="0" w:colLast="0"/>
            <w:bookmarkEnd w:id="7"/>
            <w:r>
              <w:t>Contribution</w:t>
            </w:r>
            <w:r w:rsidR="00AD3606" w:rsidRPr="002C54E2">
              <w:t xml:space="preserve"> </w:t>
            </w:r>
            <w:r w:rsidR="00864283">
              <w:t xml:space="preserve">from </w:t>
            </w:r>
            <w:r w:rsidR="00E15C3A">
              <w:t>Hill</w:t>
            </w:r>
          </w:p>
        </w:tc>
      </w:tr>
      <w:tr w:rsidR="00AD3606" w:rsidRPr="00813E5E" w14:paraId="00D2B18B" w14:textId="77777777" w:rsidTr="00AD3606">
        <w:trPr>
          <w:cantSplit/>
        </w:trPr>
        <w:tc>
          <w:tcPr>
            <w:tcW w:w="9214" w:type="dxa"/>
            <w:gridSpan w:val="2"/>
            <w:tcMar>
              <w:left w:w="0" w:type="dxa"/>
            </w:tcMar>
          </w:tcPr>
          <w:p w14:paraId="5BB66F24" w14:textId="172E117D" w:rsidR="00AD3606" w:rsidRPr="00813E5E" w:rsidRDefault="00786EA1" w:rsidP="0082723D">
            <w:pPr>
              <w:pStyle w:val="Subtitle"/>
              <w:framePr w:hSpace="0" w:wrap="auto" w:hAnchor="text" w:xAlign="left" w:yAlign="inline"/>
            </w:pPr>
            <w:bookmarkStart w:id="9" w:name="dtitle1" w:colFirst="0" w:colLast="0"/>
            <w:bookmarkEnd w:id="8"/>
            <w:r>
              <w:t>LIAISING WITH WTO</w:t>
            </w:r>
          </w:p>
        </w:tc>
      </w:tr>
      <w:tr w:rsidR="00AD3606" w:rsidRPr="00813E5E" w14:paraId="5FBDBE0A" w14:textId="77777777" w:rsidTr="00AD3606">
        <w:trPr>
          <w:cantSplit/>
        </w:trPr>
        <w:tc>
          <w:tcPr>
            <w:tcW w:w="9214" w:type="dxa"/>
            <w:gridSpan w:val="2"/>
            <w:tcBorders>
              <w:top w:val="single" w:sz="4" w:space="0" w:color="auto"/>
              <w:bottom w:val="single" w:sz="4" w:space="0" w:color="auto"/>
            </w:tcBorders>
            <w:tcMar>
              <w:left w:w="0" w:type="dxa"/>
            </w:tcMar>
          </w:tcPr>
          <w:p w14:paraId="2DF1BF78" w14:textId="77777777" w:rsidR="004D648B" w:rsidRPr="004D648B" w:rsidRDefault="004D648B" w:rsidP="004D648B">
            <w:pPr>
              <w:spacing w:before="160"/>
              <w:rPr>
                <w:b/>
                <w:bCs/>
                <w:sz w:val="26"/>
                <w:szCs w:val="26"/>
              </w:rPr>
            </w:pPr>
            <w:r w:rsidRPr="004D648B">
              <w:rPr>
                <w:b/>
                <w:bCs/>
                <w:sz w:val="26"/>
                <w:szCs w:val="26"/>
              </w:rPr>
              <w:t>Purpose</w:t>
            </w:r>
          </w:p>
          <w:p w14:paraId="2E4B2B3F" w14:textId="77777777" w:rsidR="004D648B" w:rsidRPr="0053640F" w:rsidRDefault="0082723D" w:rsidP="004D648B">
            <w:pPr>
              <w:spacing w:before="160"/>
              <w:rPr>
                <w:szCs w:val="24"/>
              </w:rPr>
            </w:pPr>
            <w:r>
              <w:rPr>
                <w:szCs w:val="24"/>
              </w:rPr>
              <w:t xml:space="preserve">To </w:t>
            </w:r>
            <w:r w:rsidR="000F2144">
              <w:rPr>
                <w:szCs w:val="24"/>
              </w:rPr>
              <w:t xml:space="preserve">revisit the </w:t>
            </w:r>
            <w:r w:rsidR="009A4ED2">
              <w:rPr>
                <w:szCs w:val="24"/>
              </w:rPr>
              <w:t>propos</w:t>
            </w:r>
            <w:r w:rsidR="000F2144">
              <w:rPr>
                <w:szCs w:val="24"/>
              </w:rPr>
              <w:t>al</w:t>
            </w:r>
            <w:r w:rsidR="009A4ED2">
              <w:rPr>
                <w:szCs w:val="24"/>
              </w:rPr>
              <w:t xml:space="preserve"> to liaise with the World Trade Organization regarding possible overlapping work</w:t>
            </w:r>
            <w:r>
              <w:rPr>
                <w:szCs w:val="24"/>
              </w:rPr>
              <w:t>.</w:t>
            </w:r>
            <w:r w:rsidR="007B08D6">
              <w:rPr>
                <w:szCs w:val="24"/>
              </w:rPr>
              <w:t xml:space="preserve"> </w:t>
            </w:r>
          </w:p>
          <w:p w14:paraId="14C6EE43" w14:textId="77777777" w:rsidR="004D648B" w:rsidRPr="004D648B" w:rsidRDefault="004D648B" w:rsidP="004D648B">
            <w:pPr>
              <w:spacing w:before="160"/>
              <w:rPr>
                <w:b/>
                <w:bCs/>
                <w:sz w:val="26"/>
                <w:szCs w:val="26"/>
              </w:rPr>
            </w:pPr>
            <w:r w:rsidRPr="004D648B">
              <w:rPr>
                <w:b/>
                <w:bCs/>
                <w:sz w:val="26"/>
                <w:szCs w:val="26"/>
              </w:rPr>
              <w:t>Action required</w:t>
            </w:r>
          </w:p>
          <w:p w14:paraId="2EAF3E6B" w14:textId="77777777" w:rsidR="003A5D2D" w:rsidRDefault="003A5D2D" w:rsidP="003A5D2D">
            <w:pPr>
              <w:spacing w:before="160"/>
              <w:rPr>
                <w:b/>
                <w:bCs/>
                <w:szCs w:val="24"/>
              </w:rPr>
            </w:pPr>
            <w:r w:rsidRPr="007F4147">
              <w:t>Th</w:t>
            </w:r>
            <w:r>
              <w:t xml:space="preserve">e Expert Group on the International Telecommunication Regulations is invited to </w:t>
            </w:r>
            <w:r w:rsidRPr="004C5070">
              <w:rPr>
                <w:b/>
              </w:rPr>
              <w:t>consider</w:t>
            </w:r>
            <w:r w:rsidRPr="007F4147">
              <w:t xml:space="preserve"> </w:t>
            </w:r>
            <w:r>
              <w:t>this document.</w:t>
            </w:r>
          </w:p>
          <w:p w14:paraId="13FA684D" w14:textId="35D7AD4B" w:rsidR="00AD3606" w:rsidRDefault="004D648B" w:rsidP="004D648B">
            <w:pPr>
              <w:spacing w:before="160"/>
              <w:rPr>
                <w:b/>
                <w:bCs/>
                <w:sz w:val="26"/>
                <w:szCs w:val="26"/>
              </w:rPr>
            </w:pPr>
            <w:r w:rsidRPr="004D648B">
              <w:rPr>
                <w:b/>
                <w:bCs/>
                <w:sz w:val="26"/>
                <w:szCs w:val="26"/>
              </w:rPr>
              <w:t>Reference</w:t>
            </w:r>
            <w:r w:rsidR="003A5D2D">
              <w:rPr>
                <w:b/>
                <w:bCs/>
                <w:sz w:val="26"/>
                <w:szCs w:val="26"/>
              </w:rPr>
              <w:t>s</w:t>
            </w:r>
          </w:p>
          <w:p w14:paraId="08801081" w14:textId="77777777" w:rsidR="001648F9" w:rsidRPr="00786EA1" w:rsidRDefault="0082723D" w:rsidP="00786EA1">
            <w:pPr>
              <w:rPr>
                <w:rFonts w:asciiTheme="minorHAnsi" w:hAnsiTheme="minorHAnsi" w:cstheme="minorHAnsi"/>
                <w:i/>
                <w:iCs/>
                <w:sz w:val="22"/>
                <w:szCs w:val="22"/>
              </w:rPr>
            </w:pPr>
            <w:r w:rsidRPr="00786EA1">
              <w:rPr>
                <w:rFonts w:asciiTheme="minorHAnsi" w:hAnsiTheme="minorHAnsi" w:cstheme="minorHAnsi"/>
                <w:i/>
                <w:iCs/>
                <w:sz w:val="22"/>
                <w:szCs w:val="22"/>
              </w:rPr>
              <w:t xml:space="preserve">Council </w:t>
            </w:r>
            <w:hyperlink r:id="rId8" w:history="1">
              <w:r w:rsidRPr="00786EA1">
                <w:rPr>
                  <w:rStyle w:val="Hyperlink"/>
                  <w:rFonts w:asciiTheme="minorHAnsi" w:hAnsiTheme="minorHAnsi" w:cstheme="minorHAnsi"/>
                  <w:i/>
                  <w:iCs/>
                  <w:sz w:val="22"/>
                  <w:szCs w:val="22"/>
                </w:rPr>
                <w:t>Resolution 1379</w:t>
              </w:r>
            </w:hyperlink>
            <w:r w:rsidRPr="00786EA1">
              <w:rPr>
                <w:rFonts w:asciiTheme="minorHAnsi" w:hAnsiTheme="minorHAnsi" w:cstheme="minorHAnsi"/>
                <w:i/>
                <w:iCs/>
                <w:sz w:val="22"/>
                <w:szCs w:val="22"/>
              </w:rPr>
              <w:t xml:space="preserve"> (Terms of Reference)</w:t>
            </w:r>
            <w:r w:rsidR="001648F9" w:rsidRPr="00786EA1">
              <w:rPr>
                <w:rFonts w:asciiTheme="minorHAnsi" w:hAnsiTheme="minorHAnsi" w:cstheme="minorHAnsi"/>
                <w:i/>
                <w:iCs/>
                <w:sz w:val="22"/>
                <w:szCs w:val="22"/>
              </w:rPr>
              <w:t xml:space="preserve"> </w:t>
            </w:r>
          </w:p>
          <w:p w14:paraId="3405DB60" w14:textId="77777777" w:rsidR="00112DDE" w:rsidRDefault="00786EA1" w:rsidP="00D14787">
            <w:pPr>
              <w:spacing w:after="160"/>
            </w:pPr>
            <w:hyperlink r:id="rId9" w:history="1">
              <w:r w:rsidR="009259A8" w:rsidRPr="00786EA1">
                <w:rPr>
                  <w:rStyle w:val="Hyperlink"/>
                  <w:i/>
                  <w:iCs/>
                  <w:sz w:val="22"/>
                  <w:szCs w:val="22"/>
                </w:rPr>
                <w:t>EG-ITRs-1/2</w:t>
              </w:r>
            </w:hyperlink>
            <w:r w:rsidR="009259A8" w:rsidRPr="00786EA1">
              <w:rPr>
                <w:i/>
                <w:iCs/>
                <w:sz w:val="22"/>
                <w:szCs w:val="22"/>
              </w:rPr>
              <w:t>;</w:t>
            </w:r>
            <w:hyperlink r:id="rId10" w:history="1">
              <w:r w:rsidR="00812D85" w:rsidRPr="00786EA1">
                <w:rPr>
                  <w:rStyle w:val="Hyperlink"/>
                  <w:rFonts w:asciiTheme="minorHAnsi" w:hAnsiTheme="minorHAnsi" w:cstheme="minorHAnsi"/>
                  <w:i/>
                  <w:iCs/>
                  <w:sz w:val="22"/>
                  <w:szCs w:val="22"/>
                </w:rPr>
                <w:t xml:space="preserve"> EG-ITRs-2/4</w:t>
              </w:r>
            </w:hyperlink>
            <w:r w:rsidR="00761F81" w:rsidRPr="00786EA1">
              <w:rPr>
                <w:i/>
                <w:iCs/>
                <w:sz w:val="22"/>
                <w:szCs w:val="22"/>
              </w:rPr>
              <w:t xml:space="preserve">; </w:t>
            </w:r>
            <w:hyperlink r:id="rId11" w:history="1">
              <w:r w:rsidR="00761F81" w:rsidRPr="00786EA1">
                <w:rPr>
                  <w:rStyle w:val="Hyperlink"/>
                  <w:i/>
                  <w:iCs/>
                  <w:sz w:val="22"/>
                  <w:szCs w:val="22"/>
                </w:rPr>
                <w:t>EG-ITRs-2/21</w:t>
              </w:r>
            </w:hyperlink>
          </w:p>
        </w:tc>
      </w:tr>
    </w:tbl>
    <w:p w14:paraId="0D3064C2" w14:textId="77777777" w:rsidR="00E227F3" w:rsidRPr="0053640F"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4961D7A" w14:textId="77777777" w:rsidR="0090147A" w:rsidRPr="0053640F"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53640F">
        <w:br w:type="page"/>
      </w:r>
    </w:p>
    <w:bookmarkEnd w:id="5"/>
    <w:bookmarkEnd w:id="10"/>
    <w:p w14:paraId="5DF5913C" w14:textId="77777777" w:rsidR="009259A8" w:rsidRPr="009259A8" w:rsidRDefault="009259A8" w:rsidP="00E84E4D">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rPr>
      </w:pPr>
      <w:r>
        <w:rPr>
          <w:rFonts w:asciiTheme="minorHAnsi" w:hAnsiTheme="minorHAnsi" w:cstheme="minorHAnsi"/>
        </w:rPr>
        <w:lastRenderedPageBreak/>
        <w:t xml:space="preserve">This contribution is a revised version of </w:t>
      </w:r>
      <w:hyperlink r:id="rId12" w:history="1">
        <w:r w:rsidR="00761F81" w:rsidRPr="00761F81">
          <w:rPr>
            <w:rStyle w:val="Hyperlink"/>
            <w:rFonts w:asciiTheme="minorHAnsi" w:hAnsiTheme="minorHAnsi" w:cstheme="minorHAnsi"/>
          </w:rPr>
          <w:t>EG-ITRs-2/4</w:t>
        </w:r>
      </w:hyperlink>
      <w:r>
        <w:rPr>
          <w:rFonts w:asciiTheme="minorHAnsi" w:hAnsiTheme="minorHAnsi" w:cstheme="minorHAnsi"/>
        </w:rPr>
        <w:t>, which takes into account the outcome of the discussions that took place at the 26 February-2 March 2024 13</w:t>
      </w:r>
      <w:r w:rsidRPr="00812D85">
        <w:rPr>
          <w:rFonts w:asciiTheme="minorHAnsi" w:hAnsiTheme="minorHAnsi" w:cstheme="minorHAnsi"/>
          <w:vertAlign w:val="superscript"/>
        </w:rPr>
        <w:t>th</w:t>
      </w:r>
      <w:r>
        <w:rPr>
          <w:rFonts w:asciiTheme="minorHAnsi" w:hAnsiTheme="minorHAnsi" w:cstheme="minorHAnsi"/>
        </w:rPr>
        <w:t xml:space="preserve"> WTO Ministerial Conference</w:t>
      </w:r>
      <w:r w:rsidR="00E84E4D">
        <w:rPr>
          <w:rFonts w:asciiTheme="minorHAnsi" w:hAnsiTheme="minorHAnsi" w:cstheme="minorHAnsi"/>
        </w:rPr>
        <w:t>.</w:t>
      </w:r>
    </w:p>
    <w:p w14:paraId="30D18250" w14:textId="5E9BFB51" w:rsidR="003A5D2D" w:rsidRPr="004D648B" w:rsidRDefault="003A5D2D" w:rsidP="003A5D2D">
      <w:pPr>
        <w:spacing w:before="160"/>
        <w:rPr>
          <w:b/>
          <w:bCs/>
          <w:sz w:val="26"/>
          <w:szCs w:val="26"/>
        </w:rPr>
      </w:pPr>
      <w:r>
        <w:rPr>
          <w:b/>
          <w:bCs/>
          <w:sz w:val="26"/>
          <w:szCs w:val="26"/>
        </w:rPr>
        <w:t>Summary</w:t>
      </w:r>
    </w:p>
    <w:p w14:paraId="708116E5" w14:textId="77777777" w:rsidR="003A5D2D" w:rsidRPr="00B03613" w:rsidRDefault="003A5D2D" w:rsidP="003A5D2D">
      <w:pPr>
        <w:spacing w:before="160"/>
        <w:rPr>
          <w:bCs/>
          <w:szCs w:val="24"/>
        </w:rPr>
      </w:pPr>
      <w:r>
        <w:rPr>
          <w:rFonts w:asciiTheme="minorHAnsi" w:hAnsiTheme="minorHAnsi" w:cstheme="minorHAnsi"/>
        </w:rPr>
        <w:t>In light of discussions that took place at the 26 February-2 March 2024 13</w:t>
      </w:r>
      <w:r w:rsidRPr="00812D85">
        <w:rPr>
          <w:rFonts w:asciiTheme="minorHAnsi" w:hAnsiTheme="minorHAnsi" w:cstheme="minorHAnsi"/>
          <w:vertAlign w:val="superscript"/>
        </w:rPr>
        <w:t>th</w:t>
      </w:r>
      <w:r>
        <w:rPr>
          <w:rFonts w:asciiTheme="minorHAnsi" w:hAnsiTheme="minorHAnsi" w:cstheme="minorHAnsi"/>
        </w:rPr>
        <w:t xml:space="preserve"> WTO Ministerial Conference, this contribution proposes that – pursuant to the collaboration agreement between ITU and WTO – a liaison statement be sent to WTO inviting collaboration with respect to matters of common interest, in particular </w:t>
      </w:r>
      <w:r>
        <w:t>on technical and regulatory and development matters concerning telecommunications that have arisen in the context of discussions on binding treaty-level provisions that are taking place in the WTO Joint Statement Initiative on e-commerce, such as security and spam. The ITU’s technical and regulatory expertise could assist participants in WTO meeting to ensure that the actual language in WTO agreements is consistent with the intended goals of the agreements, and that the language does not have unintended side-effects (for example, of inadvertently permitting targeted advertising when the intent is to combat spam).</w:t>
      </w:r>
    </w:p>
    <w:p w14:paraId="2358353F" w14:textId="77777777" w:rsidR="003A5D2D" w:rsidRPr="003A5D2D" w:rsidRDefault="003A5D2D" w:rsidP="0053640F">
      <w:pPr>
        <w:tabs>
          <w:tab w:val="clear" w:pos="567"/>
          <w:tab w:val="clear" w:pos="1134"/>
          <w:tab w:val="clear" w:pos="1701"/>
          <w:tab w:val="clear" w:pos="2268"/>
          <w:tab w:val="clear" w:pos="2835"/>
        </w:tabs>
        <w:overflowPunct/>
        <w:autoSpaceDE/>
        <w:autoSpaceDN/>
        <w:adjustRightInd/>
        <w:textAlignment w:val="auto"/>
        <w:rPr>
          <w:b/>
          <w:sz w:val="26"/>
          <w:szCs w:val="26"/>
        </w:rPr>
      </w:pPr>
      <w:r w:rsidRPr="003A5D2D">
        <w:rPr>
          <w:b/>
          <w:sz w:val="26"/>
          <w:szCs w:val="26"/>
        </w:rPr>
        <w:t>Proposal</w:t>
      </w:r>
    </w:p>
    <w:p w14:paraId="09FF74A7" w14:textId="77777777" w:rsidR="0082723D" w:rsidRDefault="009259A8" w:rsidP="0053640F">
      <w:pPr>
        <w:tabs>
          <w:tab w:val="clear" w:pos="567"/>
          <w:tab w:val="clear" w:pos="1134"/>
          <w:tab w:val="clear" w:pos="1701"/>
          <w:tab w:val="clear" w:pos="2268"/>
          <w:tab w:val="clear" w:pos="2835"/>
        </w:tabs>
        <w:overflowPunct/>
        <w:autoSpaceDE/>
        <w:autoSpaceDN/>
        <w:adjustRightInd/>
        <w:textAlignment w:val="auto"/>
        <w:rPr>
          <w:rFonts w:cs="Calibri"/>
          <w:lang w:val="en-US"/>
        </w:rPr>
      </w:pPr>
      <w:r>
        <w:t xml:space="preserve">1. </w:t>
      </w:r>
      <w:r w:rsidR="00812D85">
        <w:t>As noted in 1-8 of</w:t>
      </w:r>
      <w:hyperlink r:id="rId13" w:history="1">
        <w:r w:rsidR="00E84E4D">
          <w:rPr>
            <w:rStyle w:val="Hyperlink"/>
            <w:rFonts w:asciiTheme="minorHAnsi" w:hAnsiTheme="minorHAnsi" w:cstheme="minorHAnsi"/>
            <w:szCs w:val="22"/>
          </w:rPr>
          <w:t xml:space="preserve"> EG-ITRs-2/4</w:t>
        </w:r>
      </w:hyperlink>
      <w:r w:rsidR="00812D85">
        <w:t xml:space="preserve">, it </w:t>
      </w:r>
      <w:r>
        <w:t>may be appropriate for ITU to liaise with the World Trade Organization (WTO) regarding wor</w:t>
      </w:r>
      <w:r w:rsidR="00E84E4D">
        <w:t>k</w:t>
      </w:r>
      <w:r>
        <w:t xml:space="preserve"> in certain areas of common interest</w:t>
      </w:r>
      <w:r w:rsidR="00FC3541" w:rsidRPr="00A73CD8">
        <w:rPr>
          <w:rFonts w:cs="Calibri"/>
          <w:lang w:val="en-US"/>
        </w:rPr>
        <w:t>.</w:t>
      </w:r>
    </w:p>
    <w:p w14:paraId="282AD814" w14:textId="77777777" w:rsidR="009A611D" w:rsidRDefault="00FC3541" w:rsidP="00112DDE">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t xml:space="preserve">2. </w:t>
      </w:r>
      <w:r w:rsidR="00112DDE">
        <w:rPr>
          <w:rFonts w:cs="Calibri"/>
          <w:lang w:val="en-US"/>
        </w:rPr>
        <w:t>As noted in 1.</w:t>
      </w:r>
      <w:r>
        <w:rPr>
          <w:rFonts w:cs="Calibri"/>
          <w:lang w:val="en-US"/>
        </w:rPr>
        <w:t>13-</w:t>
      </w:r>
      <w:r w:rsidR="00112DDE">
        <w:rPr>
          <w:rFonts w:cs="Calibri"/>
          <w:lang w:val="en-US"/>
        </w:rPr>
        <w:t>1.1</w:t>
      </w:r>
      <w:r>
        <w:rPr>
          <w:rFonts w:cs="Calibri"/>
          <w:lang w:val="en-US"/>
        </w:rPr>
        <w:t>8; 1.23-1.27; and 2.1-11.3</w:t>
      </w:r>
      <w:r w:rsidR="00112DDE">
        <w:rPr>
          <w:rFonts w:cs="Calibri"/>
          <w:lang w:val="en-US"/>
        </w:rPr>
        <w:t xml:space="preserve"> of </w:t>
      </w:r>
      <w:hyperlink r:id="rId14" w:history="1">
        <w:r w:rsidR="00D14787">
          <w:rPr>
            <w:rStyle w:val="Hyperlink"/>
            <w:rFonts w:cs="Calibri"/>
            <w:lang w:val="en-US"/>
          </w:rPr>
          <w:t>EG-ITRs-1/2</w:t>
        </w:r>
      </w:hyperlink>
      <w:r w:rsidR="00112DDE">
        <w:rPr>
          <w:rFonts w:cs="Calibri"/>
          <w:lang w:val="en-US"/>
        </w:rPr>
        <w:t xml:space="preserve">, </w:t>
      </w:r>
      <w:r w:rsidR="006C2CD7">
        <w:rPr>
          <w:rFonts w:cs="Calibri"/>
          <w:lang w:val="en-US"/>
        </w:rPr>
        <w:t>there</w:t>
      </w:r>
      <w:r>
        <w:rPr>
          <w:rFonts w:cs="Calibri"/>
          <w:lang w:val="en-US"/>
        </w:rPr>
        <w:t xml:space="preserve"> appear to be numerous </w:t>
      </w:r>
      <w:r w:rsidRPr="00FC3541">
        <w:rPr>
          <w:rFonts w:cs="Calibri"/>
          <w:lang w:val="en-US"/>
        </w:rPr>
        <w:t>overlaps between work carried out in the ITU and trade-related proposals regarding e-commerce and telecommunications are being proposed for discussion in the context of the World Trade Organization (WTO) work on e-commerce</w:t>
      </w:r>
      <w:r w:rsidR="009259A8">
        <w:rPr>
          <w:rFonts w:cs="Calibri"/>
          <w:lang w:val="en-US"/>
        </w:rPr>
        <w:t>.</w:t>
      </w:r>
    </w:p>
    <w:p w14:paraId="0EB02D98" w14:textId="77777777" w:rsidR="00761F81" w:rsidRDefault="00761F81" w:rsidP="00761F81">
      <w:pPr>
        <w:tabs>
          <w:tab w:val="clear" w:pos="567"/>
          <w:tab w:val="clear" w:pos="1134"/>
          <w:tab w:val="clear" w:pos="1701"/>
          <w:tab w:val="clear" w:pos="2268"/>
          <w:tab w:val="clear" w:pos="2835"/>
        </w:tabs>
        <w:overflowPunct/>
        <w:autoSpaceDE/>
        <w:autoSpaceDN/>
        <w:adjustRightInd/>
        <w:textAlignment w:val="auto"/>
      </w:pPr>
      <w:r>
        <w:t xml:space="preserve">3. Regarding </w:t>
      </w:r>
      <w:hyperlink r:id="rId15" w:history="1">
        <w:r w:rsidRPr="00761F81">
          <w:rPr>
            <w:rStyle w:val="Hyperlink"/>
          </w:rPr>
          <w:t>EG-ITRs-2/4</w:t>
        </w:r>
      </w:hyperlink>
      <w:r>
        <w:t xml:space="preserve">, the report of the previous meeting of the EG-ITRs (document </w:t>
      </w:r>
      <w:hyperlink r:id="rId16" w:history="1">
        <w:r w:rsidRPr="005440C7">
          <w:rPr>
            <w:rStyle w:val="Hyperlink"/>
          </w:rPr>
          <w:t>EG-ITRs-2/21</w:t>
        </w:r>
      </w:hyperlink>
      <w:r>
        <w:t>) states under 4.1.2: “</w:t>
      </w:r>
      <w:r w:rsidRPr="00761F81">
        <w:t>The contribution was noted. The Acting Chair proposed that no liaison statement would be sent to WTO for now, with the possibility to review this course of action later pending a release of a report by WTO on these discussions</w:t>
      </w:r>
      <w:r>
        <w:t>.”</w:t>
      </w:r>
    </w:p>
    <w:p w14:paraId="17D1C7C9" w14:textId="77777777" w:rsidR="00346962" w:rsidRDefault="00761F81" w:rsidP="00112DDE">
      <w:pP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rPr>
      </w:pPr>
      <w:r>
        <w:rPr>
          <w:rFonts w:cs="Calibri"/>
          <w:lang w:val="en-US"/>
        </w:rPr>
        <w:t>4</w:t>
      </w:r>
      <w:r w:rsidR="00346962">
        <w:rPr>
          <w:rFonts w:cs="Calibri"/>
          <w:lang w:val="en-US"/>
        </w:rPr>
        <w:t xml:space="preserve">. </w:t>
      </w:r>
      <w:r>
        <w:rPr>
          <w:rFonts w:cs="Calibri"/>
          <w:lang w:val="en-US"/>
        </w:rPr>
        <w:t>P</w:t>
      </w:r>
      <w:r w:rsidR="009259A8">
        <w:rPr>
          <w:rFonts w:cs="Calibri"/>
          <w:lang w:val="en-US"/>
        </w:rPr>
        <w:t>roposals for binding treaty-level texts regarding cybersecurity and spam were presented at the</w:t>
      </w:r>
      <w:r>
        <w:rPr>
          <w:rFonts w:cs="Calibri"/>
          <w:lang w:val="en-US"/>
        </w:rPr>
        <w:t xml:space="preserve"> </w:t>
      </w:r>
      <w:r w:rsidR="009259A8">
        <w:rPr>
          <w:rFonts w:asciiTheme="minorHAnsi" w:hAnsiTheme="minorHAnsi" w:cstheme="minorHAnsi"/>
        </w:rPr>
        <w:t>26 February-2 March 2024 13</w:t>
      </w:r>
      <w:r w:rsidR="009259A8" w:rsidRPr="00812D85">
        <w:rPr>
          <w:rFonts w:asciiTheme="minorHAnsi" w:hAnsiTheme="minorHAnsi" w:cstheme="minorHAnsi"/>
          <w:vertAlign w:val="superscript"/>
        </w:rPr>
        <w:t>th</w:t>
      </w:r>
      <w:r w:rsidR="009259A8">
        <w:rPr>
          <w:rFonts w:asciiTheme="minorHAnsi" w:hAnsiTheme="minorHAnsi" w:cstheme="minorHAnsi"/>
        </w:rPr>
        <w:t xml:space="preserve"> WTO Ministerial Conference</w:t>
      </w:r>
      <w:r w:rsidR="00E84E4D">
        <w:rPr>
          <w:rStyle w:val="FootnoteReference"/>
          <w:rFonts w:cstheme="minorHAnsi"/>
        </w:rPr>
        <w:footnoteReference w:id="1"/>
      </w:r>
      <w:r w:rsidR="009259A8">
        <w:rPr>
          <w:rFonts w:asciiTheme="minorHAnsi" w:hAnsiTheme="minorHAnsi" w:cstheme="minorHAnsi"/>
        </w:rPr>
        <w:t>.</w:t>
      </w:r>
    </w:p>
    <w:p w14:paraId="65EA19E6" w14:textId="77777777" w:rsidR="00E84E4D" w:rsidRDefault="00761F81" w:rsidP="00112DDE">
      <w:pPr>
        <w:tabs>
          <w:tab w:val="clear" w:pos="567"/>
          <w:tab w:val="clear" w:pos="1134"/>
          <w:tab w:val="clear" w:pos="1701"/>
          <w:tab w:val="clear" w:pos="2268"/>
          <w:tab w:val="clear" w:pos="2835"/>
        </w:tabs>
        <w:overflowPunct/>
        <w:autoSpaceDE/>
        <w:autoSpaceDN/>
        <w:adjustRightInd/>
        <w:textAlignment w:val="auto"/>
        <w:rPr>
          <w:rFonts w:asciiTheme="minorHAnsi" w:hAnsiTheme="minorHAnsi" w:cstheme="minorHAnsi"/>
        </w:rPr>
      </w:pPr>
      <w:r>
        <w:rPr>
          <w:rFonts w:asciiTheme="minorHAnsi" w:hAnsiTheme="minorHAnsi" w:cstheme="minorHAnsi"/>
        </w:rPr>
        <w:t>5</w:t>
      </w:r>
      <w:r w:rsidR="009259A8">
        <w:rPr>
          <w:rFonts w:asciiTheme="minorHAnsi" w:hAnsiTheme="minorHAnsi" w:cstheme="minorHAnsi"/>
        </w:rPr>
        <w:t xml:space="preserve">. Those proposals were not agreed, due to procedural issues, and because they were part of a broader package that was not agreed. </w:t>
      </w:r>
    </w:p>
    <w:p w14:paraId="60F06904" w14:textId="77777777" w:rsidR="009259A8" w:rsidRDefault="00761F81" w:rsidP="00112DDE">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asciiTheme="minorHAnsi" w:hAnsiTheme="minorHAnsi" w:cstheme="minorHAnsi"/>
        </w:rPr>
        <w:t>6</w:t>
      </w:r>
      <w:r w:rsidR="00E84E4D">
        <w:rPr>
          <w:rFonts w:asciiTheme="minorHAnsi" w:hAnsiTheme="minorHAnsi" w:cstheme="minorHAnsi"/>
        </w:rPr>
        <w:t xml:space="preserve">. </w:t>
      </w:r>
      <w:r w:rsidR="009259A8">
        <w:rPr>
          <w:rFonts w:asciiTheme="minorHAnsi" w:hAnsiTheme="minorHAnsi" w:cstheme="minorHAnsi"/>
        </w:rPr>
        <w:t>However, active discussions on the matter continue</w:t>
      </w:r>
      <w:r>
        <w:rPr>
          <w:rFonts w:asciiTheme="minorHAnsi" w:hAnsiTheme="minorHAnsi" w:cstheme="minorHAnsi"/>
        </w:rPr>
        <w:t>d</w:t>
      </w:r>
      <w:r w:rsidR="009259A8">
        <w:rPr>
          <w:rFonts w:asciiTheme="minorHAnsi" w:hAnsiTheme="minorHAnsi" w:cstheme="minorHAnsi"/>
        </w:rPr>
        <w:t xml:space="preserve"> in WTO</w:t>
      </w:r>
      <w:r w:rsidR="009259A8">
        <w:rPr>
          <w:rStyle w:val="FootnoteReference"/>
          <w:rFonts w:cstheme="minorHAnsi"/>
        </w:rPr>
        <w:footnoteReference w:id="2"/>
      </w:r>
      <w:r w:rsidR="009259A8">
        <w:rPr>
          <w:rFonts w:asciiTheme="minorHAnsi" w:hAnsiTheme="minorHAnsi" w:cstheme="minorHAnsi"/>
        </w:rPr>
        <w:t>.</w:t>
      </w:r>
    </w:p>
    <w:p w14:paraId="01F99DD7" w14:textId="77777777" w:rsidR="009224F5" w:rsidRDefault="00761F81" w:rsidP="009224F5">
      <w:pPr>
        <w:tabs>
          <w:tab w:val="clear" w:pos="567"/>
          <w:tab w:val="clear" w:pos="1134"/>
          <w:tab w:val="clear" w:pos="1701"/>
          <w:tab w:val="clear" w:pos="2268"/>
          <w:tab w:val="clear" w:pos="2835"/>
        </w:tabs>
        <w:overflowPunct/>
        <w:autoSpaceDE/>
        <w:autoSpaceDN/>
        <w:adjustRightInd/>
        <w:textAlignment w:val="auto"/>
      </w:pPr>
      <w:r>
        <w:rPr>
          <w:rFonts w:cs="Calibri"/>
          <w:lang w:val="en-US"/>
        </w:rPr>
        <w:t>7</w:t>
      </w:r>
      <w:r w:rsidR="009224F5">
        <w:rPr>
          <w:rFonts w:cs="Calibri"/>
          <w:lang w:val="en-US"/>
        </w:rPr>
        <w:t>. In light of the above, and in order to ensure cooperation in accordance with Article 1 of the Agreement between ITU and WTO, it is proposed that the Secretary-General send a liaison to WTO. A draft is proposed in the Annex to this contribution.</w:t>
      </w:r>
    </w:p>
    <w:p w14:paraId="6028FD59" w14:textId="77777777" w:rsidR="009224F5" w:rsidRDefault="009224F5">
      <w:pPr>
        <w:tabs>
          <w:tab w:val="clear" w:pos="567"/>
          <w:tab w:val="clear" w:pos="1134"/>
          <w:tab w:val="clear" w:pos="1701"/>
          <w:tab w:val="clear" w:pos="2268"/>
          <w:tab w:val="clear" w:pos="2835"/>
        </w:tabs>
        <w:overflowPunct/>
        <w:autoSpaceDE/>
        <w:autoSpaceDN/>
        <w:adjustRightInd/>
        <w:spacing w:before="0"/>
        <w:textAlignment w:val="auto"/>
      </w:pPr>
      <w:r>
        <w:br w:type="page"/>
      </w:r>
    </w:p>
    <w:p w14:paraId="1F8C1AAD" w14:textId="77777777" w:rsidR="009224F5" w:rsidRPr="009224F5" w:rsidRDefault="009224F5" w:rsidP="009224F5">
      <w:pPr>
        <w:tabs>
          <w:tab w:val="clear" w:pos="567"/>
          <w:tab w:val="clear" w:pos="1134"/>
          <w:tab w:val="clear" w:pos="1701"/>
          <w:tab w:val="clear" w:pos="2268"/>
          <w:tab w:val="clear" w:pos="2835"/>
        </w:tabs>
        <w:overflowPunct/>
        <w:autoSpaceDE/>
        <w:autoSpaceDN/>
        <w:adjustRightInd/>
        <w:jc w:val="center"/>
        <w:textAlignment w:val="auto"/>
        <w:rPr>
          <w:b/>
        </w:rPr>
      </w:pPr>
      <w:r w:rsidRPr="009224F5">
        <w:rPr>
          <w:b/>
        </w:rPr>
        <w:lastRenderedPageBreak/>
        <w:t xml:space="preserve">Annex </w:t>
      </w:r>
    </w:p>
    <w:p w14:paraId="5CE81312" w14:textId="77777777" w:rsidR="009224F5" w:rsidRDefault="009224F5" w:rsidP="00F32C97">
      <w:pPr>
        <w:tabs>
          <w:tab w:val="clear" w:pos="567"/>
          <w:tab w:val="clear" w:pos="1134"/>
          <w:tab w:val="clear" w:pos="1701"/>
          <w:tab w:val="clear" w:pos="2268"/>
          <w:tab w:val="clear" w:pos="2835"/>
        </w:tabs>
        <w:overflowPunct/>
        <w:autoSpaceDE/>
        <w:autoSpaceDN/>
        <w:adjustRightInd/>
        <w:textAlignment w:val="auto"/>
      </w:pPr>
      <w:r>
        <w:t>From: Secretary-General, ITU</w:t>
      </w:r>
    </w:p>
    <w:p w14:paraId="4E308A88" w14:textId="77777777" w:rsidR="009224F5" w:rsidRDefault="009224F5" w:rsidP="00F32C97">
      <w:pPr>
        <w:tabs>
          <w:tab w:val="clear" w:pos="567"/>
          <w:tab w:val="clear" w:pos="1134"/>
          <w:tab w:val="clear" w:pos="1701"/>
          <w:tab w:val="clear" w:pos="2268"/>
          <w:tab w:val="clear" w:pos="2835"/>
        </w:tabs>
        <w:overflowPunct/>
        <w:autoSpaceDE/>
        <w:autoSpaceDN/>
        <w:adjustRightInd/>
        <w:textAlignment w:val="auto"/>
      </w:pPr>
      <w:r>
        <w:t>To: Director-General, WTO</w:t>
      </w:r>
    </w:p>
    <w:p w14:paraId="373F59F3" w14:textId="77777777" w:rsidR="00F93094" w:rsidRDefault="00F93094" w:rsidP="00F32C97">
      <w:pPr>
        <w:tabs>
          <w:tab w:val="clear" w:pos="567"/>
          <w:tab w:val="clear" w:pos="1134"/>
          <w:tab w:val="clear" w:pos="1701"/>
          <w:tab w:val="clear" w:pos="2268"/>
          <w:tab w:val="clear" w:pos="2835"/>
        </w:tabs>
        <w:overflowPunct/>
        <w:autoSpaceDE/>
        <w:autoSpaceDN/>
        <w:adjustRightInd/>
        <w:textAlignment w:val="auto"/>
      </w:pPr>
      <w:r>
        <w:t>Subject: Collaboration between WTO and ITU</w:t>
      </w:r>
    </w:p>
    <w:p w14:paraId="146A9140" w14:textId="77777777" w:rsidR="009224F5" w:rsidRDefault="00FD1071" w:rsidP="00F32C97">
      <w:pPr>
        <w:tabs>
          <w:tab w:val="clear" w:pos="567"/>
          <w:tab w:val="clear" w:pos="1134"/>
          <w:tab w:val="clear" w:pos="1701"/>
          <w:tab w:val="clear" w:pos="2268"/>
          <w:tab w:val="clear" w:pos="2835"/>
        </w:tabs>
        <w:overflowPunct/>
        <w:autoSpaceDE/>
        <w:autoSpaceDN/>
        <w:adjustRightInd/>
        <w:textAlignment w:val="auto"/>
      </w:pPr>
      <w:r>
        <w:rPr>
          <w:rFonts w:cs="Calibri"/>
          <w:lang w:val="en-US"/>
        </w:rPr>
        <w:t>The GATS Annex on Telecommunications mandates, in its Article 6, collaboration between the World Trade Organization (WTO) and ITU</w:t>
      </w:r>
      <w:r>
        <w:rPr>
          <w:rStyle w:val="FootnoteReference"/>
          <w:rFonts w:cs="Calibri"/>
          <w:lang w:val="en-US"/>
        </w:rPr>
        <w:footnoteReference w:id="3"/>
      </w:r>
      <w:r>
        <w:rPr>
          <w:rFonts w:cs="Calibri"/>
          <w:lang w:val="en-US"/>
        </w:rPr>
        <w:t>. Pursuant to that mandate, the two organizations have concluded a collaboration agreement</w:t>
      </w:r>
      <w:r>
        <w:rPr>
          <w:rStyle w:val="FootnoteReference"/>
          <w:rFonts w:cs="Calibri"/>
          <w:lang w:val="en-US"/>
        </w:rPr>
        <w:footnoteReference w:id="4"/>
      </w:r>
      <w:r>
        <w:rPr>
          <w:rFonts w:cs="Calibri"/>
          <w:lang w:val="en-US"/>
        </w:rPr>
        <w:t xml:space="preserve">, pursuant to which </w:t>
      </w:r>
      <w:r>
        <w:t>the two organizations participate as observers in each others</w:t>
      </w:r>
      <w:r w:rsidR="008E2868">
        <w:t>’</w:t>
      </w:r>
      <w:r>
        <w:t xml:space="preserve"> meetings and collaborate at the staff level on such activities as research, publications, conferences and workshops.</w:t>
      </w:r>
    </w:p>
    <w:p w14:paraId="57531326" w14:textId="77777777" w:rsidR="00FD1071" w:rsidRDefault="00FD1071" w:rsidP="00F32C97">
      <w:pPr>
        <w:tabs>
          <w:tab w:val="clear" w:pos="567"/>
          <w:tab w:val="clear" w:pos="1134"/>
          <w:tab w:val="clear" w:pos="1701"/>
          <w:tab w:val="clear" w:pos="2268"/>
          <w:tab w:val="clear" w:pos="2835"/>
        </w:tabs>
        <w:overflowPunct/>
        <w:autoSpaceDE/>
        <w:autoSpaceDN/>
        <w:adjustRightInd/>
        <w:textAlignment w:val="auto"/>
      </w:pPr>
      <w:r>
        <w:t>The collaboration agreement provides in particular that the ITU and the WTO shall cooperate in the discharge of their respective mandates in accordance with the provisions of this Agreement; that the ITU and the WTO shall identify areas of common interest within their respective mandates; that the ITU Secretariat shall be invited as an Observer to meetings of relevant WTO bodies where that body considers that matters of common interest to both organizations will be under discussion; that the WTO Secretariat shall make available to the ITU Secretariat the agenda of WTO meetings if the agenda includes a telecommunications matter that may be of interest to the ITU.</w:t>
      </w:r>
    </w:p>
    <w:p w14:paraId="29127CE9" w14:textId="77777777" w:rsidR="00FD1071" w:rsidRDefault="00FD1071" w:rsidP="00F32C97">
      <w:pPr>
        <w:tabs>
          <w:tab w:val="clear" w:pos="567"/>
          <w:tab w:val="clear" w:pos="1134"/>
          <w:tab w:val="clear" w:pos="1701"/>
          <w:tab w:val="clear" w:pos="2268"/>
          <w:tab w:val="clear" w:pos="2835"/>
        </w:tabs>
        <w:overflowPunct/>
        <w:autoSpaceDE/>
        <w:autoSpaceDN/>
        <w:adjustRightInd/>
        <w:textAlignment w:val="auto"/>
        <w:rPr>
          <w:rFonts w:cs="Calibri"/>
          <w:lang w:val="en-US"/>
        </w:rPr>
      </w:pPr>
      <w:r>
        <w:t xml:space="preserve">It has been brought to the attention of ITU that </w:t>
      </w:r>
      <w:r>
        <w:rPr>
          <w:rFonts w:cs="Calibri"/>
          <w:lang w:val="en-US"/>
        </w:rPr>
        <w:t xml:space="preserve">there appear to be numerous </w:t>
      </w:r>
      <w:r w:rsidRPr="00FC3541">
        <w:rPr>
          <w:rFonts w:cs="Calibri"/>
          <w:lang w:val="en-US"/>
        </w:rPr>
        <w:t xml:space="preserve">overlaps between work carried out in the ITU and trade-related proposals regarding e-commerce and telecommunications </w:t>
      </w:r>
      <w:r w:rsidR="008E2868">
        <w:rPr>
          <w:rFonts w:cs="Calibri"/>
          <w:lang w:val="en-US"/>
        </w:rPr>
        <w:t xml:space="preserve">that </w:t>
      </w:r>
      <w:r w:rsidRPr="00FC3541">
        <w:rPr>
          <w:rFonts w:cs="Calibri"/>
          <w:lang w:val="en-US"/>
        </w:rPr>
        <w:t>are being proposed for discussion in the context of the WTO work on e-commerce</w:t>
      </w:r>
      <w:r>
        <w:rPr>
          <w:rFonts w:cs="Calibri"/>
          <w:lang w:val="en-US"/>
        </w:rPr>
        <w:t>, including in particular work on allocation and use of frequencies and numbers; access to infrastructure and interconnection; security; spam; open source software; universal service and net neutrality; regulatory body and licensing; recourse.</w:t>
      </w:r>
    </w:p>
    <w:p w14:paraId="454EC3E5" w14:textId="77777777" w:rsidR="00FD1071" w:rsidRDefault="008E2868" w:rsidP="00FD1071">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t>P</w:t>
      </w:r>
      <w:r w:rsidR="00FD1071">
        <w:t xml:space="preserve">ursuant to Annex of the Tunis Agenda, ITU is identified as a possible moderator/facilitator of the action lines </w:t>
      </w:r>
      <w:r w:rsidR="00FD1071">
        <w:rPr>
          <w:rFonts w:ascii="Verdana" w:hAnsi="Verdana"/>
          <w:sz w:val="20"/>
        </w:rPr>
        <w:t>С</w:t>
      </w:r>
      <w:r w:rsidR="00FD1071" w:rsidRPr="00FD1071">
        <w:rPr>
          <w:rFonts w:ascii="Verdana" w:hAnsi="Verdana"/>
          <w:sz w:val="20"/>
          <w:lang w:val="en-US"/>
        </w:rPr>
        <w:t xml:space="preserve">2. Information and communication infrastructure ; and C5. </w:t>
      </w:r>
      <w:r w:rsidR="00FD1071">
        <w:rPr>
          <w:rFonts w:ascii="Verdana" w:hAnsi="Verdana"/>
          <w:sz w:val="20"/>
        </w:rPr>
        <w:t xml:space="preserve">Building confidence and security in the use of ICTs. </w:t>
      </w:r>
      <w:r>
        <w:rPr>
          <w:rFonts w:ascii="Verdana" w:hAnsi="Verdana"/>
          <w:sz w:val="20"/>
        </w:rPr>
        <w:t>T</w:t>
      </w:r>
      <w:r w:rsidR="00FD1071">
        <w:t xml:space="preserve">here are numerous activities and studies in the ITU regarding those action lines, and also regarding </w:t>
      </w:r>
      <w:r w:rsidR="00FD1071">
        <w:rPr>
          <w:rFonts w:cs="Calibri"/>
          <w:lang w:val="en-US"/>
        </w:rPr>
        <w:t>allocation and use of frequencies and numbers; spam; universal service and net neutrality; regulatory body and licensing.</w:t>
      </w:r>
    </w:p>
    <w:p w14:paraId="79BE0C71" w14:textId="77777777" w:rsidR="00FD1071" w:rsidRDefault="00FD1071" w:rsidP="00F32C97">
      <w:pPr>
        <w:tabs>
          <w:tab w:val="clear" w:pos="567"/>
          <w:tab w:val="clear" w:pos="1134"/>
          <w:tab w:val="clear" w:pos="1701"/>
          <w:tab w:val="clear" w:pos="2268"/>
          <w:tab w:val="clear" w:pos="2835"/>
        </w:tabs>
        <w:overflowPunct/>
        <w:autoSpaceDE/>
        <w:autoSpaceDN/>
        <w:adjustRightInd/>
        <w:textAlignment w:val="auto"/>
      </w:pPr>
      <w:r>
        <w:rPr>
          <w:rFonts w:cs="Calibri"/>
          <w:lang w:val="en-US"/>
        </w:rPr>
        <w:t>Consequently, the ITU kindly requests that it be invited as an Observer to meetings of the WTO Joint Statement Initiative on e-commerce, and that the WTO Secretariat make available to the ITU Secretariat the agenda of those meetings, when they include a telecommunications matter that may be of interest to ITU, including in particular the matters referred to a</w:t>
      </w:r>
      <w:r w:rsidR="009A611D">
        <w:rPr>
          <w:rFonts w:cs="Calibri"/>
          <w:lang w:val="en-US"/>
        </w:rPr>
        <w:t xml:space="preserve">bove, and this in order to ensure that ITU’s expertise in </w:t>
      </w:r>
      <w:r w:rsidR="009A611D">
        <w:t>technical, regulatory and development matters concerning telecommunications is made available to participants in WTO meetings.</w:t>
      </w:r>
    </w:p>
    <w:p w14:paraId="0AF04C9B" w14:textId="77777777" w:rsidR="004E0D81" w:rsidRDefault="004E0D81" w:rsidP="00F32C97">
      <w:pPr>
        <w:tabs>
          <w:tab w:val="clear" w:pos="567"/>
          <w:tab w:val="clear" w:pos="1134"/>
          <w:tab w:val="clear" w:pos="1701"/>
          <w:tab w:val="clear" w:pos="2268"/>
          <w:tab w:val="clear" w:pos="2835"/>
        </w:tabs>
        <w:overflowPunct/>
        <w:autoSpaceDE/>
        <w:autoSpaceDN/>
        <w:adjustRightInd/>
        <w:textAlignment w:val="auto"/>
        <w:rPr>
          <w:rFonts w:cs="Calibri"/>
          <w:lang w:val="en-US"/>
        </w:rPr>
      </w:pPr>
      <w:r>
        <w:t>The ITU’s technical and regulatory expertise could assist participants in WTO meeting to ensure that the actual language in WTO agreements is consistent with the intended goals of the agreements, and that the language does not have unintended side-effects (for example, of inadvertently permitting targeted advertising when the intent is to combat spam).</w:t>
      </w:r>
    </w:p>
    <w:p w14:paraId="3FB78C08" w14:textId="77777777" w:rsidR="00FD1071" w:rsidRDefault="00FD1071" w:rsidP="00F32C97">
      <w:pPr>
        <w:tabs>
          <w:tab w:val="clear" w:pos="567"/>
          <w:tab w:val="clear" w:pos="1134"/>
          <w:tab w:val="clear" w:pos="1701"/>
          <w:tab w:val="clear" w:pos="2268"/>
          <w:tab w:val="clear" w:pos="2835"/>
        </w:tabs>
        <w:overflowPunct/>
        <w:autoSpaceDE/>
        <w:autoSpaceDN/>
        <w:adjustRightInd/>
        <w:textAlignment w:val="auto"/>
        <w:rPr>
          <w:rFonts w:cs="Calibri"/>
          <w:lang w:val="en-US"/>
        </w:rPr>
      </w:pPr>
      <w:r>
        <w:rPr>
          <w:rFonts w:cs="Calibri"/>
          <w:lang w:val="en-US"/>
        </w:rPr>
        <w:lastRenderedPageBreak/>
        <w:t xml:space="preserve">We would also invite you to consider whether it would be useful and appropriate to envisage mutual briefing sessions, in which the respective work of the two organizations regarding these matters could be presented </w:t>
      </w:r>
      <w:r w:rsidR="009A611D">
        <w:rPr>
          <w:rFonts w:cs="Calibri"/>
          <w:lang w:val="en-US"/>
        </w:rPr>
        <w:t xml:space="preserve">to their respective memberships, again in order to ensure that ITU’s expertise in </w:t>
      </w:r>
      <w:r w:rsidR="009A611D">
        <w:t>technical, regulatory and development matters concerning telecommunications is made available to participants in WTO meetings.</w:t>
      </w:r>
    </w:p>
    <w:p w14:paraId="7F83F1CF" w14:textId="77777777" w:rsidR="00FD1071" w:rsidRDefault="00FD1071" w:rsidP="00F32C97">
      <w:pPr>
        <w:tabs>
          <w:tab w:val="clear" w:pos="567"/>
          <w:tab w:val="clear" w:pos="1134"/>
          <w:tab w:val="clear" w:pos="1701"/>
          <w:tab w:val="clear" w:pos="2268"/>
          <w:tab w:val="clear" w:pos="2835"/>
        </w:tabs>
        <w:overflowPunct/>
        <w:autoSpaceDE/>
        <w:autoSpaceDN/>
        <w:adjustRightInd/>
        <w:textAlignment w:val="auto"/>
      </w:pPr>
      <w:r>
        <w:rPr>
          <w:rFonts w:cs="Calibri"/>
          <w:lang w:val="en-US"/>
        </w:rPr>
        <w:t xml:space="preserve">And </w:t>
      </w:r>
      <w:r w:rsidR="009A611D">
        <w:rPr>
          <w:rFonts w:cs="Calibri"/>
          <w:lang w:val="en-US"/>
        </w:rPr>
        <w:t xml:space="preserve">we would invite you to consider </w:t>
      </w:r>
      <w:r>
        <w:rPr>
          <w:rFonts w:cs="Calibri"/>
          <w:lang w:val="en-US"/>
        </w:rPr>
        <w:t xml:space="preserve">whether it would be useful and appropriate for WTO to transmit to ITU, for information and possible comment, drafts of texts on topics where ITU has specific technical expertise, such as </w:t>
      </w:r>
      <w:r w:rsidR="00F93094">
        <w:rPr>
          <w:rFonts w:cs="Calibri"/>
          <w:lang w:val="en-US"/>
        </w:rPr>
        <w:t>i</w:t>
      </w:r>
      <w:r w:rsidR="00F93094" w:rsidRPr="00FD1071">
        <w:rPr>
          <w:rFonts w:ascii="Verdana" w:hAnsi="Verdana"/>
          <w:sz w:val="20"/>
          <w:lang w:val="en-US"/>
        </w:rPr>
        <w:t>nformation and comm</w:t>
      </w:r>
      <w:r w:rsidR="00346962">
        <w:rPr>
          <w:rFonts w:ascii="Verdana" w:hAnsi="Verdana"/>
          <w:sz w:val="20"/>
          <w:lang w:val="en-US"/>
        </w:rPr>
        <w:t>unication infrastructure; building</w:t>
      </w:r>
      <w:r w:rsidR="00F93094">
        <w:rPr>
          <w:rFonts w:ascii="Verdana" w:hAnsi="Verdana"/>
          <w:sz w:val="20"/>
        </w:rPr>
        <w:t xml:space="preserve"> confidence and security in the use of ICTs;</w:t>
      </w:r>
      <w:r w:rsidR="00F93094">
        <w:rPr>
          <w:rFonts w:cs="Calibri"/>
          <w:lang w:val="en-US"/>
        </w:rPr>
        <w:t xml:space="preserve"> allocation and use of frequencies and numbers; spam; universal service and net neutrality; regulatory body</w:t>
      </w:r>
      <w:r w:rsidR="009A611D">
        <w:rPr>
          <w:rFonts w:cs="Calibri"/>
          <w:lang w:val="en-US"/>
        </w:rPr>
        <w:t>;</w:t>
      </w:r>
      <w:r w:rsidR="00F93094">
        <w:rPr>
          <w:rFonts w:cs="Calibri"/>
          <w:lang w:val="en-US"/>
        </w:rPr>
        <w:t xml:space="preserve"> and licensing.</w:t>
      </w:r>
    </w:p>
    <w:p w14:paraId="03E0896A" w14:textId="77777777" w:rsidR="0053640F" w:rsidRPr="0053640F" w:rsidRDefault="0053640F" w:rsidP="0053640F">
      <w:pPr>
        <w:pStyle w:val="ListParagraph"/>
        <w:tabs>
          <w:tab w:val="clear" w:pos="567"/>
          <w:tab w:val="clear" w:pos="1134"/>
          <w:tab w:val="clear" w:pos="1701"/>
          <w:tab w:val="clear" w:pos="2268"/>
          <w:tab w:val="clear" w:pos="2835"/>
        </w:tabs>
        <w:overflowPunct/>
        <w:autoSpaceDE/>
        <w:autoSpaceDN/>
        <w:adjustRightInd/>
        <w:spacing w:before="840"/>
        <w:contextualSpacing w:val="0"/>
        <w:jc w:val="center"/>
        <w:textAlignment w:val="auto"/>
        <w:rPr>
          <w:rFonts w:ascii="Times New Roman" w:hAnsi="Times New Roman"/>
          <w:lang w:val="en-US"/>
        </w:rPr>
      </w:pPr>
      <w:r>
        <w:rPr>
          <w:rFonts w:ascii="Times New Roman" w:hAnsi="Times New Roman"/>
          <w:lang w:val="en-US"/>
        </w:rPr>
        <w:t>_____________________</w:t>
      </w:r>
    </w:p>
    <w:sectPr w:rsidR="0053640F" w:rsidRPr="0053640F"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434AD" w14:textId="77777777" w:rsidR="00591E46" w:rsidRDefault="00591E46">
      <w:r>
        <w:separator/>
      </w:r>
    </w:p>
  </w:endnote>
  <w:endnote w:type="continuationSeparator" w:id="0">
    <w:p w14:paraId="1820B463" w14:textId="77777777" w:rsidR="00591E46" w:rsidRDefault="0059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CEEA893" w14:textId="77777777" w:rsidTr="0042469C">
      <w:trPr>
        <w:jc w:val="center"/>
      </w:trPr>
      <w:tc>
        <w:tcPr>
          <w:tcW w:w="1803" w:type="dxa"/>
          <w:vAlign w:val="center"/>
        </w:tcPr>
        <w:p w14:paraId="70A92FD2" w14:textId="3DC6EC36" w:rsidR="00EE49E8" w:rsidRDefault="00EE49E8" w:rsidP="00EE49E8">
          <w:pPr>
            <w:pStyle w:val="Header"/>
            <w:jc w:val="left"/>
            <w:rPr>
              <w:noProof/>
            </w:rPr>
          </w:pPr>
        </w:p>
      </w:tc>
      <w:tc>
        <w:tcPr>
          <w:tcW w:w="8261" w:type="dxa"/>
        </w:tcPr>
        <w:p w14:paraId="259C6C2C" w14:textId="77777777" w:rsidR="00EE49E8" w:rsidRPr="00E06FD5" w:rsidRDefault="00EE49E8" w:rsidP="00E84E4D">
          <w:pPr>
            <w:pStyle w:val="Header"/>
            <w:tabs>
              <w:tab w:val="left" w:pos="6163"/>
              <w:tab w:val="right" w:pos="8505"/>
              <w:tab w:val="right" w:pos="9639"/>
            </w:tabs>
            <w:jc w:val="left"/>
            <w:rPr>
              <w:rFonts w:ascii="Arial" w:hAnsi="Arial" w:cs="Arial"/>
              <w:b/>
              <w:bCs/>
              <w:szCs w:val="18"/>
            </w:rPr>
          </w:pPr>
          <w:r>
            <w:rPr>
              <w:bCs/>
            </w:rPr>
            <w:tab/>
          </w:r>
          <w:r w:rsidR="00A028B5">
            <w:rPr>
              <w:bCs/>
            </w:rPr>
            <w:t>EG-ITRs</w:t>
          </w:r>
          <w:r w:rsidR="00A52C84">
            <w:rPr>
              <w:bCs/>
            </w:rPr>
            <w:t>-</w:t>
          </w:r>
          <w:r w:rsidR="00E84E4D">
            <w:rPr>
              <w:bCs/>
            </w:rPr>
            <w:t>3</w:t>
          </w:r>
          <w:r w:rsidR="00A52C84" w:rsidRPr="00623AE3">
            <w:rPr>
              <w:bCs/>
            </w:rPr>
            <w:t>/</w:t>
          </w:r>
          <w:r w:rsidR="00E84E4D">
            <w:rPr>
              <w:bCs/>
            </w:rPr>
            <w:t>3</w:t>
          </w:r>
          <w:r>
            <w:rPr>
              <w:bCs/>
            </w:rPr>
            <w:tab/>
          </w:r>
          <w:r w:rsidR="00C56AB4">
            <w:fldChar w:fldCharType="begin"/>
          </w:r>
          <w:r>
            <w:instrText>PAGE</w:instrText>
          </w:r>
          <w:r w:rsidR="00C56AB4">
            <w:fldChar w:fldCharType="separate"/>
          </w:r>
          <w:r w:rsidR="003A5D2D">
            <w:rPr>
              <w:noProof/>
            </w:rPr>
            <w:t>2</w:t>
          </w:r>
          <w:r w:rsidR="00C56AB4">
            <w:rPr>
              <w:noProof/>
            </w:rPr>
            <w:fldChar w:fldCharType="end"/>
          </w:r>
        </w:p>
      </w:tc>
    </w:tr>
  </w:tbl>
  <w:p w14:paraId="6AC6126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7EA4DACC" w14:textId="77777777" w:rsidTr="00A52C84">
      <w:trPr>
        <w:jc w:val="center"/>
      </w:trPr>
      <w:tc>
        <w:tcPr>
          <w:tcW w:w="3107" w:type="dxa"/>
          <w:vAlign w:val="center"/>
        </w:tcPr>
        <w:p w14:paraId="3CF8CD33" w14:textId="77777777" w:rsidR="00EE49E8" w:rsidRDefault="00A52C84" w:rsidP="00EE49E8">
          <w:pPr>
            <w:pStyle w:val="Header"/>
            <w:jc w:val="left"/>
            <w:rPr>
              <w:noProof/>
            </w:rPr>
          </w:pPr>
          <w:r w:rsidRPr="00293B38">
            <w:rPr>
              <w:color w:val="0070C0"/>
            </w:rPr>
            <w:t>https://council.itu.int/working-groups</w:t>
          </w:r>
        </w:p>
      </w:tc>
      <w:tc>
        <w:tcPr>
          <w:tcW w:w="6957" w:type="dxa"/>
        </w:tcPr>
        <w:p w14:paraId="2FE4FC03" w14:textId="77777777" w:rsidR="00EE49E8" w:rsidRPr="00E06FD5" w:rsidRDefault="00EE49E8" w:rsidP="00E84E4D">
          <w:pPr>
            <w:pStyle w:val="Header"/>
            <w:tabs>
              <w:tab w:val="left" w:pos="4867"/>
              <w:tab w:val="right" w:pos="8505"/>
              <w:tab w:val="right" w:pos="9639"/>
            </w:tabs>
            <w:jc w:val="left"/>
            <w:rPr>
              <w:rFonts w:ascii="Arial" w:hAnsi="Arial" w:cs="Arial"/>
              <w:b/>
              <w:bCs/>
              <w:szCs w:val="18"/>
            </w:rPr>
          </w:pPr>
          <w:r>
            <w:rPr>
              <w:bCs/>
            </w:rPr>
            <w:tab/>
          </w:r>
          <w:r w:rsidR="00A028B5">
            <w:rPr>
              <w:bCs/>
            </w:rPr>
            <w:t>EG-ITRs</w:t>
          </w:r>
          <w:r w:rsidR="00A52C84">
            <w:rPr>
              <w:bCs/>
            </w:rPr>
            <w:t>-</w:t>
          </w:r>
          <w:r w:rsidR="00E84E4D">
            <w:rPr>
              <w:bCs/>
            </w:rPr>
            <w:t>3</w:t>
          </w:r>
          <w:r w:rsidRPr="00623AE3">
            <w:rPr>
              <w:bCs/>
            </w:rPr>
            <w:t>/</w:t>
          </w:r>
          <w:r w:rsidR="00E84E4D">
            <w:rPr>
              <w:bCs/>
            </w:rPr>
            <w:t>3</w:t>
          </w:r>
          <w:r>
            <w:rPr>
              <w:bCs/>
            </w:rPr>
            <w:tab/>
          </w:r>
          <w:r w:rsidR="00C56AB4">
            <w:fldChar w:fldCharType="begin"/>
          </w:r>
          <w:r>
            <w:instrText>PAGE</w:instrText>
          </w:r>
          <w:r w:rsidR="00C56AB4">
            <w:fldChar w:fldCharType="separate"/>
          </w:r>
          <w:r w:rsidR="003A5D2D">
            <w:rPr>
              <w:noProof/>
            </w:rPr>
            <w:t>1</w:t>
          </w:r>
          <w:r w:rsidR="00C56AB4">
            <w:rPr>
              <w:noProof/>
            </w:rPr>
            <w:fldChar w:fldCharType="end"/>
          </w:r>
        </w:p>
      </w:tc>
    </w:tr>
  </w:tbl>
  <w:p w14:paraId="156AD0E7"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7C7BD" w14:textId="77777777" w:rsidR="00591E46" w:rsidRDefault="00591E46">
      <w:r>
        <w:t>____________________</w:t>
      </w:r>
    </w:p>
  </w:footnote>
  <w:footnote w:type="continuationSeparator" w:id="0">
    <w:p w14:paraId="35DAA1B6" w14:textId="77777777" w:rsidR="00591E46" w:rsidRDefault="00591E46">
      <w:r>
        <w:continuationSeparator/>
      </w:r>
    </w:p>
  </w:footnote>
  <w:footnote w:id="1">
    <w:p w14:paraId="33AA35B2" w14:textId="2105424C" w:rsidR="00E84E4D" w:rsidRPr="00E84E4D" w:rsidRDefault="00E84E4D" w:rsidP="00E84E4D">
      <w:pPr>
        <w:pStyle w:val="FootnoteText"/>
        <w:rPr>
          <w:lang w:val="en-US"/>
        </w:rPr>
      </w:pPr>
      <w:r>
        <w:rPr>
          <w:rStyle w:val="FootnoteReference"/>
        </w:rPr>
        <w:footnoteRef/>
      </w:r>
      <w:r>
        <w:t xml:space="preserve"> </w:t>
      </w:r>
      <w:r w:rsidR="00786EA1">
        <w:tab/>
      </w:r>
      <w:r w:rsidRPr="00786EA1">
        <w:rPr>
          <w:sz w:val="20"/>
        </w:rPr>
        <w:t xml:space="preserve">WTO document INF/ECOM/85/Rev.1. The proponents include at least the 76 countries listed here: </w:t>
      </w:r>
      <w:hyperlink r:id="rId1" w:history="1">
        <w:r w:rsidRPr="00786EA1">
          <w:rPr>
            <w:rStyle w:val="Hyperlink"/>
            <w:sz w:val="20"/>
          </w:rPr>
          <w:t>https://www.wto.org/english/tratop_e/ecom_e/joint_statement_e.htm</w:t>
        </w:r>
      </w:hyperlink>
      <w:r w:rsidRPr="00786EA1">
        <w:rPr>
          <w:sz w:val="20"/>
        </w:rPr>
        <w:t xml:space="preserve"> </w:t>
      </w:r>
      <w:r w:rsidRPr="00786EA1">
        <w:rPr>
          <w:sz w:val="20"/>
        </w:rPr>
        <w:br/>
        <w:t xml:space="preserve">and likely the 86 listed here: </w:t>
      </w:r>
      <w:hyperlink r:id="rId2" w:history="1">
        <w:r w:rsidRPr="00786EA1">
          <w:rPr>
            <w:rStyle w:val="Hyperlink"/>
            <w:sz w:val="20"/>
          </w:rPr>
          <w:t>https://wtoplurilaterals.info/plural_initiative/e-commerce/</w:t>
        </w:r>
      </w:hyperlink>
      <w:r>
        <w:t xml:space="preserve"> </w:t>
      </w:r>
    </w:p>
  </w:footnote>
  <w:footnote w:id="2">
    <w:p w14:paraId="23DAC568" w14:textId="4F376A0B" w:rsidR="009259A8" w:rsidRPr="009259A8" w:rsidRDefault="009259A8">
      <w:pPr>
        <w:pStyle w:val="FootnoteText"/>
        <w:rPr>
          <w:lang w:val="en-US"/>
        </w:rPr>
      </w:pPr>
      <w:r>
        <w:rPr>
          <w:rStyle w:val="FootnoteReference"/>
        </w:rPr>
        <w:footnoteRef/>
      </w:r>
      <w:r>
        <w:t xml:space="preserve"> </w:t>
      </w:r>
      <w:r w:rsidR="00786EA1">
        <w:tab/>
      </w:r>
      <w:hyperlink r:id="rId3" w:history="1">
        <w:r w:rsidR="00786EA1" w:rsidRPr="006A0873">
          <w:rPr>
            <w:rStyle w:val="Hyperlink"/>
          </w:rPr>
          <w:t>https://www.wto.org/english/news_e/news24_e/ecom_14mar24_e.htm</w:t>
        </w:r>
      </w:hyperlink>
      <w:r>
        <w:t xml:space="preserve"> </w:t>
      </w:r>
      <w:r w:rsidR="00A317FD">
        <w:br/>
      </w:r>
      <w:hyperlink r:id="rId4" w:history="1">
        <w:r w:rsidR="00A317FD" w:rsidRPr="00BD0DA7">
          <w:rPr>
            <w:rStyle w:val="Hyperlink"/>
            <w:lang w:val="en-US"/>
          </w:rPr>
          <w:t>https://insidetrade.com/daily-news/new-wto-e-commerce-text-amendments-key-issues-one-article-gone</w:t>
        </w:r>
      </w:hyperlink>
      <w:r w:rsidR="00A317FD">
        <w:rPr>
          <w:lang w:val="en-US"/>
        </w:rPr>
        <w:t xml:space="preserve"> </w:t>
      </w:r>
    </w:p>
  </w:footnote>
  <w:footnote w:id="3">
    <w:p w14:paraId="1AD3F529" w14:textId="77777777" w:rsidR="00FD1071" w:rsidRPr="00EA0CE2" w:rsidRDefault="00FD1071" w:rsidP="00FD1071">
      <w:pPr>
        <w:pStyle w:val="FootnoteText"/>
        <w:rPr>
          <w:lang w:val="en-US"/>
        </w:rPr>
      </w:pPr>
      <w:r>
        <w:rPr>
          <w:rStyle w:val="FootnoteReference"/>
        </w:rPr>
        <w:footnoteRef/>
      </w:r>
      <w:r>
        <w:t xml:space="preserve"> </w:t>
      </w:r>
      <w:hyperlink r:id="rId5" w:history="1">
        <w:r w:rsidRPr="00786EA1">
          <w:rPr>
            <w:rStyle w:val="Hyperlink"/>
            <w:sz w:val="20"/>
          </w:rPr>
          <w:t>https://www.wto.org/english/thewto_e/coher_e/wto_itu_e.htm</w:t>
        </w:r>
      </w:hyperlink>
      <w:r>
        <w:t xml:space="preserve"> </w:t>
      </w:r>
    </w:p>
  </w:footnote>
  <w:footnote w:id="4">
    <w:p w14:paraId="5070D938" w14:textId="77777777" w:rsidR="00FD1071" w:rsidRPr="00EA0CE2" w:rsidRDefault="00FD1071" w:rsidP="00786EA1">
      <w:pPr>
        <w:pStyle w:val="FootnoteText"/>
        <w:spacing w:before="0"/>
        <w:rPr>
          <w:lang w:val="en-US"/>
        </w:rPr>
      </w:pPr>
      <w:r>
        <w:rPr>
          <w:rStyle w:val="FootnoteReference"/>
        </w:rPr>
        <w:footnoteRef/>
      </w:r>
      <w:r>
        <w:t xml:space="preserve"> </w:t>
      </w:r>
      <w:hyperlink r:id="rId6" w:history="1">
        <w:r w:rsidRPr="00786EA1">
          <w:rPr>
            <w:rStyle w:val="Hyperlink"/>
            <w:sz w:val="20"/>
          </w:rPr>
          <w:t>https://docs.wto.org/dol2fe/Pages/SS/directdoc.aspx?filename=q:/S/C/11.pdf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77B7E7AD" w14:textId="77777777" w:rsidTr="00F74694">
      <w:trPr>
        <w:trHeight w:val="1304"/>
        <w:jc w:val="center"/>
      </w:trPr>
      <w:tc>
        <w:tcPr>
          <w:tcW w:w="6546" w:type="dxa"/>
        </w:tcPr>
        <w:p w14:paraId="00AE8A9B" w14:textId="4D65A0D5" w:rsidR="00AD3606" w:rsidRPr="009621F8" w:rsidRDefault="00786EA1" w:rsidP="00130599">
          <w:pPr>
            <w:pStyle w:val="Header"/>
            <w:jc w:val="left"/>
            <w:rPr>
              <w:rFonts w:ascii="Arial" w:hAnsi="Arial" w:cs="Arial"/>
              <w:b/>
              <w:bCs/>
              <w:color w:val="009CD6"/>
              <w:sz w:val="36"/>
              <w:szCs w:val="36"/>
            </w:rPr>
          </w:pPr>
          <w:bookmarkStart w:id="11" w:name="_Hlk133422111"/>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50EC9D1E" wp14:editId="33B54D5C">
                    <wp:simplePos x="0" y="0"/>
                    <wp:positionH relativeFrom="column">
                      <wp:posOffset>570230</wp:posOffset>
                    </wp:positionH>
                    <wp:positionV relativeFrom="paragraph">
                      <wp:posOffset>63500</wp:posOffset>
                    </wp:positionV>
                    <wp:extent cx="1652905" cy="541020"/>
                    <wp:effectExtent l="0" t="0" r="0" b="0"/>
                    <wp:wrapNone/>
                    <wp:docPr id="9650486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5" cy="5410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CD3FD" id="Rectangle 3"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" fillcolor="white [3212]" stroked="f" strokeweight="2pt"/>
                </w:pict>
              </mc:Fallback>
            </mc:AlternateContent>
          </w:r>
          <w:r w:rsidR="00AD3606">
            <w:rPr>
              <w:noProof/>
              <w:lang w:val="en-US"/>
            </w:rPr>
            <w:drawing>
              <wp:inline distT="0" distB="0" distL="0" distR="0" wp14:anchorId="20546A35" wp14:editId="617B32B7">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43081900" w14:textId="77777777" w:rsidR="00AD3606" w:rsidRDefault="00AD3606" w:rsidP="00AD3606">
          <w:pPr>
            <w:pStyle w:val="Header"/>
            <w:jc w:val="right"/>
            <w:rPr>
              <w:rFonts w:ascii="Arial" w:hAnsi="Arial" w:cs="Arial"/>
              <w:b/>
              <w:bCs/>
              <w:color w:val="009CD6"/>
              <w:szCs w:val="18"/>
            </w:rPr>
          </w:pPr>
        </w:p>
        <w:p w14:paraId="28B3F3CA" w14:textId="77777777" w:rsidR="00AD3606" w:rsidRDefault="00AD3606" w:rsidP="00AD3606">
          <w:pPr>
            <w:pStyle w:val="Header"/>
            <w:jc w:val="right"/>
            <w:rPr>
              <w:rFonts w:ascii="Arial" w:hAnsi="Arial" w:cs="Arial"/>
              <w:b/>
              <w:bCs/>
              <w:color w:val="009CD6"/>
              <w:szCs w:val="18"/>
            </w:rPr>
          </w:pPr>
        </w:p>
        <w:p w14:paraId="1A9C42B5"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653FD474" w14:textId="50ADAE79" w:rsidR="00AD3606" w:rsidRDefault="00786EA1">
    <w:pPr>
      <w:pStyle w:val="Header"/>
    </w:pPr>
    <w:r>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E5590EA" wp14:editId="19D30D30">
              <wp:simplePos x="0" y="0"/>
              <wp:positionH relativeFrom="page">
                <wp:posOffset>14605</wp:posOffset>
              </wp:positionH>
              <wp:positionV relativeFrom="topMargin">
                <wp:posOffset>555625</wp:posOffset>
              </wp:positionV>
              <wp:extent cx="93345" cy="431800"/>
              <wp:effectExtent l="0" t="0" r="0" b="0"/>
              <wp:wrapNone/>
              <wp:docPr id="6383195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589A4" id="Rectangle 2"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3A53334" wp14:editId="6259B6DE">
              <wp:simplePos x="0" y="0"/>
              <wp:positionH relativeFrom="column">
                <wp:posOffset>306705</wp:posOffset>
              </wp:positionH>
              <wp:positionV relativeFrom="paragraph">
                <wp:posOffset>-835660</wp:posOffset>
              </wp:positionV>
              <wp:extent cx="3999230" cy="618490"/>
              <wp:effectExtent l="0" t="0" r="0" b="0"/>
              <wp:wrapNone/>
              <wp:docPr id="18479365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618490"/>
                      </a:xfrm>
                      <a:prstGeom prst="rect">
                        <a:avLst/>
                      </a:prstGeom>
                      <a:noFill/>
                      <a:ln w="9525">
                        <a:noFill/>
                        <a:miter lim="800000"/>
                        <a:headEnd/>
                        <a:tailEnd/>
                      </a:ln>
                    </wps:spPr>
                    <wps:txbx>
                      <w:txbxContent>
                        <w:p w14:paraId="7B3E87AE" w14:textId="77777777"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E84E4D">
                            <w:rPr>
                              <w:sz w:val="20"/>
                            </w:rPr>
                            <w:t>Third</w:t>
                          </w:r>
                          <w:r w:rsidR="00F92704">
                            <w:rPr>
                              <w:sz w:val="20"/>
                            </w:rPr>
                            <w:t xml:space="preserve"> meeting - </w:t>
                          </w:r>
                          <w:r w:rsidR="003A5D2D">
                            <w:rPr>
                              <w:sz w:val="20"/>
                            </w:rPr>
                            <w:t>From 30 September to 1 October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3A53334" id="_x0000_t202" coordsize="21600,21600" o:spt="202" path="m,l,21600r21600,l21600,xe">
              <v:stroke joinstyle="miter"/>
              <v:path gradientshapeok="t" o:connecttype="rect"/>
            </v:shapetype>
            <v:shape id="Text Box 1" o:spid="_x0000_s1026" type="#_x0000_t202" style="position:absolute;left:0;text-align:left;margin-left:24.15pt;margin-top:-65.8pt;width:314.9pt;height:4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" filled="f" stroked="f">
              <v:textbox style="mso-fit-shape-to-text:t">
                <w:txbxContent>
                  <w:p w14:paraId="7B3E87AE" w14:textId="77777777"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E84E4D">
                      <w:rPr>
                        <w:sz w:val="20"/>
                      </w:rPr>
                      <w:t>Third</w:t>
                    </w:r>
                    <w:r w:rsidR="00F92704">
                      <w:rPr>
                        <w:sz w:val="20"/>
                      </w:rPr>
                      <w:t xml:space="preserve"> meeting - </w:t>
                    </w:r>
                    <w:r w:rsidR="003A5D2D">
                      <w:rPr>
                        <w:sz w:val="20"/>
                      </w:rPr>
                      <w:t>From 30 September to 1 October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E37EB"/>
    <w:multiLevelType w:val="hybridMultilevel"/>
    <w:tmpl w:val="7556CF78"/>
    <w:lvl w:ilvl="0" w:tplc="B7FE09B8">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8100B"/>
    <w:multiLevelType w:val="hybridMultilevel"/>
    <w:tmpl w:val="7556CF78"/>
    <w:lvl w:ilvl="0" w:tplc="B7FE09B8">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C63B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1EB12C4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CEA4BB3"/>
    <w:multiLevelType w:val="hybridMultilevel"/>
    <w:tmpl w:val="D2221988"/>
    <w:lvl w:ilvl="0" w:tplc="B7FE09B8">
      <w:start w:val="1"/>
      <w:numFmt w:val="lowerLetter"/>
      <w:lvlText w:val="%1)"/>
      <w:lvlJc w:val="left"/>
      <w:pPr>
        <w:ind w:left="761" w:hanging="360"/>
      </w:pPr>
      <w:rPr>
        <w:rFonts w:ascii="Times New Roman" w:hAnsi="Times New Roman" w:hint="default"/>
        <w:sz w:val="24"/>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37A270DA"/>
    <w:multiLevelType w:val="hybridMultilevel"/>
    <w:tmpl w:val="D12AD46C"/>
    <w:lvl w:ilvl="0" w:tplc="4CBA0A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763511"/>
    <w:multiLevelType w:val="hybridMultilevel"/>
    <w:tmpl w:val="05E2F4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C10831"/>
    <w:multiLevelType w:val="hybridMultilevel"/>
    <w:tmpl w:val="E03E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B10E7A"/>
    <w:multiLevelType w:val="hybridMultilevel"/>
    <w:tmpl w:val="19CE7B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72258"/>
    <w:multiLevelType w:val="hybridMultilevel"/>
    <w:tmpl w:val="74F2E2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AEB01D9"/>
    <w:multiLevelType w:val="hybridMultilevel"/>
    <w:tmpl w:val="F43EA5AA"/>
    <w:lvl w:ilvl="0" w:tplc="B84E13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7409441">
    <w:abstractNumId w:val="0"/>
  </w:num>
  <w:num w:numId="2" w16cid:durableId="659384382">
    <w:abstractNumId w:val="10"/>
  </w:num>
  <w:num w:numId="3" w16cid:durableId="1362704390">
    <w:abstractNumId w:val="11"/>
  </w:num>
  <w:num w:numId="4" w16cid:durableId="557711727">
    <w:abstractNumId w:val="6"/>
  </w:num>
  <w:num w:numId="5" w16cid:durableId="1318682321">
    <w:abstractNumId w:val="7"/>
  </w:num>
  <w:num w:numId="6" w16cid:durableId="2033603015">
    <w:abstractNumId w:val="9"/>
  </w:num>
  <w:num w:numId="7" w16cid:durableId="1521040472">
    <w:abstractNumId w:val="4"/>
  </w:num>
  <w:num w:numId="8" w16cid:durableId="2053066856">
    <w:abstractNumId w:val="3"/>
  </w:num>
  <w:num w:numId="9" w16cid:durableId="1625187685">
    <w:abstractNumId w:val="2"/>
  </w:num>
  <w:num w:numId="10" w16cid:durableId="1761759477">
    <w:abstractNumId w:val="1"/>
  </w:num>
  <w:num w:numId="11" w16cid:durableId="1613856408">
    <w:abstractNumId w:val="8"/>
  </w:num>
  <w:num w:numId="12" w16cid:durableId="918565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8D3"/>
    <w:rsid w:val="000064E3"/>
    <w:rsid w:val="000210D4"/>
    <w:rsid w:val="000334F2"/>
    <w:rsid w:val="00063016"/>
    <w:rsid w:val="00066795"/>
    <w:rsid w:val="00076AF6"/>
    <w:rsid w:val="00085CF2"/>
    <w:rsid w:val="000B15D4"/>
    <w:rsid w:val="000B1705"/>
    <w:rsid w:val="000B2AAF"/>
    <w:rsid w:val="000D75B2"/>
    <w:rsid w:val="000E4EE7"/>
    <w:rsid w:val="000F2144"/>
    <w:rsid w:val="001121F5"/>
    <w:rsid w:val="00112DDE"/>
    <w:rsid w:val="00130599"/>
    <w:rsid w:val="001400DC"/>
    <w:rsid w:val="00140CE1"/>
    <w:rsid w:val="001560FA"/>
    <w:rsid w:val="001569E7"/>
    <w:rsid w:val="001648F9"/>
    <w:rsid w:val="001706DD"/>
    <w:rsid w:val="00170B8D"/>
    <w:rsid w:val="0017539C"/>
    <w:rsid w:val="00175AC2"/>
    <w:rsid w:val="0017609F"/>
    <w:rsid w:val="001A7D1D"/>
    <w:rsid w:val="001B2446"/>
    <w:rsid w:val="001B51DD"/>
    <w:rsid w:val="001C628E"/>
    <w:rsid w:val="001E0F7B"/>
    <w:rsid w:val="002119FD"/>
    <w:rsid w:val="002130E0"/>
    <w:rsid w:val="00244F7F"/>
    <w:rsid w:val="00257973"/>
    <w:rsid w:val="00264425"/>
    <w:rsid w:val="00265875"/>
    <w:rsid w:val="0027303B"/>
    <w:rsid w:val="00275CBF"/>
    <w:rsid w:val="0028109B"/>
    <w:rsid w:val="00291CBF"/>
    <w:rsid w:val="00293B38"/>
    <w:rsid w:val="00296C9E"/>
    <w:rsid w:val="002A2188"/>
    <w:rsid w:val="002A7B2C"/>
    <w:rsid w:val="002B1F58"/>
    <w:rsid w:val="002C1C7A"/>
    <w:rsid w:val="002C54E2"/>
    <w:rsid w:val="002F6AF6"/>
    <w:rsid w:val="002F7555"/>
    <w:rsid w:val="0030160F"/>
    <w:rsid w:val="00320223"/>
    <w:rsid w:val="00322D0D"/>
    <w:rsid w:val="003425F0"/>
    <w:rsid w:val="00346962"/>
    <w:rsid w:val="00361465"/>
    <w:rsid w:val="00385A85"/>
    <w:rsid w:val="003877F5"/>
    <w:rsid w:val="003942D4"/>
    <w:rsid w:val="003958A8"/>
    <w:rsid w:val="003A5D2D"/>
    <w:rsid w:val="003C063A"/>
    <w:rsid w:val="003C2533"/>
    <w:rsid w:val="003D5A7F"/>
    <w:rsid w:val="003D6854"/>
    <w:rsid w:val="003E5E6C"/>
    <w:rsid w:val="004016E2"/>
    <w:rsid w:val="00403B7F"/>
    <w:rsid w:val="0040435A"/>
    <w:rsid w:val="00405C77"/>
    <w:rsid w:val="00416A24"/>
    <w:rsid w:val="00431D9E"/>
    <w:rsid w:val="00433CE8"/>
    <w:rsid w:val="00434A5C"/>
    <w:rsid w:val="00445F52"/>
    <w:rsid w:val="004544D9"/>
    <w:rsid w:val="00455493"/>
    <w:rsid w:val="00467314"/>
    <w:rsid w:val="00472BAD"/>
    <w:rsid w:val="00484009"/>
    <w:rsid w:val="0048484B"/>
    <w:rsid w:val="00484FF9"/>
    <w:rsid w:val="00490E72"/>
    <w:rsid w:val="00491157"/>
    <w:rsid w:val="004921C8"/>
    <w:rsid w:val="00495B0B"/>
    <w:rsid w:val="004A1B8B"/>
    <w:rsid w:val="004A5564"/>
    <w:rsid w:val="004D1851"/>
    <w:rsid w:val="004D599D"/>
    <w:rsid w:val="004D648B"/>
    <w:rsid w:val="004E0D81"/>
    <w:rsid w:val="004E2EA5"/>
    <w:rsid w:val="004E31A8"/>
    <w:rsid w:val="004E3AEB"/>
    <w:rsid w:val="0050223C"/>
    <w:rsid w:val="00515924"/>
    <w:rsid w:val="0051705A"/>
    <w:rsid w:val="00520AC3"/>
    <w:rsid w:val="0052249C"/>
    <w:rsid w:val="005243FF"/>
    <w:rsid w:val="0053640F"/>
    <w:rsid w:val="00545D07"/>
    <w:rsid w:val="00564FBC"/>
    <w:rsid w:val="005800BC"/>
    <w:rsid w:val="005801BA"/>
    <w:rsid w:val="00582442"/>
    <w:rsid w:val="00591E46"/>
    <w:rsid w:val="005A335D"/>
    <w:rsid w:val="005B461F"/>
    <w:rsid w:val="005C3BE5"/>
    <w:rsid w:val="005D0B88"/>
    <w:rsid w:val="005E2BD5"/>
    <w:rsid w:val="005F3269"/>
    <w:rsid w:val="006035C0"/>
    <w:rsid w:val="00616C10"/>
    <w:rsid w:val="00623AE3"/>
    <w:rsid w:val="00630C76"/>
    <w:rsid w:val="00636853"/>
    <w:rsid w:val="0064737F"/>
    <w:rsid w:val="006535F1"/>
    <w:rsid w:val="0065557D"/>
    <w:rsid w:val="00660D50"/>
    <w:rsid w:val="00662984"/>
    <w:rsid w:val="006638C3"/>
    <w:rsid w:val="00664A2C"/>
    <w:rsid w:val="006716BB"/>
    <w:rsid w:val="006819A4"/>
    <w:rsid w:val="0069699A"/>
    <w:rsid w:val="006B1859"/>
    <w:rsid w:val="006B6680"/>
    <w:rsid w:val="006B6DCC"/>
    <w:rsid w:val="006C11BB"/>
    <w:rsid w:val="006C2CD7"/>
    <w:rsid w:val="00702DEF"/>
    <w:rsid w:val="00706861"/>
    <w:rsid w:val="00734FAC"/>
    <w:rsid w:val="00745D44"/>
    <w:rsid w:val="0075051B"/>
    <w:rsid w:val="00761F81"/>
    <w:rsid w:val="00775655"/>
    <w:rsid w:val="00777028"/>
    <w:rsid w:val="00786EA1"/>
    <w:rsid w:val="00793188"/>
    <w:rsid w:val="00794D34"/>
    <w:rsid w:val="00794DFC"/>
    <w:rsid w:val="007B08D6"/>
    <w:rsid w:val="007C01FB"/>
    <w:rsid w:val="007F268B"/>
    <w:rsid w:val="007F6EFC"/>
    <w:rsid w:val="0080358A"/>
    <w:rsid w:val="00812D85"/>
    <w:rsid w:val="00813E5E"/>
    <w:rsid w:val="008169FA"/>
    <w:rsid w:val="0082723D"/>
    <w:rsid w:val="0083581B"/>
    <w:rsid w:val="008428DC"/>
    <w:rsid w:val="00847E0C"/>
    <w:rsid w:val="00856DA7"/>
    <w:rsid w:val="00863874"/>
    <w:rsid w:val="00864283"/>
    <w:rsid w:val="00864AFF"/>
    <w:rsid w:val="00865925"/>
    <w:rsid w:val="0088630E"/>
    <w:rsid w:val="008976CD"/>
    <w:rsid w:val="008A3BA6"/>
    <w:rsid w:val="008B056B"/>
    <w:rsid w:val="008B4A6A"/>
    <w:rsid w:val="008B56F6"/>
    <w:rsid w:val="008C7E27"/>
    <w:rsid w:val="008D146D"/>
    <w:rsid w:val="008E2868"/>
    <w:rsid w:val="008F7448"/>
    <w:rsid w:val="0090147A"/>
    <w:rsid w:val="009173EF"/>
    <w:rsid w:val="009224F5"/>
    <w:rsid w:val="009259A8"/>
    <w:rsid w:val="00932906"/>
    <w:rsid w:val="00950BC7"/>
    <w:rsid w:val="00961B0B"/>
    <w:rsid w:val="00962D33"/>
    <w:rsid w:val="009A3498"/>
    <w:rsid w:val="009A4ED2"/>
    <w:rsid w:val="009A611D"/>
    <w:rsid w:val="009B38C3"/>
    <w:rsid w:val="009E17BD"/>
    <w:rsid w:val="009E485A"/>
    <w:rsid w:val="00A028B5"/>
    <w:rsid w:val="00A04CEC"/>
    <w:rsid w:val="00A21F8F"/>
    <w:rsid w:val="00A26802"/>
    <w:rsid w:val="00A27F92"/>
    <w:rsid w:val="00A317FD"/>
    <w:rsid w:val="00A32257"/>
    <w:rsid w:val="00A36D20"/>
    <w:rsid w:val="00A377D7"/>
    <w:rsid w:val="00A514A4"/>
    <w:rsid w:val="00A5271F"/>
    <w:rsid w:val="00A52C84"/>
    <w:rsid w:val="00A55622"/>
    <w:rsid w:val="00A73CD8"/>
    <w:rsid w:val="00A83502"/>
    <w:rsid w:val="00AC30A5"/>
    <w:rsid w:val="00AD15B3"/>
    <w:rsid w:val="00AD3606"/>
    <w:rsid w:val="00AD4A3D"/>
    <w:rsid w:val="00AF1EE7"/>
    <w:rsid w:val="00AF29E2"/>
    <w:rsid w:val="00AF6E49"/>
    <w:rsid w:val="00B04A67"/>
    <w:rsid w:val="00B0583C"/>
    <w:rsid w:val="00B40A81"/>
    <w:rsid w:val="00B4436B"/>
    <w:rsid w:val="00B44910"/>
    <w:rsid w:val="00B72267"/>
    <w:rsid w:val="00B76EB6"/>
    <w:rsid w:val="00B7737B"/>
    <w:rsid w:val="00B824C8"/>
    <w:rsid w:val="00B84B9D"/>
    <w:rsid w:val="00B90C7D"/>
    <w:rsid w:val="00BA344D"/>
    <w:rsid w:val="00BA5337"/>
    <w:rsid w:val="00BC251A"/>
    <w:rsid w:val="00BC3DED"/>
    <w:rsid w:val="00BD032B"/>
    <w:rsid w:val="00BD4122"/>
    <w:rsid w:val="00BE10C8"/>
    <w:rsid w:val="00BE2640"/>
    <w:rsid w:val="00BF0749"/>
    <w:rsid w:val="00BF7279"/>
    <w:rsid w:val="00C01189"/>
    <w:rsid w:val="00C258FB"/>
    <w:rsid w:val="00C33177"/>
    <w:rsid w:val="00C374DE"/>
    <w:rsid w:val="00C47AD4"/>
    <w:rsid w:val="00C52D81"/>
    <w:rsid w:val="00C55198"/>
    <w:rsid w:val="00C56AB4"/>
    <w:rsid w:val="00C67880"/>
    <w:rsid w:val="00CA6393"/>
    <w:rsid w:val="00CB18FF"/>
    <w:rsid w:val="00CB3D1D"/>
    <w:rsid w:val="00CC3D47"/>
    <w:rsid w:val="00CD0C08"/>
    <w:rsid w:val="00CD743D"/>
    <w:rsid w:val="00CE03FB"/>
    <w:rsid w:val="00CE433C"/>
    <w:rsid w:val="00CF0161"/>
    <w:rsid w:val="00CF33F3"/>
    <w:rsid w:val="00D06183"/>
    <w:rsid w:val="00D14787"/>
    <w:rsid w:val="00D22C42"/>
    <w:rsid w:val="00D464CC"/>
    <w:rsid w:val="00D65041"/>
    <w:rsid w:val="00DB00D5"/>
    <w:rsid w:val="00DB1936"/>
    <w:rsid w:val="00DB384B"/>
    <w:rsid w:val="00DE2C44"/>
    <w:rsid w:val="00DF0189"/>
    <w:rsid w:val="00E06FD5"/>
    <w:rsid w:val="00E10E80"/>
    <w:rsid w:val="00E124F0"/>
    <w:rsid w:val="00E15C3A"/>
    <w:rsid w:val="00E227F3"/>
    <w:rsid w:val="00E32C21"/>
    <w:rsid w:val="00E530D9"/>
    <w:rsid w:val="00E545C6"/>
    <w:rsid w:val="00E60F04"/>
    <w:rsid w:val="00E65B24"/>
    <w:rsid w:val="00E849FB"/>
    <w:rsid w:val="00E84E4D"/>
    <w:rsid w:val="00E854E4"/>
    <w:rsid w:val="00E86DBF"/>
    <w:rsid w:val="00EA0CE2"/>
    <w:rsid w:val="00EB0D6F"/>
    <w:rsid w:val="00EB2232"/>
    <w:rsid w:val="00EC5337"/>
    <w:rsid w:val="00ED398B"/>
    <w:rsid w:val="00EE49E8"/>
    <w:rsid w:val="00F16BAB"/>
    <w:rsid w:val="00F2150A"/>
    <w:rsid w:val="00F231D8"/>
    <w:rsid w:val="00F23745"/>
    <w:rsid w:val="00F23870"/>
    <w:rsid w:val="00F241E9"/>
    <w:rsid w:val="00F32C97"/>
    <w:rsid w:val="00F44C00"/>
    <w:rsid w:val="00F45D2C"/>
    <w:rsid w:val="00F46C5F"/>
    <w:rsid w:val="00F632C0"/>
    <w:rsid w:val="00F74694"/>
    <w:rsid w:val="00F92704"/>
    <w:rsid w:val="00F93094"/>
    <w:rsid w:val="00F94A63"/>
    <w:rsid w:val="00FA1C28"/>
    <w:rsid w:val="00FB1279"/>
    <w:rsid w:val="00FB6B76"/>
    <w:rsid w:val="00FB7596"/>
    <w:rsid w:val="00FC3541"/>
    <w:rsid w:val="00FD1071"/>
    <w:rsid w:val="00FE4077"/>
    <w:rsid w:val="00FE4B66"/>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3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styleId="ListParagraph">
    <w:name w:val="List Paragraph"/>
    <w:basedOn w:val="Normal"/>
    <w:uiPriority w:val="34"/>
    <w:qFormat/>
    <w:rsid w:val="003425F0"/>
    <w:pPr>
      <w:ind w:left="720"/>
      <w:contextualSpacing/>
    </w:pPr>
  </w:style>
  <w:style w:type="character" w:customStyle="1" w:styleId="UnresolvedMention1">
    <w:name w:val="Unresolved Mention1"/>
    <w:basedOn w:val="DefaultParagraphFont"/>
    <w:uiPriority w:val="99"/>
    <w:semiHidden/>
    <w:unhideWhenUsed/>
    <w:rsid w:val="0053640F"/>
    <w:rPr>
      <w:color w:val="605E5C"/>
      <w:shd w:val="clear" w:color="auto" w:fill="E1DFDD"/>
    </w:rPr>
  </w:style>
  <w:style w:type="paragraph" w:customStyle="1" w:styleId="Default">
    <w:name w:val="Default"/>
    <w:basedOn w:val="Normal"/>
    <w:rsid w:val="00F241E9"/>
    <w:pPr>
      <w:tabs>
        <w:tab w:val="clear" w:pos="567"/>
        <w:tab w:val="clear" w:pos="1134"/>
        <w:tab w:val="clear" w:pos="1701"/>
        <w:tab w:val="clear" w:pos="2268"/>
        <w:tab w:val="clear" w:pos="2835"/>
      </w:tabs>
      <w:overflowPunct/>
      <w:adjustRightInd/>
      <w:spacing w:before="0"/>
      <w:textAlignment w:val="auto"/>
    </w:pPr>
    <w:rPr>
      <w:rFonts w:eastAsiaTheme="minorHAnsi" w:cs="Calibri"/>
      <w:color w:val="000000"/>
      <w:szCs w:val="24"/>
      <w:lang w:val="en-US"/>
    </w:rPr>
  </w:style>
  <w:style w:type="paragraph" w:styleId="BalloonText">
    <w:name w:val="Balloon Text"/>
    <w:basedOn w:val="Normal"/>
    <w:link w:val="BalloonTextChar"/>
    <w:semiHidden/>
    <w:unhideWhenUsed/>
    <w:rsid w:val="003A5D2D"/>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3A5D2D"/>
    <w:rPr>
      <w:rFonts w:ascii="Tahoma" w:hAnsi="Tahoma" w:cs="Tahoma"/>
      <w:sz w:val="16"/>
      <w:szCs w:val="16"/>
      <w:lang w:val="en-GB" w:eastAsia="en-US"/>
    </w:rPr>
  </w:style>
  <w:style w:type="character" w:styleId="UnresolvedMention">
    <w:name w:val="Unresolved Mention"/>
    <w:basedOn w:val="DefaultParagraphFont"/>
    <w:uiPriority w:val="99"/>
    <w:semiHidden/>
    <w:unhideWhenUsed/>
    <w:rsid w:val="00786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61082">
      <w:bodyDiv w:val="1"/>
      <w:marLeft w:val="0"/>
      <w:marRight w:val="0"/>
      <w:marTop w:val="0"/>
      <w:marBottom w:val="0"/>
      <w:divBdr>
        <w:top w:val="none" w:sz="0" w:space="0" w:color="auto"/>
        <w:left w:val="none" w:sz="0" w:space="0" w:color="auto"/>
        <w:bottom w:val="none" w:sz="0" w:space="0" w:color="auto"/>
        <w:right w:val="none" w:sz="0" w:space="0" w:color="auto"/>
      </w:divBdr>
    </w:div>
    <w:div w:id="223954409">
      <w:bodyDiv w:val="1"/>
      <w:marLeft w:val="0"/>
      <w:marRight w:val="0"/>
      <w:marTop w:val="0"/>
      <w:marBottom w:val="0"/>
      <w:divBdr>
        <w:top w:val="none" w:sz="0" w:space="0" w:color="auto"/>
        <w:left w:val="none" w:sz="0" w:space="0" w:color="auto"/>
        <w:bottom w:val="none" w:sz="0" w:space="0" w:color="auto"/>
        <w:right w:val="none" w:sz="0" w:space="0" w:color="auto"/>
      </w:divBdr>
    </w:div>
    <w:div w:id="767889566">
      <w:bodyDiv w:val="1"/>
      <w:marLeft w:val="0"/>
      <w:marRight w:val="0"/>
      <w:marTop w:val="0"/>
      <w:marBottom w:val="0"/>
      <w:divBdr>
        <w:top w:val="none" w:sz="0" w:space="0" w:color="auto"/>
        <w:left w:val="none" w:sz="0" w:space="0" w:color="auto"/>
        <w:bottom w:val="none" w:sz="0" w:space="0" w:color="auto"/>
        <w:right w:val="none" w:sz="0" w:space="0" w:color="auto"/>
      </w:divBdr>
      <w:divsChild>
        <w:div w:id="2010908884">
          <w:marLeft w:val="0"/>
          <w:marRight w:val="0"/>
          <w:marTop w:val="0"/>
          <w:marBottom w:val="0"/>
          <w:divBdr>
            <w:top w:val="none" w:sz="0" w:space="0" w:color="auto"/>
            <w:left w:val="none" w:sz="0" w:space="0" w:color="auto"/>
            <w:bottom w:val="none" w:sz="0" w:space="0" w:color="auto"/>
            <w:right w:val="none" w:sz="0" w:space="0" w:color="auto"/>
          </w:divBdr>
        </w:div>
      </w:divsChild>
    </w:div>
    <w:div w:id="987516165">
      <w:bodyDiv w:val="1"/>
      <w:marLeft w:val="0"/>
      <w:marRight w:val="0"/>
      <w:marTop w:val="0"/>
      <w:marBottom w:val="0"/>
      <w:divBdr>
        <w:top w:val="none" w:sz="0" w:space="0" w:color="auto"/>
        <w:left w:val="none" w:sz="0" w:space="0" w:color="auto"/>
        <w:bottom w:val="none" w:sz="0" w:space="0" w:color="auto"/>
        <w:right w:val="none" w:sz="0" w:space="0" w:color="auto"/>
      </w:divBdr>
    </w:div>
    <w:div w:id="1238632204">
      <w:bodyDiv w:val="1"/>
      <w:marLeft w:val="0"/>
      <w:marRight w:val="0"/>
      <w:marTop w:val="0"/>
      <w:marBottom w:val="0"/>
      <w:divBdr>
        <w:top w:val="none" w:sz="0" w:space="0" w:color="auto"/>
        <w:left w:val="none" w:sz="0" w:space="0" w:color="auto"/>
        <w:bottom w:val="none" w:sz="0" w:space="0" w:color="auto"/>
        <w:right w:val="none" w:sz="0" w:space="0" w:color="auto"/>
      </w:divBdr>
    </w:div>
    <w:div w:id="1358577591">
      <w:bodyDiv w:val="1"/>
      <w:marLeft w:val="0"/>
      <w:marRight w:val="0"/>
      <w:marTop w:val="0"/>
      <w:marBottom w:val="0"/>
      <w:divBdr>
        <w:top w:val="none" w:sz="0" w:space="0" w:color="auto"/>
        <w:left w:val="none" w:sz="0" w:space="0" w:color="auto"/>
        <w:bottom w:val="none" w:sz="0" w:space="0" w:color="auto"/>
        <w:right w:val="none" w:sz="0" w:space="0" w:color="auto"/>
      </w:divBdr>
    </w:div>
    <w:div w:id="1398479477">
      <w:bodyDiv w:val="1"/>
      <w:marLeft w:val="0"/>
      <w:marRight w:val="0"/>
      <w:marTop w:val="0"/>
      <w:marBottom w:val="0"/>
      <w:divBdr>
        <w:top w:val="none" w:sz="0" w:space="0" w:color="auto"/>
        <w:left w:val="none" w:sz="0" w:space="0" w:color="auto"/>
        <w:bottom w:val="none" w:sz="0" w:space="0" w:color="auto"/>
        <w:right w:val="none" w:sz="0" w:space="0" w:color="auto"/>
      </w:divBdr>
      <w:divsChild>
        <w:div w:id="764694469">
          <w:marLeft w:val="0"/>
          <w:marRight w:val="0"/>
          <w:marTop w:val="0"/>
          <w:marBottom w:val="0"/>
          <w:divBdr>
            <w:top w:val="none" w:sz="0" w:space="0" w:color="auto"/>
            <w:left w:val="none" w:sz="0" w:space="0" w:color="auto"/>
            <w:bottom w:val="none" w:sz="0" w:space="0" w:color="auto"/>
            <w:right w:val="none" w:sz="0" w:space="0" w:color="auto"/>
          </w:divBdr>
        </w:div>
      </w:divsChild>
    </w:div>
    <w:div w:id="21048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121/en" TargetMode="External"/><Relationship Id="rId13" Type="http://schemas.openxmlformats.org/officeDocument/2006/relationships/hyperlink" Target="https://www.itu.int/md/S24-EGITRS2-C-0004/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24-EGITRS2-C-0004/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md/S24-EGITRS2-C-0021/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EGITRS2-C-0021/en" TargetMode="External"/><Relationship Id="rId5" Type="http://schemas.openxmlformats.org/officeDocument/2006/relationships/webSettings" Target="webSettings.xml"/><Relationship Id="rId15" Type="http://schemas.openxmlformats.org/officeDocument/2006/relationships/hyperlink" Target="https://www.itu.int/md/S24-EGITRS2-C-0004/en" TargetMode="External"/><Relationship Id="rId10" Type="http://schemas.openxmlformats.org/officeDocument/2006/relationships/hyperlink" Target="https://www.itu.int/md/S24-EGITRS2-C-0004/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3-EGITRS1-C-0002/en" TargetMode="External"/><Relationship Id="rId14" Type="http://schemas.openxmlformats.org/officeDocument/2006/relationships/hyperlink" Target="https://www.itu.int/md/S23-EGITRS1-C-0002/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to.org/english/news_e/news24_e/ecom_14mar24_e.htm" TargetMode="External"/><Relationship Id="rId2" Type="http://schemas.openxmlformats.org/officeDocument/2006/relationships/hyperlink" Target="https://wtoplurilaterals.info/plural_initiative/e-commerce/" TargetMode="External"/><Relationship Id="rId1" Type="http://schemas.openxmlformats.org/officeDocument/2006/relationships/hyperlink" Target="https://www.wto.org/english/tratop_e/ecom_e/joint_statement_e.htm" TargetMode="External"/><Relationship Id="rId6" Type="http://schemas.openxmlformats.org/officeDocument/2006/relationships/hyperlink" Target="https://docs.wto.org/dol2fe/Pages/SS/directdoc.aspx?filename=q:/S/C/11.pdf" TargetMode="External"/><Relationship Id="rId5" Type="http://schemas.openxmlformats.org/officeDocument/2006/relationships/hyperlink" Target="https://www.wto.org/english/thewto_e/coher_e/wto_itu_e.htm" TargetMode="External"/><Relationship Id="rId4" Type="http://schemas.openxmlformats.org/officeDocument/2006/relationships/hyperlink" Target="https://insidetrade.com/daily-news/new-wto-e-commerce-text-amendments-key-issues-one-article-go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DFFED-F1D6-4BFD-8E07-B6B9D3C6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6394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Contribution from Hill: Proposal for working methods and work plan of EG-ITRs</vt:lpstr>
    </vt:vector>
  </TitlesOfParts>
  <Manager/>
  <Company/>
  <LinksUpToDate>false</LinksUpToDate>
  <CharactersWithSpaces>7501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Hill: Liaising with WTO</dc:title>
  <dc:subject>Expert Group on the International Telecommunication Regulations</dc:subject>
  <dc:creator/>
  <cp:keywords>EG-ITRs, C24, Council-24</cp:keywords>
  <dc:description/>
  <cp:lastModifiedBy/>
  <cp:revision>1</cp:revision>
  <dcterms:created xsi:type="dcterms:W3CDTF">2024-07-17T08:02:00Z</dcterms:created>
  <dcterms:modified xsi:type="dcterms:W3CDTF">2024-07-17T08:02:00Z</dcterms:modified>
  <cp:category>Conference document</cp:category>
</cp:coreProperties>
</file>