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57AE1" w:rsidRPr="00745D44" w14:paraId="0043AC80" w14:textId="77777777" w:rsidTr="00AD3606">
        <w:trPr>
          <w:cantSplit/>
          <w:trHeight w:val="23"/>
        </w:trPr>
        <w:tc>
          <w:tcPr>
            <w:tcW w:w="3969" w:type="dxa"/>
            <w:vMerge w:val="restart"/>
            <w:tcMar>
              <w:left w:w="0" w:type="dxa"/>
            </w:tcMar>
          </w:tcPr>
          <w:p w14:paraId="60A806D3" w14:textId="6316C87D" w:rsidR="00E57AE1" w:rsidRPr="00E85629" w:rsidRDefault="00E57AE1" w:rsidP="00E57AE1">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DAAA2D7" w:rsidR="00E57AE1" w:rsidRPr="00A52C84" w:rsidRDefault="00E57AE1" w:rsidP="00E57AE1">
            <w:pPr>
              <w:tabs>
                <w:tab w:val="left" w:pos="851"/>
              </w:tabs>
              <w:spacing w:before="0" w:line="240" w:lineRule="atLeast"/>
              <w:jc w:val="right"/>
              <w:rPr>
                <w:b/>
                <w:lang w:val="fr-CH"/>
              </w:rPr>
            </w:pPr>
            <w:r w:rsidRPr="00A52C84">
              <w:rPr>
                <w:b/>
                <w:lang w:val="fr-CH"/>
              </w:rPr>
              <w:t xml:space="preserve">Document </w:t>
            </w:r>
            <w:r>
              <w:rPr>
                <w:b/>
                <w:lang w:val="fr-CH"/>
              </w:rPr>
              <w:t>EG-ITRs</w:t>
            </w:r>
            <w:r w:rsidRPr="00A52C84">
              <w:rPr>
                <w:b/>
                <w:lang w:val="fr-CH"/>
              </w:rPr>
              <w:t>-</w:t>
            </w:r>
            <w:r>
              <w:rPr>
                <w:b/>
                <w:lang w:val="fr-CH"/>
              </w:rPr>
              <w:t>2</w:t>
            </w:r>
            <w:r w:rsidRPr="00A52C84">
              <w:rPr>
                <w:b/>
                <w:lang w:val="fr-CH"/>
              </w:rPr>
              <w:t>/</w:t>
            </w:r>
            <w:r w:rsidR="00C71B4E">
              <w:rPr>
                <w:b/>
                <w:lang w:val="fr-CH"/>
              </w:rPr>
              <w:t>15</w:t>
            </w:r>
          </w:p>
        </w:tc>
      </w:tr>
      <w:tr w:rsidR="00E57AE1" w:rsidRPr="00813E5E" w14:paraId="789B45BA" w14:textId="77777777" w:rsidTr="00AD3606">
        <w:trPr>
          <w:cantSplit/>
        </w:trPr>
        <w:tc>
          <w:tcPr>
            <w:tcW w:w="3969" w:type="dxa"/>
            <w:vMerge/>
          </w:tcPr>
          <w:p w14:paraId="3F3D4E17" w14:textId="77777777" w:rsidR="00E57AE1" w:rsidRPr="00A52C84" w:rsidRDefault="00E57AE1" w:rsidP="00E57AE1">
            <w:pPr>
              <w:tabs>
                <w:tab w:val="left" w:pos="851"/>
              </w:tabs>
              <w:spacing w:line="240" w:lineRule="atLeast"/>
              <w:rPr>
                <w:b/>
                <w:lang w:val="fr-CH"/>
              </w:rPr>
            </w:pPr>
            <w:bookmarkStart w:id="6" w:name="ddate" w:colFirst="1" w:colLast="1"/>
            <w:bookmarkEnd w:id="0"/>
            <w:bookmarkEnd w:id="1"/>
          </w:p>
        </w:tc>
        <w:tc>
          <w:tcPr>
            <w:tcW w:w="5245" w:type="dxa"/>
          </w:tcPr>
          <w:p w14:paraId="2DE9ACEA" w14:textId="48712AA1" w:rsidR="00E57AE1" w:rsidRPr="00E85629" w:rsidRDefault="00C71B4E" w:rsidP="00E57AE1">
            <w:pPr>
              <w:tabs>
                <w:tab w:val="left" w:pos="851"/>
              </w:tabs>
              <w:spacing w:before="0"/>
              <w:jc w:val="right"/>
              <w:rPr>
                <w:b/>
              </w:rPr>
            </w:pPr>
            <w:r>
              <w:rPr>
                <w:b/>
              </w:rPr>
              <w:t xml:space="preserve">17 </w:t>
            </w:r>
            <w:r w:rsidR="00E57AE1">
              <w:rPr>
                <w:b/>
              </w:rPr>
              <w:t>January 2024</w:t>
            </w:r>
          </w:p>
        </w:tc>
      </w:tr>
      <w:bookmarkEnd w:id="6"/>
      <w:tr w:rsidR="00E57AE1" w:rsidRPr="00813E5E" w14:paraId="58A84C4A" w14:textId="77777777" w:rsidTr="00AD3606">
        <w:trPr>
          <w:cantSplit/>
          <w:trHeight w:val="23"/>
        </w:trPr>
        <w:tc>
          <w:tcPr>
            <w:tcW w:w="3969" w:type="dxa"/>
            <w:vMerge/>
          </w:tcPr>
          <w:p w14:paraId="77CEDDAA" w14:textId="77777777" w:rsidR="00E57AE1" w:rsidRPr="00813E5E" w:rsidRDefault="00E57AE1" w:rsidP="00E57AE1">
            <w:pPr>
              <w:tabs>
                <w:tab w:val="left" w:pos="851"/>
              </w:tabs>
              <w:spacing w:line="240" w:lineRule="atLeast"/>
              <w:rPr>
                <w:b/>
              </w:rPr>
            </w:pPr>
          </w:p>
        </w:tc>
        <w:tc>
          <w:tcPr>
            <w:tcW w:w="5245" w:type="dxa"/>
          </w:tcPr>
          <w:p w14:paraId="561AAE94" w14:textId="387D3117" w:rsidR="00E57AE1" w:rsidRPr="00E85629" w:rsidRDefault="00E57AE1" w:rsidP="00E57AE1">
            <w:pPr>
              <w:tabs>
                <w:tab w:val="left" w:pos="851"/>
              </w:tabs>
              <w:spacing w:before="0" w:line="240" w:lineRule="atLeast"/>
              <w:jc w:val="right"/>
              <w:rPr>
                <w:b/>
              </w:rPr>
            </w:pPr>
            <w:r>
              <w:rPr>
                <w:b/>
                <w:lang w:val="en-US"/>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bookmarkStart w:id="7" w:name="dorlang" w:colFirst="1" w:colLast="1"/>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4577A904" w:rsidR="00AD3606" w:rsidRPr="003506AB" w:rsidRDefault="00E57AE1" w:rsidP="009D024E">
            <w:pPr>
              <w:pStyle w:val="Source"/>
              <w:framePr w:hSpace="0" w:wrap="auto" w:vAnchor="margin" w:hAnchor="text" w:xAlign="left" w:yAlign="inline"/>
              <w:rPr>
                <w:lang w:val="ru-RU"/>
              </w:rPr>
            </w:pPr>
            <w:bookmarkStart w:id="8" w:name="dsource" w:colFirst="0" w:colLast="0"/>
            <w:bookmarkEnd w:id="7"/>
            <w:r w:rsidRPr="009D024E">
              <w:t xml:space="preserve">Contribution </w:t>
            </w:r>
            <w:r w:rsidRPr="00842B11">
              <w:t xml:space="preserve">from </w:t>
            </w:r>
            <w:r>
              <w:t>Russian Federation</w:t>
            </w:r>
            <w:r>
              <w:rPr>
                <w:rStyle w:val="FootnoteReference"/>
              </w:rPr>
              <w:footnoteReference w:id="1"/>
            </w:r>
          </w:p>
        </w:tc>
      </w:tr>
      <w:tr w:rsidR="00AD3606" w:rsidRPr="003506AB" w14:paraId="2340750D" w14:textId="77777777" w:rsidTr="00AD3606">
        <w:trPr>
          <w:cantSplit/>
        </w:trPr>
        <w:tc>
          <w:tcPr>
            <w:tcW w:w="9214" w:type="dxa"/>
            <w:gridSpan w:val="2"/>
            <w:tcMar>
              <w:left w:w="0" w:type="dxa"/>
            </w:tcMar>
          </w:tcPr>
          <w:p w14:paraId="47B91AA8" w14:textId="7A9AF462" w:rsidR="00AD3606" w:rsidRPr="002A4980" w:rsidRDefault="002A4980" w:rsidP="00482F59">
            <w:pPr>
              <w:pStyle w:val="Subtitle"/>
              <w:framePr w:hSpace="0" w:wrap="auto" w:xAlign="left" w:yAlign="inline"/>
              <w:rPr>
                <w:lang w:val="en-US"/>
              </w:rPr>
            </w:pPr>
            <w:bookmarkStart w:id="9" w:name="dtitle1" w:colFirst="0" w:colLast="0"/>
            <w:bookmarkStart w:id="10" w:name="_Hlk156407924"/>
            <w:bookmarkEnd w:id="8"/>
            <w:r w:rsidRPr="002A4980">
              <w:rPr>
                <w:lang w:val="en-US"/>
              </w:rPr>
              <w:t>PROBLEM</w:t>
            </w:r>
            <w:r w:rsidR="00482F59">
              <w:rPr>
                <w:lang w:val="en-US"/>
              </w:rPr>
              <w:t>ATIC</w:t>
            </w:r>
            <w:r w:rsidRPr="002A4980">
              <w:rPr>
                <w:lang w:val="en-US"/>
              </w:rPr>
              <w:t xml:space="preserve"> ISSUES</w:t>
            </w:r>
            <w:r w:rsidR="007E5CA6" w:rsidRPr="007E5CA6">
              <w:rPr>
                <w:lang w:val="en-US"/>
              </w:rPr>
              <w:t xml:space="preserve"> </w:t>
            </w:r>
            <w:r w:rsidR="00482F59">
              <w:rPr>
                <w:lang w:val="en-US"/>
              </w:rPr>
              <w:t>RELATED TO</w:t>
            </w:r>
            <w:r w:rsidRPr="002A4980">
              <w:rPr>
                <w:lang w:val="en-US"/>
              </w:rPr>
              <w:t xml:space="preserve"> THE APPLICATION OF THE ITRs</w:t>
            </w:r>
            <w:bookmarkEnd w:id="10"/>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83AF005" w14:textId="20069334" w:rsidR="00E57AE1" w:rsidRPr="00C71B4E" w:rsidRDefault="00E57AE1" w:rsidP="00E57AE1">
            <w:pPr>
              <w:spacing w:before="160"/>
              <w:rPr>
                <w:b/>
                <w:bCs/>
                <w:sz w:val="26"/>
                <w:szCs w:val="26"/>
                <w:lang w:val="en-US"/>
              </w:rPr>
            </w:pPr>
            <w:r w:rsidRPr="004D648B">
              <w:rPr>
                <w:b/>
                <w:bCs/>
                <w:sz w:val="26"/>
                <w:szCs w:val="26"/>
              </w:rPr>
              <w:t>Purpose</w:t>
            </w:r>
          </w:p>
          <w:p w14:paraId="7B62C026" w14:textId="374A042A" w:rsidR="004D648B" w:rsidRPr="00E57AE1" w:rsidRDefault="00E57AE1" w:rsidP="004D648B">
            <w:pPr>
              <w:spacing w:before="160"/>
              <w:rPr>
                <w:szCs w:val="24"/>
                <w:lang w:val="en-US"/>
              </w:rPr>
            </w:pPr>
            <w:r w:rsidRPr="00E57AE1">
              <w:rPr>
                <w:szCs w:val="24"/>
                <w:lang w:val="en-US"/>
              </w:rPr>
              <w:t>Provide information to assess the relevance of current editions of the I</w:t>
            </w:r>
            <w:r>
              <w:rPr>
                <w:szCs w:val="24"/>
                <w:lang w:val="en-US"/>
              </w:rPr>
              <w:t>TRs</w:t>
            </w:r>
            <w:r w:rsidR="00C71B4E">
              <w:rPr>
                <w:szCs w:val="24"/>
                <w:lang w:val="en-US"/>
              </w:rPr>
              <w:t>.</w:t>
            </w:r>
          </w:p>
          <w:p w14:paraId="00C0A026" w14:textId="77777777" w:rsidR="00E57AE1" w:rsidRPr="00783937" w:rsidRDefault="00E57AE1" w:rsidP="00E57AE1">
            <w:pPr>
              <w:spacing w:before="160"/>
              <w:rPr>
                <w:b/>
                <w:bCs/>
                <w:sz w:val="26"/>
                <w:szCs w:val="26"/>
                <w:lang w:val="en-US"/>
              </w:rPr>
            </w:pPr>
            <w:r w:rsidRPr="004D648B">
              <w:rPr>
                <w:b/>
                <w:bCs/>
                <w:sz w:val="26"/>
                <w:szCs w:val="26"/>
              </w:rPr>
              <w:t>Action</w:t>
            </w:r>
            <w:r w:rsidRPr="00783937">
              <w:rPr>
                <w:b/>
                <w:bCs/>
                <w:sz w:val="26"/>
                <w:szCs w:val="26"/>
                <w:lang w:val="en-US"/>
              </w:rPr>
              <w:t xml:space="preserve"> </w:t>
            </w:r>
            <w:r w:rsidRPr="004D648B">
              <w:rPr>
                <w:b/>
                <w:bCs/>
                <w:sz w:val="26"/>
                <w:szCs w:val="26"/>
              </w:rPr>
              <w:t>required</w:t>
            </w:r>
          </w:p>
          <w:p w14:paraId="78CC8248" w14:textId="77777777" w:rsidR="00E57AE1" w:rsidRPr="00EA60CE" w:rsidRDefault="00E57AE1" w:rsidP="00E57AE1">
            <w:pPr>
              <w:spacing w:before="160"/>
              <w:rPr>
                <w:b/>
                <w:bCs/>
                <w:szCs w:val="24"/>
                <w:lang w:val="en-US"/>
              </w:rPr>
            </w:pPr>
            <w:r w:rsidRPr="00EA60CE">
              <w:t>The</w:t>
            </w:r>
            <w:r w:rsidRPr="00EA60CE">
              <w:rPr>
                <w:lang w:val="en-US"/>
              </w:rPr>
              <w:t xml:space="preserve"> </w:t>
            </w:r>
            <w:r w:rsidRPr="00EA60CE">
              <w:t>Expert</w:t>
            </w:r>
            <w:r w:rsidRPr="00EA60CE">
              <w:rPr>
                <w:lang w:val="en-US"/>
              </w:rPr>
              <w:t xml:space="preserve"> </w:t>
            </w:r>
            <w:r w:rsidRPr="00EA60CE">
              <w:t>Group</w:t>
            </w:r>
            <w:r w:rsidRPr="00EA60CE">
              <w:rPr>
                <w:lang w:val="en-US"/>
              </w:rPr>
              <w:t xml:space="preserve"> </w:t>
            </w:r>
            <w:r w:rsidRPr="00EA60CE">
              <w:t>on</w:t>
            </w:r>
            <w:r w:rsidRPr="00EA60CE">
              <w:rPr>
                <w:lang w:val="en-US"/>
              </w:rPr>
              <w:t xml:space="preserve"> </w:t>
            </w:r>
            <w:r w:rsidRPr="00EA60CE">
              <w:t>the</w:t>
            </w:r>
            <w:r w:rsidRPr="00EA60CE">
              <w:rPr>
                <w:lang w:val="en-US"/>
              </w:rPr>
              <w:t xml:space="preserve"> </w:t>
            </w:r>
            <w:r w:rsidRPr="00EA60CE">
              <w:t>International</w:t>
            </w:r>
            <w:r w:rsidRPr="00EA60CE">
              <w:rPr>
                <w:lang w:val="en-US"/>
              </w:rPr>
              <w:t xml:space="preserve"> </w:t>
            </w:r>
            <w:r w:rsidRPr="00EA60CE">
              <w:t>Telecommunication</w:t>
            </w:r>
            <w:r w:rsidRPr="00EA60CE">
              <w:rPr>
                <w:lang w:val="en-US"/>
              </w:rPr>
              <w:t xml:space="preserve"> </w:t>
            </w:r>
            <w:r w:rsidRPr="00EA60CE">
              <w:t>Regulations</w:t>
            </w:r>
            <w:r w:rsidRPr="00EA60CE">
              <w:rPr>
                <w:lang w:val="en-US"/>
              </w:rPr>
              <w:t xml:space="preserve"> </w:t>
            </w:r>
            <w:r w:rsidRPr="00EA60CE">
              <w:t>is</w:t>
            </w:r>
            <w:r w:rsidRPr="00EA60CE">
              <w:rPr>
                <w:lang w:val="en-US"/>
              </w:rPr>
              <w:t xml:space="preserve"> </w:t>
            </w:r>
            <w:r w:rsidRPr="00EA60CE">
              <w:t>invited</w:t>
            </w:r>
            <w:r w:rsidRPr="00EA60CE">
              <w:rPr>
                <w:lang w:val="en-US"/>
              </w:rPr>
              <w:t xml:space="preserve"> </w:t>
            </w:r>
            <w:r w:rsidRPr="00C71B4E">
              <w:rPr>
                <w:b/>
                <w:bCs/>
              </w:rPr>
              <w:t>to</w:t>
            </w:r>
            <w:r w:rsidRPr="00C71B4E">
              <w:rPr>
                <w:b/>
                <w:bCs/>
                <w:lang w:val="en-US"/>
              </w:rPr>
              <w:t xml:space="preserve"> approve</w:t>
            </w:r>
            <w:r w:rsidRPr="00EA60CE">
              <w:rPr>
                <w:lang w:val="en-US"/>
              </w:rPr>
              <w:t xml:space="preserve"> </w:t>
            </w:r>
            <w:r w:rsidRPr="00EA60CE">
              <w:t>this</w:t>
            </w:r>
            <w:r w:rsidRPr="00EA60CE">
              <w:rPr>
                <w:lang w:val="en-US"/>
              </w:rPr>
              <w:t xml:space="preserve"> </w:t>
            </w:r>
            <w:r w:rsidRPr="00EA60CE">
              <w:t>document</w:t>
            </w:r>
            <w:r w:rsidRPr="00EA60CE">
              <w:rPr>
                <w:lang w:val="en-US"/>
              </w:rPr>
              <w:t>.</w:t>
            </w:r>
          </w:p>
          <w:p w14:paraId="2F24A0C8" w14:textId="77777777" w:rsidR="004D648B" w:rsidRPr="0020555B" w:rsidRDefault="004D648B" w:rsidP="004D648B">
            <w:pPr>
              <w:spacing w:before="160"/>
              <w:rPr>
                <w:sz w:val="26"/>
                <w:szCs w:val="26"/>
              </w:rPr>
            </w:pPr>
            <w:r w:rsidRPr="0020555B">
              <w:rPr>
                <w:sz w:val="26"/>
                <w:szCs w:val="26"/>
              </w:rPr>
              <w:t>____________________________________</w:t>
            </w:r>
          </w:p>
          <w:p w14:paraId="25EBCED4" w14:textId="243FE635" w:rsidR="00E57AE1" w:rsidRDefault="00E57AE1" w:rsidP="00E57AE1">
            <w:pPr>
              <w:spacing w:before="160"/>
              <w:rPr>
                <w:b/>
                <w:bCs/>
                <w:sz w:val="26"/>
                <w:szCs w:val="26"/>
              </w:rPr>
            </w:pPr>
            <w:r w:rsidRPr="004D648B">
              <w:rPr>
                <w:b/>
                <w:bCs/>
                <w:sz w:val="26"/>
                <w:szCs w:val="26"/>
              </w:rPr>
              <w:t>References</w:t>
            </w:r>
          </w:p>
          <w:p w14:paraId="0175CD6C" w14:textId="442A05DB" w:rsidR="00AD3606" w:rsidRDefault="00E57AE1" w:rsidP="00E57AE1">
            <w:pPr>
              <w:spacing w:after="160"/>
            </w:pPr>
            <w:r>
              <w:t xml:space="preserve">PP </w:t>
            </w:r>
            <w:hyperlink r:id="rId11" w:history="1">
              <w:r>
                <w:rPr>
                  <w:rStyle w:val="Hyperlink"/>
                </w:rPr>
                <w:t>Resolution 146 (Rev. Bucharest, 2022)</w:t>
              </w:r>
            </w:hyperlink>
            <w:r w:rsidRPr="001729D5">
              <w:rPr>
                <w:lang w:val="en-US"/>
              </w:rPr>
              <w:t xml:space="preserve">, </w:t>
            </w:r>
            <w:r>
              <w:t>Council </w:t>
            </w:r>
            <w:hyperlink r:id="rId12" w:history="1">
              <w:r>
                <w:rPr>
                  <w:rStyle w:val="Hyperlink"/>
                </w:rPr>
                <w:t>Resolution 1379</w:t>
              </w:r>
            </w:hyperlink>
            <w:r w:rsidRPr="001729D5">
              <w:rPr>
                <w:rStyle w:val="ms-rtethemeforecolor-2-0"/>
                <w:lang w:val="en-US"/>
              </w:rPr>
              <w:t xml:space="preserve"> (m</w:t>
            </w:r>
            <w:r>
              <w:rPr>
                <w:rStyle w:val="ms-rtethemeforecolor-2-0"/>
                <w:lang w:val="en-US"/>
              </w:rPr>
              <w:t>od. 2023</w:t>
            </w:r>
            <w:r w:rsidRPr="001729D5">
              <w:rPr>
                <w:rStyle w:val="ms-rtethemeforecolor-2-0"/>
                <w:lang w:val="en-US"/>
              </w:rPr>
              <w:t>)</w:t>
            </w:r>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1"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1"/>
    <w:p w14:paraId="03C275EE" w14:textId="583C066B" w:rsidR="00A962C6" w:rsidRPr="00443C2B" w:rsidRDefault="00A962C6" w:rsidP="00A962C6">
      <w:pPr>
        <w:spacing w:before="0"/>
        <w:ind w:firstLine="709"/>
        <w:rPr>
          <w:rFonts w:asciiTheme="minorHAnsi" w:hAnsiTheme="minorHAnsi" w:cstheme="minorHAnsi"/>
          <w:b/>
          <w:szCs w:val="24"/>
          <w:lang w:val="en-US"/>
        </w:rPr>
      </w:pPr>
      <w:r w:rsidRPr="00302BED">
        <w:rPr>
          <w:rFonts w:asciiTheme="minorHAnsi" w:hAnsiTheme="minorHAnsi" w:cstheme="minorHAnsi"/>
          <w:b/>
          <w:szCs w:val="24"/>
          <w:lang w:val="en-US"/>
        </w:rPr>
        <w:lastRenderedPageBreak/>
        <w:t xml:space="preserve">I. </w:t>
      </w:r>
      <w:r w:rsidR="002A4980" w:rsidRPr="00443C2B">
        <w:rPr>
          <w:rFonts w:asciiTheme="minorHAnsi" w:hAnsiTheme="minorHAnsi" w:cstheme="minorHAnsi"/>
          <w:b/>
          <w:szCs w:val="24"/>
          <w:lang w:val="en-US"/>
        </w:rPr>
        <w:t>Introduction</w:t>
      </w:r>
    </w:p>
    <w:p w14:paraId="4F665163" w14:textId="77777777" w:rsidR="002A4980" w:rsidRPr="002A4980" w:rsidRDefault="002A4980" w:rsidP="00443C2B">
      <w:pPr>
        <w:tabs>
          <w:tab w:val="left" w:pos="993"/>
        </w:tabs>
        <w:overflowPunct/>
        <w:autoSpaceDE/>
        <w:autoSpaceDN/>
        <w:adjustRightInd/>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In the previous period of review of the 1988 International Telecommunication Regulations (ITRs), starting in 1998 with Resolution 79 (Minneapolis, 1998) of the Plenipotentiary Conference (PP) right up to the adoption of the decision at PP-10 in Resolution 171 (Guadalajara, 2010) on “Preparations for the 2012 world conference on international telecommunications”, most administrations and operators, and above all from most developing countries, have drawn attention to the following fundamental problem issues connected with the application of the ITRs.</w:t>
      </w:r>
    </w:p>
    <w:p w14:paraId="234D11B7" w14:textId="4F397055"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1)</w:t>
      </w:r>
      <w:r w:rsidRPr="002A4980">
        <w:rPr>
          <w:rFonts w:asciiTheme="minorHAnsi" w:hAnsiTheme="minorHAnsi" w:cstheme="minorHAnsi"/>
          <w:szCs w:val="24"/>
          <w:lang w:val="en-US"/>
        </w:rPr>
        <w:tab/>
        <w:t xml:space="preserve">The outdated terminology of the 1988 ITRs and the fact that it does not correspond to basic instruments (Constitution, Convention, Radio Regulations) or other ITU documents (ITU Recommendations), which considerably complicates the application of the 1988 ITRs and </w:t>
      </w:r>
      <w:r w:rsidR="00482F59">
        <w:rPr>
          <w:rFonts w:asciiTheme="minorHAnsi" w:hAnsiTheme="minorHAnsi" w:cstheme="minorHAnsi"/>
          <w:szCs w:val="24"/>
          <w:lang w:val="en-US"/>
        </w:rPr>
        <w:t xml:space="preserve">its </w:t>
      </w:r>
      <w:r w:rsidRPr="002A4980">
        <w:rPr>
          <w:rFonts w:asciiTheme="minorHAnsi" w:hAnsiTheme="minorHAnsi" w:cstheme="minorHAnsi"/>
          <w:szCs w:val="24"/>
          <w:lang w:val="en-US"/>
        </w:rPr>
        <w:t>individual provisions.</w:t>
      </w:r>
    </w:p>
    <w:p w14:paraId="5EAD6FA5" w14:textId="13C94610"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2)</w:t>
      </w:r>
      <w:r w:rsidRPr="002A4980">
        <w:rPr>
          <w:rFonts w:asciiTheme="minorHAnsi" w:hAnsiTheme="minorHAnsi" w:cstheme="minorHAnsi"/>
          <w:szCs w:val="24"/>
          <w:lang w:val="en-US"/>
        </w:rPr>
        <w:tab/>
        <w:t>The 1988 ITRs do not correspond to the realities of modern telecommunications/ICTs, or to the roles, aims and practical functions of administrations and operators</w:t>
      </w:r>
      <w:r w:rsidR="00482F59">
        <w:rPr>
          <w:rFonts w:asciiTheme="minorHAnsi" w:hAnsiTheme="minorHAnsi" w:cstheme="minorHAnsi"/>
          <w:szCs w:val="24"/>
          <w:lang w:val="en-US"/>
        </w:rPr>
        <w:t xml:space="preserve"> -</w:t>
      </w:r>
      <w:r w:rsidRPr="002A4980">
        <w:rPr>
          <w:rFonts w:asciiTheme="minorHAnsi" w:hAnsiTheme="minorHAnsi" w:cstheme="minorHAnsi"/>
          <w:szCs w:val="24"/>
          <w:lang w:val="en-US"/>
        </w:rPr>
        <w:t xml:space="preserve"> a factor that still prevents administrations and operators from applying the 1988 ITRs effectively. This is due mainly to the following factors:</w:t>
      </w:r>
    </w:p>
    <w:p w14:paraId="449D1D09" w14:textId="36907C41" w:rsidR="00482F59" w:rsidRPr="002A4980" w:rsidRDefault="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w:t>
      </w:r>
      <w:r w:rsidRPr="002A4980">
        <w:rPr>
          <w:rFonts w:asciiTheme="minorHAnsi" w:hAnsiTheme="minorHAnsi" w:cstheme="minorHAnsi"/>
          <w:szCs w:val="24"/>
          <w:lang w:val="en-US"/>
        </w:rPr>
        <w:tab/>
        <w:t>Fundamental changes in the role and functions of administrations and operators in the course of global liberalization of international telecommunication markets, privatization of national monopoly operators and a sharp increase in the number of participants in international telecommunications as new telecommunication operators emerge.</w:t>
      </w:r>
    </w:p>
    <w:p w14:paraId="7FAC869D" w14:textId="034132A0" w:rsidR="00482F59" w:rsidRPr="00D13CD8" w:rsidRDefault="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w:t>
      </w:r>
      <w:r w:rsidRPr="002A4980">
        <w:rPr>
          <w:rFonts w:asciiTheme="minorHAnsi" w:hAnsiTheme="minorHAnsi" w:cstheme="minorHAnsi"/>
          <w:szCs w:val="24"/>
          <w:lang w:val="en-US"/>
        </w:rPr>
        <w:tab/>
        <w:t xml:space="preserve">Significant changes in the role and functions of ITU Member States in the provision of international telecommunications. </w:t>
      </w:r>
      <w:r w:rsidR="00482F59">
        <w:rPr>
          <w:rFonts w:asciiTheme="minorHAnsi" w:hAnsiTheme="minorHAnsi" w:cstheme="minorHAnsi"/>
          <w:szCs w:val="24"/>
          <w:lang w:val="en-US"/>
        </w:rPr>
        <w:t>If earlier</w:t>
      </w:r>
      <w:r w:rsidR="00482F59" w:rsidRPr="002A4980">
        <w:rPr>
          <w:rFonts w:asciiTheme="minorHAnsi" w:hAnsiTheme="minorHAnsi" w:cstheme="minorHAnsi"/>
          <w:szCs w:val="24"/>
          <w:lang w:val="en-US"/>
        </w:rPr>
        <w:t xml:space="preserve"> </w:t>
      </w:r>
      <w:r w:rsidRPr="002A4980">
        <w:rPr>
          <w:rFonts w:asciiTheme="minorHAnsi" w:hAnsiTheme="minorHAnsi" w:cstheme="minorHAnsi"/>
          <w:szCs w:val="24"/>
          <w:lang w:val="en-US"/>
        </w:rPr>
        <w:t>(before 1988), in most countries</w:t>
      </w:r>
      <w:r w:rsidR="00482F59">
        <w:rPr>
          <w:rFonts w:asciiTheme="minorHAnsi" w:hAnsiTheme="minorHAnsi" w:cstheme="minorHAnsi"/>
          <w:szCs w:val="24"/>
          <w:lang w:val="en-US"/>
        </w:rPr>
        <w:t xml:space="preserve"> the</w:t>
      </w:r>
      <w:r w:rsidRPr="002A4980">
        <w:rPr>
          <w:rFonts w:asciiTheme="minorHAnsi" w:hAnsiTheme="minorHAnsi" w:cstheme="minorHAnsi"/>
          <w:szCs w:val="24"/>
          <w:lang w:val="en-US"/>
        </w:rPr>
        <w:t xml:space="preserve"> </w:t>
      </w:r>
      <w:proofErr w:type="gramStart"/>
      <w:r w:rsidRPr="002A4980">
        <w:rPr>
          <w:rFonts w:asciiTheme="minorHAnsi" w:hAnsiTheme="minorHAnsi" w:cstheme="minorHAnsi"/>
          <w:szCs w:val="24"/>
          <w:lang w:val="en-US"/>
        </w:rPr>
        <w:t>governments built</w:t>
      </w:r>
      <w:proofErr w:type="gramEnd"/>
      <w:r w:rsidRPr="002A4980">
        <w:rPr>
          <w:rFonts w:asciiTheme="minorHAnsi" w:hAnsiTheme="minorHAnsi" w:cstheme="minorHAnsi"/>
          <w:szCs w:val="24"/>
          <w:lang w:val="en-US"/>
        </w:rPr>
        <w:t xml:space="preserve"> telecommunication infrastructure</w:t>
      </w:r>
      <w:r w:rsidR="00482F59" w:rsidRPr="00482F59">
        <w:rPr>
          <w:rFonts w:asciiTheme="minorHAnsi" w:hAnsiTheme="minorHAnsi" w:cstheme="minorHAnsi"/>
          <w:szCs w:val="24"/>
          <w:lang w:val="en-US"/>
        </w:rPr>
        <w:t xml:space="preserve"> </w:t>
      </w:r>
      <w:r w:rsidR="00482F59" w:rsidRPr="00EC4C53">
        <w:rPr>
          <w:rFonts w:asciiTheme="minorHAnsi" w:hAnsiTheme="minorHAnsi" w:cstheme="minorHAnsi"/>
          <w:szCs w:val="24"/>
          <w:lang w:val="en-US"/>
        </w:rPr>
        <w:t>were at the same time the owners of monopoly telecommunications operators</w:t>
      </w:r>
      <w:r w:rsidR="00C71B4E">
        <w:rPr>
          <w:rFonts w:asciiTheme="minorHAnsi" w:hAnsiTheme="minorHAnsi" w:cstheme="minorHAnsi"/>
          <w:szCs w:val="24"/>
          <w:lang w:val="en-US"/>
        </w:rPr>
        <w:t xml:space="preserve"> </w:t>
      </w:r>
      <w:r w:rsidRPr="002A4980">
        <w:rPr>
          <w:rFonts w:asciiTheme="minorHAnsi" w:hAnsiTheme="minorHAnsi" w:cstheme="minorHAnsi"/>
          <w:szCs w:val="24"/>
          <w:lang w:val="en-US"/>
        </w:rPr>
        <w:t>and regulated telecommunications</w:t>
      </w:r>
      <w:r w:rsidR="00482F59">
        <w:rPr>
          <w:rFonts w:asciiTheme="minorHAnsi" w:hAnsiTheme="minorHAnsi" w:cstheme="minorHAnsi"/>
          <w:szCs w:val="24"/>
          <w:lang w:val="en-US"/>
        </w:rPr>
        <w:t xml:space="preserve">, then </w:t>
      </w:r>
      <w:r w:rsidRPr="002A4980">
        <w:rPr>
          <w:rFonts w:asciiTheme="minorHAnsi" w:hAnsiTheme="minorHAnsi" w:cstheme="minorHAnsi"/>
          <w:szCs w:val="24"/>
          <w:lang w:val="en-US"/>
        </w:rPr>
        <w:t xml:space="preserve"> </w:t>
      </w:r>
      <w:r w:rsidR="00482F59">
        <w:rPr>
          <w:rFonts w:asciiTheme="minorHAnsi" w:hAnsiTheme="minorHAnsi" w:cstheme="minorHAnsi"/>
          <w:szCs w:val="24"/>
          <w:lang w:val="en-US"/>
        </w:rPr>
        <w:t>f</w:t>
      </w:r>
      <w:r w:rsidRPr="002A4980">
        <w:rPr>
          <w:rFonts w:asciiTheme="minorHAnsi" w:hAnsiTheme="minorHAnsi" w:cstheme="minorHAnsi"/>
          <w:szCs w:val="24"/>
          <w:lang w:val="en-US"/>
        </w:rPr>
        <w:t>rom the 1990s onwards, governments have basically regulated and licensed international telecommunications, leaving the construction of infrastructure and the operation of telecommunication systems and networks to private telecommunication operators and companies.</w:t>
      </w:r>
    </w:p>
    <w:p w14:paraId="74A33243" w14:textId="773FE323"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w:t>
      </w:r>
      <w:r w:rsidRPr="002A4980">
        <w:rPr>
          <w:rFonts w:asciiTheme="minorHAnsi" w:hAnsiTheme="minorHAnsi" w:cstheme="minorHAnsi"/>
          <w:szCs w:val="24"/>
          <w:lang w:val="en-US"/>
        </w:rPr>
        <w:tab/>
        <w:t>Changes in telecommunication infrastructure</w:t>
      </w:r>
      <w:r w:rsidR="0058137F">
        <w:rPr>
          <w:rFonts w:asciiTheme="minorHAnsi" w:hAnsiTheme="minorHAnsi" w:cstheme="minorHAnsi"/>
          <w:szCs w:val="24"/>
          <w:lang w:val="en-US"/>
        </w:rPr>
        <w:t>,</w:t>
      </w:r>
      <w:r w:rsidRPr="002A4980">
        <w:rPr>
          <w:rFonts w:asciiTheme="minorHAnsi" w:hAnsiTheme="minorHAnsi" w:cstheme="minorHAnsi"/>
          <w:szCs w:val="24"/>
          <w:lang w:val="en-US"/>
        </w:rPr>
        <w:t xml:space="preserve"> </w:t>
      </w:r>
      <w:r w:rsidR="0058137F" w:rsidRPr="0058137F">
        <w:rPr>
          <w:rFonts w:asciiTheme="minorHAnsi" w:hAnsiTheme="minorHAnsi" w:cstheme="minorHAnsi"/>
          <w:szCs w:val="24"/>
          <w:lang w:val="en-US"/>
        </w:rPr>
        <w:t>the ve</w:t>
      </w:r>
      <w:r w:rsidR="0058137F">
        <w:rPr>
          <w:rFonts w:asciiTheme="minorHAnsi" w:hAnsiTheme="minorHAnsi" w:cstheme="minorHAnsi"/>
          <w:szCs w:val="24"/>
          <w:lang w:val="en-US"/>
        </w:rPr>
        <w:t>ry nature of the functioning of</w:t>
      </w:r>
      <w:r w:rsidR="00C71B4E">
        <w:rPr>
          <w:rFonts w:asciiTheme="minorHAnsi" w:hAnsiTheme="minorHAnsi" w:cstheme="minorHAnsi"/>
          <w:szCs w:val="24"/>
          <w:lang w:val="en-US"/>
        </w:rPr>
        <w:t xml:space="preserve"> </w:t>
      </w:r>
      <w:r w:rsidRPr="002A4980">
        <w:rPr>
          <w:rFonts w:asciiTheme="minorHAnsi" w:hAnsiTheme="minorHAnsi" w:cstheme="minorHAnsi"/>
          <w:szCs w:val="24"/>
          <w:lang w:val="en-US"/>
        </w:rPr>
        <w:t>international telecommunication and the provision of international telecommunication services.</w:t>
      </w:r>
    </w:p>
    <w:p w14:paraId="7B12A164" w14:textId="77777777" w:rsidR="00302BED" w:rsidRDefault="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w:t>
      </w:r>
      <w:r w:rsidRPr="002A4980">
        <w:rPr>
          <w:rFonts w:asciiTheme="minorHAnsi" w:hAnsiTheme="minorHAnsi" w:cstheme="minorHAnsi"/>
          <w:szCs w:val="24"/>
          <w:lang w:val="en-US"/>
        </w:rPr>
        <w:tab/>
        <w:t xml:space="preserve">The emergence of new international telecommunication services, </w:t>
      </w:r>
      <w:r w:rsidR="0058137F" w:rsidRPr="0058137F">
        <w:rPr>
          <w:rFonts w:asciiTheme="minorHAnsi" w:hAnsiTheme="minorHAnsi" w:cstheme="minorHAnsi"/>
          <w:szCs w:val="24"/>
          <w:lang w:val="en-US"/>
        </w:rPr>
        <w:t xml:space="preserve">primarily </w:t>
      </w:r>
      <w:r w:rsidRPr="002A4980">
        <w:rPr>
          <w:rFonts w:asciiTheme="minorHAnsi" w:hAnsiTheme="minorHAnsi" w:cstheme="minorHAnsi"/>
          <w:szCs w:val="24"/>
          <w:lang w:val="en-US"/>
        </w:rPr>
        <w:t xml:space="preserve">in the field of mobile wireless telecommunications (including roaming between operators in different </w:t>
      </w:r>
      <w:r w:rsidR="0058137F">
        <w:rPr>
          <w:rFonts w:asciiTheme="minorHAnsi" w:hAnsiTheme="minorHAnsi" w:cstheme="minorHAnsi"/>
          <w:szCs w:val="24"/>
          <w:lang w:val="en-US"/>
        </w:rPr>
        <w:t>countries</w:t>
      </w:r>
      <w:r w:rsidRPr="002A4980">
        <w:rPr>
          <w:rFonts w:asciiTheme="minorHAnsi" w:hAnsiTheme="minorHAnsi" w:cstheme="minorHAnsi"/>
          <w:szCs w:val="24"/>
          <w:lang w:val="en-US"/>
        </w:rPr>
        <w:t>).</w:t>
      </w:r>
    </w:p>
    <w:p w14:paraId="4522527E" w14:textId="77777777" w:rsidR="00302BED" w:rsidRDefault="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w:t>
      </w:r>
      <w:r w:rsidRPr="002A4980">
        <w:rPr>
          <w:rFonts w:asciiTheme="minorHAnsi" w:hAnsiTheme="minorHAnsi" w:cstheme="minorHAnsi"/>
          <w:szCs w:val="24"/>
          <w:lang w:val="en-US"/>
        </w:rPr>
        <w:tab/>
        <w:t xml:space="preserve">The absence of any common approach to </w:t>
      </w:r>
      <w:r w:rsidR="0058137F">
        <w:rPr>
          <w:rFonts w:asciiTheme="minorHAnsi" w:hAnsiTheme="minorHAnsi" w:cstheme="minorHAnsi"/>
          <w:szCs w:val="24"/>
          <w:lang w:val="en-US"/>
        </w:rPr>
        <w:t>ensure</w:t>
      </w:r>
      <w:r w:rsidR="0058137F" w:rsidRPr="002A4980">
        <w:rPr>
          <w:rFonts w:asciiTheme="minorHAnsi" w:hAnsiTheme="minorHAnsi" w:cstheme="minorHAnsi"/>
          <w:szCs w:val="24"/>
          <w:lang w:val="en-US"/>
        </w:rPr>
        <w:t xml:space="preserve"> </w:t>
      </w:r>
      <w:r w:rsidRPr="002A4980">
        <w:rPr>
          <w:rFonts w:asciiTheme="minorHAnsi" w:hAnsiTheme="minorHAnsi" w:cstheme="minorHAnsi"/>
          <w:szCs w:val="24"/>
          <w:lang w:val="en-US"/>
        </w:rPr>
        <w:t xml:space="preserve">effective cooperation in the interests of the end user between ITU Member States and telecommunication operators </w:t>
      </w:r>
      <w:r w:rsidR="0058137F" w:rsidRPr="0058137F">
        <w:rPr>
          <w:rFonts w:asciiTheme="minorHAnsi" w:hAnsiTheme="minorHAnsi" w:cstheme="minorHAnsi"/>
          <w:szCs w:val="24"/>
          <w:lang w:val="en-US"/>
        </w:rPr>
        <w:t xml:space="preserve">with each other and each with each </w:t>
      </w:r>
      <w:r w:rsidRPr="002A4980">
        <w:rPr>
          <w:rFonts w:asciiTheme="minorHAnsi" w:hAnsiTheme="minorHAnsi" w:cstheme="minorHAnsi"/>
          <w:szCs w:val="24"/>
          <w:lang w:val="en-US"/>
        </w:rPr>
        <w:t xml:space="preserve">on issues arising </w:t>
      </w:r>
      <w:r w:rsidR="0058137F">
        <w:rPr>
          <w:rFonts w:asciiTheme="minorHAnsi" w:hAnsiTheme="minorHAnsi" w:cstheme="minorHAnsi"/>
          <w:szCs w:val="24"/>
          <w:lang w:val="en-US"/>
        </w:rPr>
        <w:t>from</w:t>
      </w:r>
      <w:r w:rsidRPr="002A4980">
        <w:rPr>
          <w:rFonts w:asciiTheme="minorHAnsi" w:hAnsiTheme="minorHAnsi" w:cstheme="minorHAnsi"/>
          <w:szCs w:val="24"/>
          <w:lang w:val="en-US"/>
        </w:rPr>
        <w:t xml:space="preserve"> the rapidly developing and changing telecommunication/ICT environment.</w:t>
      </w:r>
    </w:p>
    <w:p w14:paraId="0EB2B6AF" w14:textId="261EE15A" w:rsidR="0058137F" w:rsidRPr="002A4980" w:rsidRDefault="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3)</w:t>
      </w:r>
      <w:r w:rsidRPr="002A4980">
        <w:rPr>
          <w:rFonts w:asciiTheme="minorHAnsi" w:hAnsiTheme="minorHAnsi" w:cstheme="minorHAnsi"/>
          <w:szCs w:val="24"/>
          <w:lang w:val="en-US"/>
        </w:rPr>
        <w:tab/>
        <w:t xml:space="preserve">The fact that provisions of the 1988 ITRs do not correspond to the current conditions in which telecommunication administrations and operators work against </w:t>
      </w:r>
      <w:r w:rsidR="0058137F">
        <w:rPr>
          <w:rFonts w:asciiTheme="minorHAnsi" w:hAnsiTheme="minorHAnsi" w:cstheme="minorHAnsi"/>
          <w:szCs w:val="24"/>
          <w:lang w:val="en-US"/>
        </w:rPr>
        <w:t>the</w:t>
      </w:r>
      <w:r w:rsidR="0058137F" w:rsidRPr="002A4980">
        <w:rPr>
          <w:rFonts w:asciiTheme="minorHAnsi" w:hAnsiTheme="minorHAnsi" w:cstheme="minorHAnsi"/>
          <w:szCs w:val="24"/>
          <w:lang w:val="en-US"/>
        </w:rPr>
        <w:t xml:space="preserve"> </w:t>
      </w:r>
      <w:r w:rsidRPr="002A4980">
        <w:rPr>
          <w:rFonts w:asciiTheme="minorHAnsi" w:hAnsiTheme="minorHAnsi" w:cstheme="minorHAnsi"/>
          <w:szCs w:val="24"/>
          <w:lang w:val="en-US"/>
        </w:rPr>
        <w:t>back</w:t>
      </w:r>
      <w:r w:rsidR="0058137F">
        <w:rPr>
          <w:rFonts w:asciiTheme="minorHAnsi" w:hAnsiTheme="minorHAnsi" w:cstheme="minorHAnsi"/>
          <w:szCs w:val="24"/>
          <w:lang w:val="en-US"/>
        </w:rPr>
        <w:t>drop</w:t>
      </w:r>
      <w:r w:rsidRPr="002A4980">
        <w:rPr>
          <w:rFonts w:asciiTheme="minorHAnsi" w:hAnsiTheme="minorHAnsi" w:cstheme="minorHAnsi"/>
          <w:szCs w:val="24"/>
          <w:lang w:val="en-US"/>
        </w:rPr>
        <w:t xml:space="preserve"> of rapidly developing telecommunication/ICT technologies and their introduction </w:t>
      </w:r>
      <w:r w:rsidR="0058137F">
        <w:rPr>
          <w:rFonts w:asciiTheme="minorHAnsi" w:hAnsiTheme="minorHAnsi" w:cstheme="minorHAnsi"/>
          <w:szCs w:val="24"/>
          <w:lang w:val="en-US"/>
        </w:rPr>
        <w:t>to</w:t>
      </w:r>
      <w:r w:rsidR="0058137F" w:rsidRPr="002A4980">
        <w:rPr>
          <w:rFonts w:asciiTheme="minorHAnsi" w:hAnsiTheme="minorHAnsi" w:cstheme="minorHAnsi"/>
          <w:szCs w:val="24"/>
          <w:lang w:val="en-US"/>
        </w:rPr>
        <w:t xml:space="preserve"> </w:t>
      </w:r>
      <w:r w:rsidRPr="002A4980">
        <w:rPr>
          <w:rFonts w:asciiTheme="minorHAnsi" w:hAnsiTheme="minorHAnsi" w:cstheme="minorHAnsi"/>
          <w:szCs w:val="24"/>
          <w:lang w:val="en-US"/>
        </w:rPr>
        <w:t>international telecommunication networks; this concerns in particular implementation of ITR provisions regarding:</w:t>
      </w:r>
    </w:p>
    <w:p w14:paraId="6E4DABAE" w14:textId="77777777"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w:t>
      </w:r>
      <w:r w:rsidRPr="002A4980">
        <w:rPr>
          <w:rFonts w:asciiTheme="minorHAnsi" w:hAnsiTheme="minorHAnsi" w:cstheme="minorHAnsi"/>
          <w:szCs w:val="24"/>
          <w:lang w:val="en-US"/>
        </w:rPr>
        <w:tab/>
        <w:t xml:space="preserve">organization and routing selection for international telecommunication </w:t>
      </w:r>
      <w:proofErr w:type="gramStart"/>
      <w:r w:rsidRPr="002A4980">
        <w:rPr>
          <w:rFonts w:asciiTheme="minorHAnsi" w:hAnsiTheme="minorHAnsi" w:cstheme="minorHAnsi"/>
          <w:szCs w:val="24"/>
          <w:lang w:val="en-US"/>
        </w:rPr>
        <w:t>traffic;</w:t>
      </w:r>
      <w:proofErr w:type="gramEnd"/>
    </w:p>
    <w:p w14:paraId="34C01F4F" w14:textId="77777777"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w:t>
      </w:r>
      <w:r w:rsidRPr="002A4980">
        <w:rPr>
          <w:rFonts w:asciiTheme="minorHAnsi" w:hAnsiTheme="minorHAnsi" w:cstheme="minorHAnsi"/>
          <w:szCs w:val="24"/>
          <w:lang w:val="en-US"/>
        </w:rPr>
        <w:tab/>
        <w:t>calling party number delivery, international calling line identification and origin identification;</w:t>
      </w:r>
    </w:p>
    <w:p w14:paraId="497DDF28" w14:textId="77777777"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w:t>
      </w:r>
      <w:r w:rsidRPr="002A4980">
        <w:rPr>
          <w:rFonts w:asciiTheme="minorHAnsi" w:hAnsiTheme="minorHAnsi" w:cstheme="minorHAnsi"/>
          <w:szCs w:val="24"/>
          <w:lang w:val="en-US"/>
        </w:rPr>
        <w:tab/>
        <w:t xml:space="preserve">tariff setting, time-limits and procedures for settlements of </w:t>
      </w:r>
      <w:proofErr w:type="gramStart"/>
      <w:r w:rsidRPr="002A4980">
        <w:rPr>
          <w:rFonts w:asciiTheme="minorHAnsi" w:hAnsiTheme="minorHAnsi" w:cstheme="minorHAnsi"/>
          <w:szCs w:val="24"/>
          <w:lang w:val="en-US"/>
        </w:rPr>
        <w:t>accounts;</w:t>
      </w:r>
      <w:proofErr w:type="gramEnd"/>
    </w:p>
    <w:p w14:paraId="7CE6E9FA" w14:textId="77777777"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lastRenderedPageBreak/>
        <w:t>–</w:t>
      </w:r>
      <w:r w:rsidRPr="002A4980">
        <w:rPr>
          <w:rFonts w:asciiTheme="minorHAnsi" w:hAnsiTheme="minorHAnsi" w:cstheme="minorHAnsi"/>
          <w:szCs w:val="24"/>
          <w:lang w:val="en-US"/>
        </w:rPr>
        <w:tab/>
        <w:t>roaming issues, problems of inadvertent roaming, and settlements between operators.</w:t>
      </w:r>
    </w:p>
    <w:p w14:paraId="41AB23F7" w14:textId="77777777" w:rsid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4)</w:t>
      </w:r>
      <w:r w:rsidRPr="002A4980">
        <w:rPr>
          <w:rFonts w:asciiTheme="minorHAnsi" w:hAnsiTheme="minorHAnsi" w:cstheme="minorHAnsi"/>
          <w:szCs w:val="24"/>
          <w:lang w:val="en-US"/>
        </w:rPr>
        <w:tab/>
        <w:t>The adoption of new ITU Resolutions and Recommendations that relate to issues pertaining to the 1988 ITRs or examine issues that need to be reflected in the ITRs in order to create conditions for the introduction of new telecommunication/ICT technologies and services for all users.</w:t>
      </w:r>
    </w:p>
    <w:p w14:paraId="5D8F9637" w14:textId="61D4A884" w:rsidR="002A4980" w:rsidRPr="00302BED"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 xml:space="preserve">Opinions regarding future ITRs diverged as they do today, but </w:t>
      </w:r>
      <w:r w:rsidR="00443C2B" w:rsidRPr="002A4980">
        <w:rPr>
          <w:rFonts w:asciiTheme="minorHAnsi" w:hAnsiTheme="minorHAnsi" w:cstheme="minorHAnsi"/>
          <w:szCs w:val="24"/>
          <w:lang w:val="en-US"/>
        </w:rPr>
        <w:t xml:space="preserve">all the parties to the discussion in 2010 adopted by consensus </w:t>
      </w:r>
      <w:r w:rsidRPr="002A4980">
        <w:rPr>
          <w:rFonts w:asciiTheme="minorHAnsi" w:hAnsiTheme="minorHAnsi" w:cstheme="minorHAnsi"/>
          <w:szCs w:val="24"/>
          <w:lang w:val="en-US"/>
        </w:rPr>
        <w:t xml:space="preserve">a decision </w:t>
      </w:r>
      <w:r w:rsidR="00443C2B">
        <w:rPr>
          <w:rFonts w:asciiTheme="minorHAnsi" w:hAnsiTheme="minorHAnsi" w:cstheme="minorHAnsi"/>
          <w:szCs w:val="24"/>
          <w:lang w:val="en-US"/>
        </w:rPr>
        <w:t xml:space="preserve">to revise </w:t>
      </w:r>
      <w:r w:rsidRPr="002A4980">
        <w:rPr>
          <w:rFonts w:asciiTheme="minorHAnsi" w:hAnsiTheme="minorHAnsi" w:cstheme="minorHAnsi"/>
          <w:szCs w:val="24"/>
          <w:lang w:val="en-US"/>
        </w:rPr>
        <w:t xml:space="preserve">the 1988 ITRs and </w:t>
      </w:r>
      <w:r w:rsidR="00443C2B">
        <w:rPr>
          <w:rFonts w:asciiTheme="minorHAnsi" w:hAnsiTheme="minorHAnsi" w:cstheme="minorHAnsi"/>
          <w:szCs w:val="24"/>
          <w:lang w:val="en-US"/>
        </w:rPr>
        <w:t>hold</w:t>
      </w:r>
      <w:r w:rsidR="00443C2B" w:rsidRPr="002A4980">
        <w:rPr>
          <w:rFonts w:asciiTheme="minorHAnsi" w:hAnsiTheme="minorHAnsi" w:cstheme="minorHAnsi"/>
          <w:szCs w:val="24"/>
          <w:lang w:val="en-US"/>
        </w:rPr>
        <w:t xml:space="preserve"> </w:t>
      </w:r>
      <w:r w:rsidRPr="002A4980">
        <w:rPr>
          <w:rFonts w:asciiTheme="minorHAnsi" w:hAnsiTheme="minorHAnsi" w:cstheme="minorHAnsi"/>
          <w:szCs w:val="24"/>
          <w:lang w:val="en-US"/>
        </w:rPr>
        <w:t>WCIT-12 for that purpose.</w:t>
      </w:r>
    </w:p>
    <w:p w14:paraId="6882B3DD" w14:textId="77777777" w:rsid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However, as the ITRs had not been revised for 24 years before 2012, WCIT-12 for objective reasons was not able to discuss adequately and reach a compromise on all the proposals received from ITU Member States and Sector Members, taking into account all current trends in telecommunications/ICTs.</w:t>
      </w:r>
    </w:p>
    <w:p w14:paraId="793B1719" w14:textId="710F1845"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 xml:space="preserve">As a result, there is currently a certain dichotomy in the implementation of the two versions of the ITRs: on the one hand, all Member States have agreed on the need to revise the 1988 ITRs, while on the other hand, a number of administrations at WCIT-12 stated that it would not be possible to accede to the revised ITRs in 2012 and </w:t>
      </w:r>
      <w:r w:rsidR="00443C2B" w:rsidRPr="00443C2B">
        <w:rPr>
          <w:rFonts w:asciiTheme="minorHAnsi" w:hAnsiTheme="minorHAnsi" w:cstheme="minorHAnsi"/>
          <w:szCs w:val="24"/>
          <w:lang w:val="en-US"/>
        </w:rPr>
        <w:t>subsequent</w:t>
      </w:r>
      <w:r w:rsidR="00302BED" w:rsidRPr="00302BED">
        <w:rPr>
          <w:rFonts w:asciiTheme="minorHAnsi" w:hAnsiTheme="minorHAnsi" w:cstheme="minorHAnsi"/>
          <w:szCs w:val="24"/>
          <w:lang w:val="en-US"/>
        </w:rPr>
        <w:t xml:space="preserve"> </w:t>
      </w:r>
      <w:r w:rsidRPr="002A4980">
        <w:rPr>
          <w:rFonts w:asciiTheme="minorHAnsi" w:hAnsiTheme="minorHAnsi" w:cstheme="minorHAnsi"/>
          <w:szCs w:val="24"/>
          <w:lang w:val="en-US"/>
        </w:rPr>
        <w:t>years.</w:t>
      </w:r>
    </w:p>
    <w:p w14:paraId="6AF216E9" w14:textId="433C733A"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This state of affairs, in addition to the previous problems of effective implementation of the 1988 ITRs, also gives rise to new challenges for administrations and operators when collaborating with partners from countries</w:t>
      </w:r>
      <w:r w:rsidR="00443C2B">
        <w:rPr>
          <w:rFonts w:asciiTheme="minorHAnsi" w:hAnsiTheme="minorHAnsi" w:cstheme="minorHAnsi"/>
          <w:szCs w:val="24"/>
          <w:lang w:val="en-US"/>
        </w:rPr>
        <w:t>,</w:t>
      </w:r>
      <w:r w:rsidRPr="002A4980">
        <w:rPr>
          <w:rFonts w:asciiTheme="minorHAnsi" w:hAnsiTheme="minorHAnsi" w:cstheme="minorHAnsi"/>
          <w:szCs w:val="24"/>
          <w:lang w:val="en-US"/>
        </w:rPr>
        <w:t xml:space="preserve"> in which different versions of the ITRs (1988 and 2012) are applied at the national level.</w:t>
      </w:r>
    </w:p>
    <w:p w14:paraId="6465DA29" w14:textId="630DCC89"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At the sa</w:t>
      </w:r>
      <w:r w:rsidR="00443C2B">
        <w:rPr>
          <w:rFonts w:asciiTheme="minorHAnsi" w:hAnsiTheme="minorHAnsi" w:cstheme="minorHAnsi"/>
          <w:szCs w:val="24"/>
          <w:lang w:val="en-US"/>
        </w:rPr>
        <w:t>me time, both versions of the</w:t>
      </w:r>
      <w:r w:rsidRPr="002A4980">
        <w:rPr>
          <w:rFonts w:asciiTheme="minorHAnsi" w:hAnsiTheme="minorHAnsi" w:cstheme="minorHAnsi"/>
          <w:szCs w:val="24"/>
          <w:lang w:val="en-US"/>
        </w:rPr>
        <w:t xml:space="preserve"> ITRs include, among other</w:t>
      </w:r>
      <w:r w:rsidR="00443C2B">
        <w:rPr>
          <w:rFonts w:asciiTheme="minorHAnsi" w:hAnsiTheme="minorHAnsi" w:cstheme="minorHAnsi"/>
          <w:szCs w:val="24"/>
          <w:lang w:val="en-US"/>
        </w:rPr>
        <w:t>s</w:t>
      </w:r>
      <w:r w:rsidRPr="002A4980">
        <w:rPr>
          <w:rFonts w:asciiTheme="minorHAnsi" w:hAnsiTheme="minorHAnsi" w:cstheme="minorHAnsi"/>
          <w:szCs w:val="24"/>
          <w:lang w:val="en-US"/>
        </w:rPr>
        <w:t xml:space="preserve">, a number of </w:t>
      </w:r>
      <w:r w:rsidR="00443C2B">
        <w:rPr>
          <w:rFonts w:asciiTheme="minorHAnsi" w:hAnsiTheme="minorHAnsi" w:cstheme="minorHAnsi"/>
          <w:szCs w:val="24"/>
          <w:lang w:val="en-US"/>
        </w:rPr>
        <w:t>important</w:t>
      </w:r>
      <w:r w:rsidR="00443C2B" w:rsidRPr="002A4980">
        <w:rPr>
          <w:rFonts w:asciiTheme="minorHAnsi" w:hAnsiTheme="minorHAnsi" w:cstheme="minorHAnsi"/>
          <w:szCs w:val="24"/>
          <w:lang w:val="en-US"/>
        </w:rPr>
        <w:t xml:space="preserve"> </w:t>
      </w:r>
      <w:r w:rsidRPr="002A4980">
        <w:rPr>
          <w:rFonts w:asciiTheme="minorHAnsi" w:hAnsiTheme="minorHAnsi" w:cstheme="minorHAnsi"/>
          <w:szCs w:val="24"/>
          <w:lang w:val="en-US"/>
        </w:rPr>
        <w:t xml:space="preserve">provisions concerning the economic aspects of providing telecommunication/ICT services, including for end users, namely: </w:t>
      </w:r>
    </w:p>
    <w:p w14:paraId="326F37EE" w14:textId="77777777"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1)</w:t>
      </w:r>
      <w:r w:rsidRPr="002A4980">
        <w:rPr>
          <w:rFonts w:asciiTheme="minorHAnsi" w:hAnsiTheme="minorHAnsi" w:cstheme="minorHAnsi"/>
          <w:szCs w:val="24"/>
          <w:lang w:val="en-US"/>
        </w:rPr>
        <w:tab/>
        <w:t>Avoidance of double taxation.</w:t>
      </w:r>
    </w:p>
    <w:p w14:paraId="6FC1618D" w14:textId="77777777"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2)</w:t>
      </w:r>
      <w:r w:rsidRPr="002A4980">
        <w:rPr>
          <w:rFonts w:asciiTheme="minorHAnsi" w:hAnsiTheme="minorHAnsi" w:cstheme="minorHAnsi"/>
          <w:szCs w:val="24"/>
          <w:lang w:val="en-US"/>
        </w:rPr>
        <w:tab/>
        <w:t>Application of mechanisms for the settlement (offsetting) of accounts for international telecommunication/ICT services.</w:t>
      </w:r>
    </w:p>
    <w:p w14:paraId="68C851FC" w14:textId="77777777"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3)</w:t>
      </w:r>
      <w:r w:rsidRPr="002A4980">
        <w:rPr>
          <w:rFonts w:asciiTheme="minorHAnsi" w:hAnsiTheme="minorHAnsi" w:cstheme="minorHAnsi"/>
          <w:szCs w:val="24"/>
          <w:lang w:val="en-US"/>
        </w:rPr>
        <w:tab/>
        <w:t>Provision of international service (technical) telecommunications free of charge.</w:t>
      </w:r>
    </w:p>
    <w:p w14:paraId="67FE22CF" w14:textId="77777777"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4)</w:t>
      </w:r>
      <w:r w:rsidRPr="002A4980">
        <w:rPr>
          <w:rFonts w:asciiTheme="minorHAnsi" w:hAnsiTheme="minorHAnsi" w:cstheme="minorHAnsi"/>
          <w:szCs w:val="24"/>
          <w:lang w:val="en-US"/>
        </w:rPr>
        <w:tab/>
        <w:t>Procedures for issuing invoices and settlements for international telecommunication services.</w:t>
      </w:r>
    </w:p>
    <w:p w14:paraId="1B8A5F7B" w14:textId="77777777"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5)</w:t>
      </w:r>
      <w:r w:rsidRPr="002A4980">
        <w:rPr>
          <w:rFonts w:asciiTheme="minorHAnsi" w:hAnsiTheme="minorHAnsi" w:cstheme="minorHAnsi"/>
          <w:szCs w:val="24"/>
          <w:lang w:val="en-US"/>
        </w:rPr>
        <w:tab/>
        <w:t>Procedures for issuing invoices and settlements for international maritime telecommunications.</w:t>
      </w:r>
    </w:p>
    <w:p w14:paraId="267DA3F6" w14:textId="77777777"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6)</w:t>
      </w:r>
      <w:r w:rsidRPr="002A4980">
        <w:rPr>
          <w:rFonts w:asciiTheme="minorHAnsi" w:hAnsiTheme="minorHAnsi" w:cstheme="minorHAnsi"/>
          <w:szCs w:val="24"/>
          <w:lang w:val="en-US"/>
        </w:rPr>
        <w:tab/>
        <w:t>Application of settlements between operators for international communication services via a third party (“accounting authority”).</w:t>
      </w:r>
    </w:p>
    <w:p w14:paraId="3D07E9A3" w14:textId="1AE8E47B"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 xml:space="preserve">Not </w:t>
      </w:r>
      <w:proofErr w:type="gramStart"/>
      <w:r w:rsidRPr="002A4980">
        <w:rPr>
          <w:rFonts w:asciiTheme="minorHAnsi" w:hAnsiTheme="minorHAnsi" w:cstheme="minorHAnsi"/>
          <w:szCs w:val="24"/>
          <w:lang w:val="en-US"/>
        </w:rPr>
        <w:t>all of</w:t>
      </w:r>
      <w:proofErr w:type="gramEnd"/>
      <w:r w:rsidRPr="002A4980">
        <w:rPr>
          <w:rFonts w:asciiTheme="minorHAnsi" w:hAnsiTheme="minorHAnsi" w:cstheme="minorHAnsi"/>
          <w:szCs w:val="24"/>
          <w:lang w:val="en-US"/>
        </w:rPr>
        <w:t xml:space="preserve"> the above provisions are included in both versions of the ITRs, </w:t>
      </w:r>
      <w:r w:rsidR="007E5CA6">
        <w:rPr>
          <w:rFonts w:asciiTheme="minorHAnsi" w:hAnsiTheme="minorHAnsi" w:cstheme="minorHAnsi"/>
          <w:szCs w:val="24"/>
          <w:lang w:val="en-US"/>
        </w:rPr>
        <w:t>that</w:t>
      </w:r>
      <w:r w:rsidRPr="002A4980">
        <w:rPr>
          <w:rFonts w:asciiTheme="minorHAnsi" w:hAnsiTheme="minorHAnsi" w:cstheme="minorHAnsi"/>
          <w:szCs w:val="24"/>
          <w:lang w:val="en-US"/>
        </w:rPr>
        <w:t xml:space="preserve"> creates additional potential risks of financial loss for the following reasons:</w:t>
      </w:r>
    </w:p>
    <w:p w14:paraId="739AE0D0" w14:textId="77777777"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w:t>
      </w:r>
      <w:r w:rsidRPr="002A4980">
        <w:rPr>
          <w:rFonts w:asciiTheme="minorHAnsi" w:hAnsiTheme="minorHAnsi" w:cstheme="minorHAnsi"/>
          <w:szCs w:val="24"/>
          <w:lang w:val="en-US"/>
        </w:rPr>
        <w:tab/>
        <w:t xml:space="preserve">the impossibility of applying the 1988 ITRs because their provisions are </w:t>
      </w:r>
      <w:proofErr w:type="gramStart"/>
      <w:r w:rsidRPr="002A4980">
        <w:rPr>
          <w:rFonts w:asciiTheme="minorHAnsi" w:hAnsiTheme="minorHAnsi" w:cstheme="minorHAnsi"/>
          <w:szCs w:val="24"/>
          <w:lang w:val="en-US"/>
        </w:rPr>
        <w:t>outdated;</w:t>
      </w:r>
      <w:proofErr w:type="gramEnd"/>
    </w:p>
    <w:p w14:paraId="17AF7A29" w14:textId="77777777"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w:t>
      </w:r>
      <w:r w:rsidRPr="002A4980">
        <w:rPr>
          <w:rFonts w:asciiTheme="minorHAnsi" w:hAnsiTheme="minorHAnsi" w:cstheme="minorHAnsi"/>
          <w:szCs w:val="24"/>
          <w:lang w:val="en-US"/>
        </w:rPr>
        <w:tab/>
        <w:t xml:space="preserve">the fact that not all ITU Member States are covered by the 2012 </w:t>
      </w:r>
      <w:proofErr w:type="gramStart"/>
      <w:r w:rsidRPr="002A4980">
        <w:rPr>
          <w:rFonts w:asciiTheme="minorHAnsi" w:hAnsiTheme="minorHAnsi" w:cstheme="minorHAnsi"/>
          <w:szCs w:val="24"/>
          <w:lang w:val="en-US"/>
        </w:rPr>
        <w:t>ITRs;</w:t>
      </w:r>
      <w:proofErr w:type="gramEnd"/>
    </w:p>
    <w:p w14:paraId="073B94BB" w14:textId="7C9EE7C8" w:rsidR="00A962C6"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w:t>
      </w:r>
      <w:r w:rsidRPr="002A4980">
        <w:rPr>
          <w:rFonts w:asciiTheme="minorHAnsi" w:hAnsiTheme="minorHAnsi" w:cstheme="minorHAnsi"/>
          <w:szCs w:val="24"/>
          <w:lang w:val="en-US"/>
        </w:rPr>
        <w:tab/>
        <w:t>the lack of clarity as regards the possibility of applying both the 1988 and 2012 ITRs.</w:t>
      </w:r>
    </w:p>
    <w:p w14:paraId="772EE488" w14:textId="77777777"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b/>
          <w:szCs w:val="24"/>
          <w:lang w:val="en-US"/>
        </w:rPr>
      </w:pPr>
    </w:p>
    <w:p w14:paraId="13C57E03" w14:textId="13379E26" w:rsidR="00A962C6" w:rsidRPr="002A4980" w:rsidRDefault="00A962C6" w:rsidP="00A962C6">
      <w:pPr>
        <w:tabs>
          <w:tab w:val="left" w:pos="993"/>
        </w:tabs>
        <w:overflowPunct/>
        <w:autoSpaceDE/>
        <w:autoSpaceDN/>
        <w:adjustRightInd/>
        <w:spacing w:before="0"/>
        <w:ind w:firstLine="709"/>
        <w:jc w:val="both"/>
        <w:textAlignment w:val="auto"/>
        <w:rPr>
          <w:rFonts w:asciiTheme="minorHAnsi" w:hAnsiTheme="minorHAnsi" w:cstheme="minorHAnsi"/>
          <w:b/>
          <w:szCs w:val="24"/>
          <w:lang w:val="en-US"/>
        </w:rPr>
      </w:pPr>
      <w:r w:rsidRPr="002A4980">
        <w:rPr>
          <w:rFonts w:asciiTheme="minorHAnsi" w:hAnsiTheme="minorHAnsi" w:cstheme="minorHAnsi"/>
          <w:b/>
          <w:szCs w:val="24"/>
          <w:lang w:val="en-US"/>
        </w:rPr>
        <w:t xml:space="preserve">II. </w:t>
      </w:r>
      <w:r w:rsidR="002A4980" w:rsidRPr="002A4980">
        <w:rPr>
          <w:rFonts w:asciiTheme="minorHAnsi" w:hAnsiTheme="minorHAnsi" w:cstheme="minorHAnsi"/>
          <w:b/>
          <w:szCs w:val="24"/>
          <w:lang w:val="en-US"/>
        </w:rPr>
        <w:t>Proposals</w:t>
      </w:r>
    </w:p>
    <w:p w14:paraId="3D8F88DB" w14:textId="6D69845D" w:rsidR="002A4980" w:rsidRPr="002A4980" w:rsidRDefault="002A4980" w:rsidP="00443C2B">
      <w:pPr>
        <w:ind w:firstLine="709"/>
        <w:jc w:val="both"/>
        <w:rPr>
          <w:rFonts w:asciiTheme="minorHAnsi" w:hAnsiTheme="minorHAnsi" w:cstheme="minorHAnsi"/>
          <w:szCs w:val="24"/>
          <w:lang w:val="en-US"/>
        </w:rPr>
      </w:pPr>
      <w:r w:rsidRPr="002A4980">
        <w:rPr>
          <w:rFonts w:asciiTheme="minorHAnsi" w:hAnsiTheme="minorHAnsi" w:cstheme="minorHAnsi"/>
          <w:szCs w:val="24"/>
          <w:lang w:val="en-US"/>
        </w:rPr>
        <w:t xml:space="preserve">In the light of the foregoing, we propose including the following points in the </w:t>
      </w:r>
      <w:r w:rsidR="00D13CD8">
        <w:rPr>
          <w:rFonts w:asciiTheme="minorHAnsi" w:hAnsiTheme="minorHAnsi" w:cstheme="minorHAnsi"/>
          <w:szCs w:val="24"/>
          <w:lang w:val="en-US"/>
        </w:rPr>
        <w:t>interim</w:t>
      </w:r>
      <w:r w:rsidR="00D13CD8" w:rsidRPr="002A4980">
        <w:rPr>
          <w:rFonts w:asciiTheme="minorHAnsi" w:hAnsiTheme="minorHAnsi" w:cstheme="minorHAnsi"/>
          <w:szCs w:val="24"/>
          <w:lang w:val="en-US"/>
        </w:rPr>
        <w:t xml:space="preserve"> </w:t>
      </w:r>
      <w:r w:rsidRPr="002A4980">
        <w:rPr>
          <w:rFonts w:asciiTheme="minorHAnsi" w:hAnsiTheme="minorHAnsi" w:cstheme="minorHAnsi"/>
          <w:szCs w:val="24"/>
          <w:lang w:val="en-US"/>
        </w:rPr>
        <w:t>report of EG-ITRs</w:t>
      </w:r>
      <w:r>
        <w:rPr>
          <w:rFonts w:asciiTheme="minorHAnsi" w:hAnsiTheme="minorHAnsi" w:cstheme="minorHAnsi"/>
          <w:szCs w:val="24"/>
          <w:lang w:val="en-US"/>
        </w:rPr>
        <w:t xml:space="preserve"> for Council Session 2024</w:t>
      </w:r>
      <w:r w:rsidRPr="002A4980">
        <w:rPr>
          <w:rFonts w:asciiTheme="minorHAnsi" w:hAnsiTheme="minorHAnsi" w:cstheme="minorHAnsi"/>
          <w:szCs w:val="24"/>
          <w:lang w:val="en-US"/>
        </w:rPr>
        <w:t>:</w:t>
      </w:r>
    </w:p>
    <w:p w14:paraId="2FBCE21A" w14:textId="4D635107" w:rsidR="002A4980" w:rsidRDefault="002A4980" w:rsidP="002A4980">
      <w:pPr>
        <w:spacing w:before="0"/>
        <w:ind w:firstLine="709"/>
        <w:jc w:val="both"/>
        <w:rPr>
          <w:rFonts w:asciiTheme="minorHAnsi" w:hAnsiTheme="minorHAnsi" w:cstheme="minorHAnsi"/>
          <w:szCs w:val="24"/>
          <w:lang w:val="en-US"/>
        </w:rPr>
      </w:pPr>
      <w:r w:rsidRPr="002A4980">
        <w:rPr>
          <w:rFonts w:asciiTheme="minorHAnsi" w:hAnsiTheme="minorHAnsi" w:cstheme="minorHAnsi"/>
          <w:szCs w:val="24"/>
          <w:lang w:val="en-US"/>
        </w:rPr>
        <w:t>1)</w:t>
      </w:r>
      <w:r w:rsidRPr="002A4980">
        <w:rPr>
          <w:rFonts w:asciiTheme="minorHAnsi" w:hAnsiTheme="minorHAnsi" w:cstheme="minorHAnsi"/>
          <w:szCs w:val="24"/>
          <w:lang w:val="en-US"/>
        </w:rPr>
        <w:tab/>
        <w:t xml:space="preserve">To underline the importance of having a single text of the ITRs (by analogy with the Radio Regulations) for application by all Member States in order to create an enabling environment that fosters supportive, transparent, </w:t>
      </w:r>
      <w:r w:rsidR="00C71B4E" w:rsidRPr="002A4980">
        <w:rPr>
          <w:rFonts w:asciiTheme="minorHAnsi" w:hAnsiTheme="minorHAnsi" w:cstheme="minorHAnsi"/>
          <w:szCs w:val="24"/>
          <w:lang w:val="en-US"/>
        </w:rPr>
        <w:t>pro-competitive</w:t>
      </w:r>
      <w:r w:rsidRPr="002A4980">
        <w:rPr>
          <w:rFonts w:asciiTheme="minorHAnsi" w:hAnsiTheme="minorHAnsi" w:cstheme="minorHAnsi"/>
          <w:szCs w:val="24"/>
          <w:lang w:val="en-US"/>
        </w:rPr>
        <w:t xml:space="preserve"> and predictable policies </w:t>
      </w:r>
      <w:r w:rsidRPr="002A4980">
        <w:rPr>
          <w:rFonts w:asciiTheme="minorHAnsi" w:hAnsiTheme="minorHAnsi" w:cstheme="minorHAnsi"/>
          <w:szCs w:val="24"/>
          <w:lang w:val="en-US"/>
        </w:rPr>
        <w:lastRenderedPageBreak/>
        <w:t>and decisions, as well as a regulatory and legal framework that provides the necessary incentives for investment in the development of telecommunications/ICTs and of the information society as a whole in the interests of the end user.</w:t>
      </w:r>
    </w:p>
    <w:p w14:paraId="400ED868" w14:textId="77777777" w:rsidR="00302BED" w:rsidRDefault="002A4980" w:rsidP="002A4980">
      <w:pPr>
        <w:spacing w:before="0"/>
        <w:ind w:firstLine="709"/>
        <w:jc w:val="both"/>
        <w:rPr>
          <w:rFonts w:asciiTheme="minorHAnsi" w:hAnsiTheme="minorHAnsi" w:cstheme="minorHAnsi"/>
          <w:szCs w:val="24"/>
          <w:lang w:val="en-US"/>
        </w:rPr>
      </w:pPr>
      <w:r w:rsidRPr="002A4980">
        <w:rPr>
          <w:rFonts w:asciiTheme="minorHAnsi" w:hAnsiTheme="minorHAnsi" w:cstheme="minorHAnsi"/>
          <w:szCs w:val="24"/>
          <w:lang w:val="en-US"/>
        </w:rPr>
        <w:t>2)</w:t>
      </w:r>
      <w:r w:rsidRPr="002A4980">
        <w:rPr>
          <w:rFonts w:asciiTheme="minorHAnsi" w:hAnsiTheme="minorHAnsi" w:cstheme="minorHAnsi"/>
          <w:szCs w:val="24"/>
          <w:lang w:val="en-US"/>
        </w:rPr>
        <w:tab/>
        <w:t xml:space="preserve">To note the current lack of clarity regarding the possibility of applying </w:t>
      </w:r>
      <w:r w:rsidR="00D13CD8" w:rsidRPr="00302BED">
        <w:rPr>
          <w:rFonts w:asciiTheme="minorHAnsi" w:hAnsiTheme="minorHAnsi" w:cstheme="minorHAnsi"/>
          <w:szCs w:val="24"/>
          <w:lang w:val="en-US"/>
        </w:rPr>
        <w:t>(joint use of)</w:t>
      </w:r>
      <w:r w:rsidR="00D13CD8">
        <w:rPr>
          <w:rFonts w:asciiTheme="minorHAnsi" w:hAnsiTheme="minorHAnsi" w:cstheme="minorHAnsi"/>
          <w:szCs w:val="24"/>
          <w:lang w:val="en-US"/>
        </w:rPr>
        <w:t xml:space="preserve"> </w:t>
      </w:r>
      <w:r w:rsidRPr="002A4980">
        <w:rPr>
          <w:rFonts w:asciiTheme="minorHAnsi" w:hAnsiTheme="minorHAnsi" w:cstheme="minorHAnsi"/>
          <w:szCs w:val="24"/>
          <w:lang w:val="en-US"/>
        </w:rPr>
        <w:t>both the 1988 and 2012 editions of the ITRs, or either one of those editions</w:t>
      </w:r>
      <w:r w:rsidR="00D13CD8" w:rsidRPr="00D13CD8">
        <w:rPr>
          <w:rFonts w:asciiTheme="minorHAnsi" w:hAnsiTheme="minorHAnsi" w:cstheme="minorHAnsi"/>
          <w:szCs w:val="24"/>
          <w:lang w:val="en-US"/>
        </w:rPr>
        <w:t xml:space="preserve"> in the interaction of</w:t>
      </w:r>
      <w:r w:rsidRPr="002A4980">
        <w:rPr>
          <w:rFonts w:asciiTheme="minorHAnsi" w:hAnsiTheme="minorHAnsi" w:cstheme="minorHAnsi"/>
          <w:szCs w:val="24"/>
          <w:lang w:val="en-US"/>
        </w:rPr>
        <w:t xml:space="preserve"> administrations and operators of Member States applying different versions of the ITRs (1988 or 2012, as the case may be).</w:t>
      </w:r>
    </w:p>
    <w:p w14:paraId="21A76AEA" w14:textId="04EB3E94" w:rsidR="00A962C6" w:rsidRPr="00302BED" w:rsidRDefault="002A4980" w:rsidP="002A4980">
      <w:pPr>
        <w:spacing w:before="0"/>
        <w:ind w:firstLine="709"/>
        <w:jc w:val="both"/>
        <w:rPr>
          <w:rFonts w:asciiTheme="minorHAnsi" w:hAnsiTheme="minorHAnsi" w:cstheme="minorHAnsi"/>
          <w:szCs w:val="24"/>
          <w:lang w:val="en-US"/>
        </w:rPr>
      </w:pPr>
      <w:r w:rsidRPr="002A4980">
        <w:rPr>
          <w:rFonts w:asciiTheme="minorHAnsi" w:hAnsiTheme="minorHAnsi" w:cstheme="minorHAnsi"/>
          <w:szCs w:val="24"/>
          <w:lang w:val="en-US"/>
        </w:rPr>
        <w:t>3)</w:t>
      </w:r>
      <w:r w:rsidRPr="002A4980">
        <w:rPr>
          <w:rFonts w:asciiTheme="minorHAnsi" w:hAnsiTheme="minorHAnsi" w:cstheme="minorHAnsi"/>
          <w:szCs w:val="24"/>
          <w:lang w:val="en-US"/>
        </w:rPr>
        <w:tab/>
        <w:t xml:space="preserve">To indicate the necessity of holding a new WCIT, as </w:t>
      </w:r>
      <w:r w:rsidR="00D13CD8">
        <w:rPr>
          <w:rFonts w:asciiTheme="minorHAnsi" w:hAnsiTheme="minorHAnsi" w:cstheme="minorHAnsi"/>
          <w:szCs w:val="24"/>
          <w:lang w:val="en-US"/>
        </w:rPr>
        <w:t>a</w:t>
      </w:r>
      <w:r w:rsidR="00D13CD8" w:rsidRPr="002A4980">
        <w:rPr>
          <w:rFonts w:asciiTheme="minorHAnsi" w:hAnsiTheme="minorHAnsi" w:cstheme="minorHAnsi"/>
          <w:szCs w:val="24"/>
          <w:lang w:val="en-US"/>
        </w:rPr>
        <w:t xml:space="preserve"> </w:t>
      </w:r>
      <w:r w:rsidRPr="002A4980">
        <w:rPr>
          <w:rFonts w:asciiTheme="minorHAnsi" w:hAnsiTheme="minorHAnsi" w:cstheme="minorHAnsi"/>
          <w:szCs w:val="24"/>
          <w:lang w:val="en-US"/>
        </w:rPr>
        <w:t xml:space="preserve">sole </w:t>
      </w:r>
      <w:r w:rsidR="00D13CD8">
        <w:rPr>
          <w:rFonts w:asciiTheme="minorHAnsi" w:hAnsiTheme="minorHAnsi" w:cstheme="minorHAnsi"/>
          <w:szCs w:val="24"/>
          <w:lang w:val="en-US"/>
        </w:rPr>
        <w:t xml:space="preserve">and single </w:t>
      </w:r>
      <w:r w:rsidRPr="002A4980">
        <w:rPr>
          <w:rFonts w:asciiTheme="minorHAnsi" w:hAnsiTheme="minorHAnsi" w:cstheme="minorHAnsi"/>
          <w:szCs w:val="24"/>
          <w:lang w:val="en-US"/>
        </w:rPr>
        <w:t>legitimate mean, if it is not possible to reach a consensus at PP-</w:t>
      </w:r>
      <w:r w:rsidR="003E4809">
        <w:rPr>
          <w:rFonts w:asciiTheme="minorHAnsi" w:hAnsiTheme="minorHAnsi" w:cstheme="minorHAnsi"/>
          <w:szCs w:val="24"/>
          <w:lang w:val="en-US"/>
        </w:rPr>
        <w:t>26</w:t>
      </w:r>
      <w:r w:rsidRPr="002A4980">
        <w:rPr>
          <w:rFonts w:asciiTheme="minorHAnsi" w:hAnsiTheme="minorHAnsi" w:cstheme="minorHAnsi"/>
          <w:szCs w:val="24"/>
          <w:lang w:val="en-US"/>
        </w:rPr>
        <w:t xml:space="preserve"> on eliminating the discrepancies arising from the application of the 1988 and 2012 ITRs, and in order to </w:t>
      </w:r>
      <w:r w:rsidR="00D13CD8">
        <w:rPr>
          <w:rFonts w:asciiTheme="minorHAnsi" w:hAnsiTheme="minorHAnsi" w:cstheme="minorHAnsi"/>
          <w:szCs w:val="24"/>
          <w:lang w:val="en-US"/>
        </w:rPr>
        <w:t>achieve</w:t>
      </w:r>
      <w:r w:rsidR="00D13CD8" w:rsidRPr="002A4980">
        <w:rPr>
          <w:rFonts w:asciiTheme="minorHAnsi" w:hAnsiTheme="minorHAnsi" w:cstheme="minorHAnsi"/>
          <w:szCs w:val="24"/>
          <w:lang w:val="en-US"/>
        </w:rPr>
        <w:t xml:space="preserve"> </w:t>
      </w:r>
      <w:r w:rsidRPr="002A4980">
        <w:rPr>
          <w:rFonts w:asciiTheme="minorHAnsi" w:hAnsiTheme="minorHAnsi" w:cstheme="minorHAnsi"/>
          <w:szCs w:val="24"/>
          <w:lang w:val="en-US"/>
        </w:rPr>
        <w:t>a broad consensus on a single ITR text.</w:t>
      </w:r>
    </w:p>
    <w:p w14:paraId="257674B4" w14:textId="3330A21A" w:rsidR="00A514A4" w:rsidRPr="002463CA" w:rsidRDefault="00A962C6" w:rsidP="00C71B4E">
      <w:pPr>
        <w:pStyle w:val="ListParagraph"/>
        <w:tabs>
          <w:tab w:val="clear" w:pos="794"/>
          <w:tab w:val="clear" w:pos="1191"/>
          <w:tab w:val="clear" w:pos="1588"/>
          <w:tab w:val="clear" w:pos="1985"/>
          <w:tab w:val="left" w:pos="1134"/>
        </w:tabs>
        <w:spacing w:before="840"/>
        <w:ind w:left="709"/>
        <w:jc w:val="center"/>
        <w:rPr>
          <w:rFonts w:asciiTheme="minorHAnsi" w:hAnsiTheme="minorHAnsi" w:cstheme="minorHAnsi"/>
          <w:szCs w:val="24"/>
          <w:lang w:val="ru-RU"/>
        </w:rPr>
      </w:pPr>
      <w:r w:rsidRPr="002463CA">
        <w:rPr>
          <w:rFonts w:asciiTheme="minorHAnsi" w:hAnsiTheme="minorHAnsi" w:cstheme="minorHAnsi"/>
          <w:szCs w:val="24"/>
          <w:lang w:val="ru-RU"/>
        </w:rPr>
        <w:t>_______________</w:t>
      </w:r>
    </w:p>
    <w:sectPr w:rsidR="00A514A4" w:rsidRPr="002463CA"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B6CE6" w14:textId="77777777" w:rsidR="001B4754" w:rsidRDefault="001B4754">
      <w:r>
        <w:separator/>
      </w:r>
    </w:p>
  </w:endnote>
  <w:endnote w:type="continuationSeparator" w:id="0">
    <w:p w14:paraId="0258A5AA" w14:textId="77777777" w:rsidR="001B4754" w:rsidRDefault="001B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6E587A6D" w:rsidR="00EE49E8" w:rsidRDefault="00EE49E8" w:rsidP="00EE49E8">
          <w:pPr>
            <w:pStyle w:val="Header"/>
            <w:jc w:val="left"/>
            <w:rPr>
              <w:noProof/>
            </w:rPr>
          </w:pPr>
        </w:p>
      </w:tc>
      <w:tc>
        <w:tcPr>
          <w:tcW w:w="8261" w:type="dxa"/>
        </w:tcPr>
        <w:p w14:paraId="2D49E76E" w14:textId="21E66C36" w:rsidR="00EE49E8" w:rsidRPr="00E06FD5" w:rsidRDefault="00EE49E8" w:rsidP="00C71B4E">
          <w:pPr>
            <w:pStyle w:val="Header"/>
            <w:tabs>
              <w:tab w:val="left" w:pos="6163"/>
              <w:tab w:val="right" w:pos="7946"/>
              <w:tab w:val="right" w:pos="9639"/>
            </w:tabs>
            <w:jc w:val="left"/>
            <w:rPr>
              <w:rFonts w:ascii="Arial" w:hAnsi="Arial" w:cs="Arial"/>
              <w:b/>
              <w:bCs/>
              <w:szCs w:val="18"/>
            </w:rPr>
          </w:pPr>
          <w:r>
            <w:rPr>
              <w:bCs/>
            </w:rPr>
            <w:tab/>
          </w:r>
          <w:r w:rsidR="00A028B5">
            <w:rPr>
              <w:bCs/>
            </w:rPr>
            <w:t>EG-ITRs</w:t>
          </w:r>
          <w:r w:rsidR="00A52C84">
            <w:rPr>
              <w:bCs/>
            </w:rPr>
            <w:t>-</w:t>
          </w:r>
          <w:r w:rsidR="009D024E">
            <w:rPr>
              <w:bCs/>
            </w:rPr>
            <w:t>2</w:t>
          </w:r>
          <w:r w:rsidR="00A52C84" w:rsidRPr="00623AE3">
            <w:rPr>
              <w:bCs/>
            </w:rPr>
            <w:t>/</w:t>
          </w:r>
          <w:r w:rsidR="00C71B4E">
            <w:rPr>
              <w:bCs/>
            </w:rPr>
            <w:t>15</w:t>
          </w:r>
          <w:r w:rsidR="00A52C84" w:rsidRPr="00623AE3">
            <w:rPr>
              <w:bCs/>
            </w:rPr>
            <w:t>-E</w:t>
          </w:r>
          <w:r>
            <w:rPr>
              <w:bCs/>
            </w:rPr>
            <w:tab/>
          </w:r>
          <w:r>
            <w:fldChar w:fldCharType="begin"/>
          </w:r>
          <w:r>
            <w:instrText>PAGE</w:instrText>
          </w:r>
          <w:r>
            <w:fldChar w:fldCharType="separate"/>
          </w:r>
          <w:r w:rsidR="007E5CA6">
            <w:rPr>
              <w:noProof/>
            </w:rPr>
            <w:t>2</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52F3CEFC" w:rsidR="00EE49E8" w:rsidRPr="00E06FD5" w:rsidRDefault="00EE49E8" w:rsidP="00A028B5">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9D024E">
            <w:rPr>
              <w:bCs/>
            </w:rPr>
            <w:t>2</w:t>
          </w:r>
          <w:r w:rsidRPr="00623AE3">
            <w:rPr>
              <w:bCs/>
            </w:rPr>
            <w:t>/</w:t>
          </w:r>
          <w:r w:rsidR="00C71B4E">
            <w:rPr>
              <w:bCs/>
            </w:rPr>
            <w:t>15</w:t>
          </w:r>
          <w:r w:rsidRPr="00623AE3">
            <w:rPr>
              <w:bCs/>
            </w:rPr>
            <w:t>-E</w:t>
          </w:r>
          <w:r>
            <w:rPr>
              <w:bCs/>
            </w:rPr>
            <w:tab/>
          </w:r>
          <w:r>
            <w:fldChar w:fldCharType="begin"/>
          </w:r>
          <w:r>
            <w:instrText>PAGE</w:instrText>
          </w:r>
          <w:r>
            <w:fldChar w:fldCharType="separate"/>
          </w:r>
          <w:r w:rsidR="007E5CA6">
            <w:rPr>
              <w:noProof/>
            </w:rP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D1AC9" w14:textId="77777777" w:rsidR="001B4754" w:rsidRDefault="001B4754">
      <w:r>
        <w:t>____________________</w:t>
      </w:r>
    </w:p>
  </w:footnote>
  <w:footnote w:type="continuationSeparator" w:id="0">
    <w:p w14:paraId="249AB637" w14:textId="77777777" w:rsidR="001B4754" w:rsidRDefault="001B4754">
      <w:r>
        <w:continuationSeparator/>
      </w:r>
    </w:p>
  </w:footnote>
  <w:footnote w:id="1">
    <w:p w14:paraId="1A9BC689" w14:textId="35D10796" w:rsidR="00E57AE1" w:rsidRPr="00C71E80" w:rsidRDefault="00E57AE1" w:rsidP="00E57AE1">
      <w:pPr>
        <w:pStyle w:val="FootnoteText"/>
        <w:rPr>
          <w:lang w:val="en-US"/>
        </w:rPr>
      </w:pPr>
      <w:r>
        <w:rPr>
          <w:rStyle w:val="FootnoteReference"/>
        </w:rPr>
        <w:footnoteRef/>
      </w:r>
      <w:r>
        <w:t xml:space="preserve"> </w:t>
      </w:r>
      <w:r w:rsidR="00C71B4E">
        <w:tab/>
      </w:r>
      <w:r w:rsidRPr="00C71B4E">
        <w:rPr>
          <w:sz w:val="20"/>
        </w:rPr>
        <w:t>This contribution was supported at the meeting of the RCC Working</w:t>
      </w:r>
      <w:r w:rsidRPr="00C71B4E">
        <w:rPr>
          <w:sz w:val="20"/>
          <w:lang w:val="en-US"/>
        </w:rPr>
        <w:t xml:space="preserve"> Group on Cooperation </w:t>
      </w:r>
      <w:r w:rsidRPr="00C71B4E">
        <w:rPr>
          <w:sz w:val="20"/>
        </w:rPr>
        <w:t xml:space="preserve">with ITU by the administrations of Azerbaijan, Armenia, Kazakhstan, Kyrgyzstan, Russia, Tajikistan, </w:t>
      </w:r>
      <w:proofErr w:type="gramStart"/>
      <w:r w:rsidRPr="00C71B4E">
        <w:rPr>
          <w:sz w:val="20"/>
        </w:rPr>
        <w:t>Turkmenistan</w:t>
      </w:r>
      <w:proofErr w:type="gramEnd"/>
      <w:r w:rsidRPr="00C71B4E">
        <w:rPr>
          <w:sz w:val="20"/>
        </w:rPr>
        <w:t xml:space="preserve"> and Uzbekistan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p w14:paraId="3E21B143" w14:textId="178FA05C" w:rsidR="00AD3606" w:rsidRPr="009621F8" w:rsidRDefault="00DB00D5" w:rsidP="00130599">
          <w:pPr>
            <w:pStyle w:val="Header"/>
            <w:jc w:val="left"/>
            <w:rPr>
              <w:rFonts w:ascii="Arial" w:hAnsi="Arial" w:cs="Arial"/>
              <w:b/>
              <w:bCs/>
              <w:color w:val="009CD6"/>
              <w:sz w:val="36"/>
              <w:szCs w:val="36"/>
            </w:rPr>
          </w:pPr>
          <w:bookmarkStart w:id="12" w:name="_Hlk133422111"/>
          <w:r>
            <w:rPr>
              <w:rFonts w:ascii="Arial" w:hAnsi="Arial" w:cs="Arial"/>
              <w:b/>
              <w:bCs/>
              <w:noProof/>
              <w:color w:val="009CD6"/>
              <w:szCs w:val="18"/>
              <w:lang w:val="ru-RU" w:eastAsia="ru-RU"/>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4428F"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lang w:val="ru-RU" w:eastAsia="ru-RU"/>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lang w:val="ru-RU" w:eastAsia="ru-RU"/>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F365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lang w:val="ru-RU" w:eastAsia="ru-RU"/>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611895EC" w:rsidR="00130599" w:rsidRPr="00E57AE1" w:rsidRDefault="00E57AE1" w:rsidP="00130599">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Second</w:t>
                          </w:r>
                          <w:r w:rsidRPr="00130599">
                            <w:rPr>
                              <w:sz w:val="20"/>
                            </w:rPr>
                            <w:t xml:space="preserve"> meeting - </w:t>
                          </w:r>
                          <w:r>
                            <w:rPr>
                              <w:sz w:val="20"/>
                            </w:rPr>
                            <w:t>From 29 to 30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611895EC" w:rsidR="00130599" w:rsidRPr="00E57AE1" w:rsidRDefault="00E57AE1" w:rsidP="00130599">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Second</w:t>
                    </w:r>
                    <w:r w:rsidRPr="00130599">
                      <w:rPr>
                        <w:sz w:val="20"/>
                      </w:rPr>
                      <w:t xml:space="preserve"> meeting - </w:t>
                    </w:r>
                    <w:r>
                      <w:rPr>
                        <w:sz w:val="20"/>
                      </w:rPr>
                      <w:t>From 29 to 30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E40E09"/>
    <w:multiLevelType w:val="hybridMultilevel"/>
    <w:tmpl w:val="180017EC"/>
    <w:lvl w:ilvl="0" w:tplc="2806F106">
      <w:start w:val="1"/>
      <w:numFmt w:val="upperRoman"/>
      <w:lvlText w:val="%1."/>
      <w:lvlJc w:val="left"/>
      <w:pPr>
        <w:ind w:left="1609" w:hanging="90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463F2805"/>
    <w:multiLevelType w:val="hybridMultilevel"/>
    <w:tmpl w:val="1CF2EA16"/>
    <w:lvl w:ilvl="0" w:tplc="87044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16cid:durableId="745611378">
    <w:abstractNumId w:val="0"/>
  </w:num>
  <w:num w:numId="2" w16cid:durableId="695496430">
    <w:abstractNumId w:val="1"/>
  </w:num>
  <w:num w:numId="3" w16cid:durableId="1134903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ru-RU"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4754"/>
    <w:rsid w:val="001B51DD"/>
    <w:rsid w:val="001C628E"/>
    <w:rsid w:val="001E0F7B"/>
    <w:rsid w:val="0020555B"/>
    <w:rsid w:val="002119FD"/>
    <w:rsid w:val="002130E0"/>
    <w:rsid w:val="00244F7F"/>
    <w:rsid w:val="002463CA"/>
    <w:rsid w:val="00264425"/>
    <w:rsid w:val="00265875"/>
    <w:rsid w:val="0027303B"/>
    <w:rsid w:val="0028109B"/>
    <w:rsid w:val="00293B38"/>
    <w:rsid w:val="002A2188"/>
    <w:rsid w:val="002A4980"/>
    <w:rsid w:val="002B1F58"/>
    <w:rsid w:val="002C1C7A"/>
    <w:rsid w:val="002C54E2"/>
    <w:rsid w:val="002C70D3"/>
    <w:rsid w:val="0030160F"/>
    <w:rsid w:val="00302BED"/>
    <w:rsid w:val="00320223"/>
    <w:rsid w:val="00322D0D"/>
    <w:rsid w:val="003506AB"/>
    <w:rsid w:val="00361465"/>
    <w:rsid w:val="0036415F"/>
    <w:rsid w:val="003877F5"/>
    <w:rsid w:val="003942D4"/>
    <w:rsid w:val="003958A8"/>
    <w:rsid w:val="003C2533"/>
    <w:rsid w:val="003D5A7F"/>
    <w:rsid w:val="003E4809"/>
    <w:rsid w:val="004016E2"/>
    <w:rsid w:val="0040435A"/>
    <w:rsid w:val="00416A24"/>
    <w:rsid w:val="00431D9E"/>
    <w:rsid w:val="00433CE8"/>
    <w:rsid w:val="00434A5C"/>
    <w:rsid w:val="00443C2B"/>
    <w:rsid w:val="00443F64"/>
    <w:rsid w:val="004544D9"/>
    <w:rsid w:val="00472BAD"/>
    <w:rsid w:val="00482F59"/>
    <w:rsid w:val="00484009"/>
    <w:rsid w:val="00490E72"/>
    <w:rsid w:val="00491157"/>
    <w:rsid w:val="004921C8"/>
    <w:rsid w:val="00495B0B"/>
    <w:rsid w:val="004A1B8B"/>
    <w:rsid w:val="004D1851"/>
    <w:rsid w:val="004D599D"/>
    <w:rsid w:val="004D648B"/>
    <w:rsid w:val="004E2EA5"/>
    <w:rsid w:val="004E3AEB"/>
    <w:rsid w:val="0050223C"/>
    <w:rsid w:val="005141AD"/>
    <w:rsid w:val="005243FF"/>
    <w:rsid w:val="00564FBC"/>
    <w:rsid w:val="005800BC"/>
    <w:rsid w:val="0058137F"/>
    <w:rsid w:val="00582442"/>
    <w:rsid w:val="005A335D"/>
    <w:rsid w:val="005E2BD5"/>
    <w:rsid w:val="005F3269"/>
    <w:rsid w:val="00623AE3"/>
    <w:rsid w:val="00636853"/>
    <w:rsid w:val="0064737F"/>
    <w:rsid w:val="006535F1"/>
    <w:rsid w:val="0065557D"/>
    <w:rsid w:val="00660D50"/>
    <w:rsid w:val="00662984"/>
    <w:rsid w:val="006716BB"/>
    <w:rsid w:val="006B1859"/>
    <w:rsid w:val="006B6680"/>
    <w:rsid w:val="006B6DCC"/>
    <w:rsid w:val="006C11BB"/>
    <w:rsid w:val="00702DEF"/>
    <w:rsid w:val="00706861"/>
    <w:rsid w:val="00745D44"/>
    <w:rsid w:val="0075051B"/>
    <w:rsid w:val="00775655"/>
    <w:rsid w:val="00793188"/>
    <w:rsid w:val="00794D34"/>
    <w:rsid w:val="00794DFC"/>
    <w:rsid w:val="007E5CA6"/>
    <w:rsid w:val="00813E5E"/>
    <w:rsid w:val="0083408D"/>
    <w:rsid w:val="0083581B"/>
    <w:rsid w:val="00842B11"/>
    <w:rsid w:val="00863874"/>
    <w:rsid w:val="00864AFF"/>
    <w:rsid w:val="00865925"/>
    <w:rsid w:val="0086704D"/>
    <w:rsid w:val="008B4A6A"/>
    <w:rsid w:val="008C7E27"/>
    <w:rsid w:val="008F7448"/>
    <w:rsid w:val="0090147A"/>
    <w:rsid w:val="009173EF"/>
    <w:rsid w:val="00932906"/>
    <w:rsid w:val="00961B0B"/>
    <w:rsid w:val="00962D33"/>
    <w:rsid w:val="009B38C3"/>
    <w:rsid w:val="009D024E"/>
    <w:rsid w:val="009E17BD"/>
    <w:rsid w:val="009E485A"/>
    <w:rsid w:val="00A028B5"/>
    <w:rsid w:val="00A04CEC"/>
    <w:rsid w:val="00A27F92"/>
    <w:rsid w:val="00A32257"/>
    <w:rsid w:val="00A36D20"/>
    <w:rsid w:val="00A514A4"/>
    <w:rsid w:val="00A52C84"/>
    <w:rsid w:val="00A55622"/>
    <w:rsid w:val="00A76E79"/>
    <w:rsid w:val="00A83502"/>
    <w:rsid w:val="00A962C6"/>
    <w:rsid w:val="00AD15B3"/>
    <w:rsid w:val="00AD3606"/>
    <w:rsid w:val="00AD4A3D"/>
    <w:rsid w:val="00AF6E49"/>
    <w:rsid w:val="00B04A67"/>
    <w:rsid w:val="00B0583C"/>
    <w:rsid w:val="00B40A81"/>
    <w:rsid w:val="00B4436B"/>
    <w:rsid w:val="00B44910"/>
    <w:rsid w:val="00B72267"/>
    <w:rsid w:val="00B76EB6"/>
    <w:rsid w:val="00B7737B"/>
    <w:rsid w:val="00B824C8"/>
    <w:rsid w:val="00B84B9D"/>
    <w:rsid w:val="00B9682B"/>
    <w:rsid w:val="00BC251A"/>
    <w:rsid w:val="00BD032B"/>
    <w:rsid w:val="00BE2640"/>
    <w:rsid w:val="00BF0749"/>
    <w:rsid w:val="00C01189"/>
    <w:rsid w:val="00C374DE"/>
    <w:rsid w:val="00C47AD4"/>
    <w:rsid w:val="00C52D81"/>
    <w:rsid w:val="00C55198"/>
    <w:rsid w:val="00C71B4E"/>
    <w:rsid w:val="00CA6393"/>
    <w:rsid w:val="00CB18FF"/>
    <w:rsid w:val="00CD0C08"/>
    <w:rsid w:val="00CE03FB"/>
    <w:rsid w:val="00CE433C"/>
    <w:rsid w:val="00CF0161"/>
    <w:rsid w:val="00CF33F3"/>
    <w:rsid w:val="00D06183"/>
    <w:rsid w:val="00D13CD8"/>
    <w:rsid w:val="00D22C42"/>
    <w:rsid w:val="00D464CC"/>
    <w:rsid w:val="00D65041"/>
    <w:rsid w:val="00D670A7"/>
    <w:rsid w:val="00DB00D5"/>
    <w:rsid w:val="00DB1936"/>
    <w:rsid w:val="00DB384B"/>
    <w:rsid w:val="00DF0189"/>
    <w:rsid w:val="00E06FD5"/>
    <w:rsid w:val="00E10E80"/>
    <w:rsid w:val="00E124F0"/>
    <w:rsid w:val="00E227F3"/>
    <w:rsid w:val="00E543AC"/>
    <w:rsid w:val="00E545C6"/>
    <w:rsid w:val="00E57AE1"/>
    <w:rsid w:val="00E60F04"/>
    <w:rsid w:val="00E65B24"/>
    <w:rsid w:val="00E665B9"/>
    <w:rsid w:val="00E84179"/>
    <w:rsid w:val="00E854E4"/>
    <w:rsid w:val="00E86DBF"/>
    <w:rsid w:val="00EB0D6F"/>
    <w:rsid w:val="00EB2232"/>
    <w:rsid w:val="00EC5337"/>
    <w:rsid w:val="00EE49E8"/>
    <w:rsid w:val="00EF5B22"/>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D024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9D024E"/>
    <w:rPr>
      <w:color w:val="605E5C"/>
      <w:shd w:val="clear" w:color="auto" w:fill="E1DFDD"/>
    </w:rPr>
  </w:style>
  <w:style w:type="paragraph" w:styleId="ListParagraph">
    <w:name w:val="List Paragraph"/>
    <w:basedOn w:val="Normal"/>
    <w:uiPriority w:val="34"/>
    <w:qFormat/>
    <w:rsid w:val="00A962C6"/>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customStyle="1" w:styleId="FootnoteTextChar">
    <w:name w:val="Footnote Text Char"/>
    <w:basedOn w:val="DefaultParagraphFont"/>
    <w:link w:val="FootnoteText"/>
    <w:rsid w:val="00E57AE1"/>
    <w:rPr>
      <w:rFonts w:ascii="Calibri" w:hAnsi="Calibri"/>
      <w:sz w:val="24"/>
      <w:lang w:val="en-GB" w:eastAsia="en-US"/>
    </w:rPr>
  </w:style>
  <w:style w:type="character" w:customStyle="1" w:styleId="ms-rtethemeforecolor-2-0">
    <w:name w:val="ms-rtethemeforecolor-2-0"/>
    <w:basedOn w:val="DefaultParagraphFont"/>
    <w:rsid w:val="00E57AE1"/>
  </w:style>
  <w:style w:type="paragraph" w:styleId="BalloonText">
    <w:name w:val="Balloon Text"/>
    <w:basedOn w:val="Normal"/>
    <w:link w:val="BalloonTextChar"/>
    <w:semiHidden/>
    <w:unhideWhenUsed/>
    <w:rsid w:val="00302BE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02BE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3-CL-C-0121/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46-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905B11-E95D-4986-AB54-CDCF87F05464}">
  <ds:schemaRefs>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1aaea1ea-72e4-4374-b05e-72e2f16fb7ae"/>
    <ds:schemaRef ds:uri="http://schemas.microsoft.com/sharepoint/v3"/>
  </ds:schemaRefs>
</ds:datastoreItem>
</file>

<file path=customXml/itemProps2.xml><?xml version="1.0" encoding="utf-8"?>
<ds:datastoreItem xmlns:ds="http://schemas.openxmlformats.org/officeDocument/2006/customXml" ds:itemID="{673E2921-D301-494F-A7B7-C9DE636D1F2F}">
  <ds:schemaRefs>
    <ds:schemaRef ds:uri="http://schemas.microsoft.com/sharepoint/v3/contenttype/forms"/>
  </ds:schemaRefs>
</ds:datastoreItem>
</file>

<file path=customXml/itemProps3.xml><?xml version="1.0" encoding="utf-8"?>
<ds:datastoreItem xmlns:ds="http://schemas.openxmlformats.org/officeDocument/2006/customXml" ds:itemID="{73B97071-CC97-4374-A848-CF7E27F8426C}">
  <ds:schemaRefs>
    <ds:schemaRef ds:uri="http://schemas.openxmlformats.org/officeDocument/2006/bibliography"/>
  </ds:schemaRefs>
</ds:datastoreItem>
</file>

<file path=customXml/itemProps4.xml><?xml version="1.0" encoding="utf-8"?>
<ds:datastoreItem xmlns:ds="http://schemas.openxmlformats.org/officeDocument/2006/customXml" ds:itemID="{2D49921A-B9E5-4116-BCF7-2DC474B7D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1198</Words>
  <Characters>6830</Characters>
  <Application>Microsoft Office Word</Application>
  <DocSecurity>4</DocSecurity>
  <Lines>56</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8012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 - Problematic issues related to the application of the ITRs</dc:title>
  <dc:subject>Expert Group on the International Telecommunication Regulations</dc:subject>
  <dc:creator/>
  <cp:keywords>EG-ITRs, C24</cp:keywords>
  <dc:description/>
  <cp:lastModifiedBy/>
  <cp:revision>1</cp:revision>
  <dcterms:created xsi:type="dcterms:W3CDTF">2024-01-17T17:21:00Z</dcterms:created>
  <dcterms:modified xsi:type="dcterms:W3CDTF">2024-01-17T17:21:00Z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ies>
</file>