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1D2FE2" w:rsidRDefault="00AD3606" w:rsidP="00472BAD">
            <w:pPr>
              <w:tabs>
                <w:tab w:val="left" w:pos="851"/>
              </w:tabs>
              <w:spacing w:before="0" w:line="240" w:lineRule="atLeast"/>
              <w:rPr>
                <w:b/>
                <w:lang w:val="en-US"/>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2E85D940"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9D024E">
              <w:rPr>
                <w:b/>
                <w:lang w:val="fr-CH"/>
              </w:rPr>
              <w:t>2</w:t>
            </w:r>
            <w:r w:rsidRPr="00A52C84">
              <w:rPr>
                <w:b/>
                <w:lang w:val="fr-CH"/>
              </w:rPr>
              <w:t>/</w:t>
            </w:r>
            <w:r w:rsidR="009554CE">
              <w:rPr>
                <w:b/>
                <w:lang w:val="fr-CH"/>
              </w:rPr>
              <w:t>13</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646F994C" w:rsidR="00AD3606" w:rsidRPr="00E85629" w:rsidRDefault="009554CE" w:rsidP="00AD3606">
            <w:pPr>
              <w:tabs>
                <w:tab w:val="left" w:pos="851"/>
              </w:tabs>
              <w:spacing w:before="0"/>
              <w:jc w:val="right"/>
              <w:rPr>
                <w:b/>
              </w:rPr>
            </w:pPr>
            <w:r w:rsidRPr="009554CE">
              <w:rPr>
                <w:b/>
              </w:rPr>
              <w:t>16</w:t>
            </w:r>
            <w:r w:rsidR="00AD3606" w:rsidRPr="009554CE">
              <w:rPr>
                <w:b/>
              </w:rPr>
              <w:t xml:space="preserve"> </w:t>
            </w:r>
            <w:r w:rsidR="0083408D" w:rsidRPr="009554CE">
              <w:rPr>
                <w:b/>
              </w:rPr>
              <w:t>January</w:t>
            </w:r>
            <w:r w:rsidR="0083408D">
              <w:rPr>
                <w:b/>
              </w:rPr>
              <w:t xml:space="preserve">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2858E302" w:rsidR="00AD3606" w:rsidRPr="00783926" w:rsidRDefault="00783926" w:rsidP="00783926">
            <w:pPr>
              <w:tabs>
                <w:tab w:val="left" w:pos="851"/>
              </w:tabs>
              <w:spacing w:before="0" w:line="240" w:lineRule="atLeast"/>
              <w:jc w:val="right"/>
              <w:rPr>
                <w:b/>
                <w:lang w:val="en-US"/>
              </w:rPr>
            </w:pPr>
            <w:r>
              <w:rPr>
                <w:b/>
                <w:lang w:val="en-US"/>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8667D09" w:rsidR="00AD3606" w:rsidRPr="009D024E" w:rsidRDefault="00244F7F" w:rsidP="00C71E80">
            <w:pPr>
              <w:pStyle w:val="Source"/>
              <w:framePr w:hSpace="0" w:wrap="auto" w:vAnchor="margin" w:hAnchor="text" w:xAlign="left" w:yAlign="inline"/>
            </w:pPr>
            <w:bookmarkStart w:id="8" w:name="dsource" w:colFirst="0" w:colLast="0"/>
            <w:bookmarkEnd w:id="7"/>
            <w:r w:rsidRPr="009D024E">
              <w:t>Contribution</w:t>
            </w:r>
            <w:r w:rsidR="00AD3606" w:rsidRPr="009D024E">
              <w:t xml:space="preserve"> </w:t>
            </w:r>
            <w:r w:rsidR="00842B11" w:rsidRPr="00842B11">
              <w:t xml:space="preserve">from </w:t>
            </w:r>
            <w:r w:rsidR="00C71E80">
              <w:t>Russian Federation</w:t>
            </w:r>
            <w:r w:rsidR="00C71E80">
              <w:rPr>
                <w:rStyle w:val="FootnoteReference"/>
              </w:rPr>
              <w:footnoteReference w:id="1"/>
            </w:r>
          </w:p>
        </w:tc>
      </w:tr>
      <w:tr w:rsidR="00AD3606" w:rsidRPr="001D2FE2" w14:paraId="2340750D" w14:textId="77777777" w:rsidTr="00AD3606">
        <w:trPr>
          <w:cantSplit/>
        </w:trPr>
        <w:tc>
          <w:tcPr>
            <w:tcW w:w="9214" w:type="dxa"/>
            <w:gridSpan w:val="2"/>
            <w:tcMar>
              <w:left w:w="0" w:type="dxa"/>
            </w:tcMar>
          </w:tcPr>
          <w:p w14:paraId="47B91AA8" w14:textId="6B343015" w:rsidR="00AD3606" w:rsidRPr="001D2FE2" w:rsidRDefault="001D2FE2" w:rsidP="008A0B08">
            <w:pPr>
              <w:pStyle w:val="Subtitle"/>
              <w:framePr w:hSpace="0" w:wrap="auto" w:xAlign="left" w:yAlign="inline"/>
              <w:rPr>
                <w:lang w:val="en-US"/>
              </w:rPr>
            </w:pPr>
            <w:bookmarkStart w:id="9" w:name="dtitle1" w:colFirst="0" w:colLast="0"/>
            <w:bookmarkStart w:id="10" w:name="_Hlk156407295"/>
            <w:bookmarkEnd w:id="8"/>
            <w:r w:rsidRPr="001D2FE2">
              <w:rPr>
                <w:lang w:val="en-US"/>
              </w:rPr>
              <w:t>UPDATING GENERAL SECRETARIAT DOCUMENTS CONCERNING PREPARATIONS FOR THE WORLD CONFERENCE ON INTERNATIONAL TELECOMMUNICATIONS 2012 AND PREPARATION OF NEW DOCUMENTS ON LEGAL AND PROCEDURAL ASPECTS OF THE EXAMINATION AND REVISION OF THE INTERNATIONAL TELECOMMUNICATION REGULATIONS (ITRs), AS WELL AS PROCEDURES FOR ACCESSION THERETO</w:t>
            </w:r>
            <w:bookmarkEnd w:id="10"/>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0F720CCA" w:rsidR="004D648B" w:rsidRPr="009554CE" w:rsidRDefault="004D648B" w:rsidP="004D648B">
            <w:pPr>
              <w:spacing w:before="160"/>
              <w:rPr>
                <w:b/>
                <w:bCs/>
                <w:sz w:val="26"/>
                <w:szCs w:val="26"/>
                <w:lang w:val="en-US"/>
              </w:rPr>
            </w:pPr>
            <w:r w:rsidRPr="004D648B">
              <w:rPr>
                <w:b/>
                <w:bCs/>
                <w:sz w:val="26"/>
                <w:szCs w:val="26"/>
              </w:rPr>
              <w:t>Purpose</w:t>
            </w:r>
          </w:p>
          <w:p w14:paraId="7AE39225" w14:textId="62C7EDF3" w:rsidR="001729D5" w:rsidRPr="00783937" w:rsidRDefault="00783937" w:rsidP="004D648B">
            <w:pPr>
              <w:spacing w:before="160"/>
              <w:rPr>
                <w:szCs w:val="24"/>
                <w:lang w:val="en-US"/>
              </w:rPr>
            </w:pPr>
            <w:r w:rsidRPr="00783937">
              <w:rPr>
                <w:szCs w:val="24"/>
                <w:lang w:val="en-US"/>
              </w:rPr>
              <w:t xml:space="preserve">Provide the </w:t>
            </w:r>
            <w:r>
              <w:rPr>
                <w:szCs w:val="24"/>
                <w:lang w:val="en-US"/>
              </w:rPr>
              <w:t>EG</w:t>
            </w:r>
            <w:r w:rsidRPr="00783937">
              <w:rPr>
                <w:szCs w:val="24"/>
                <w:lang w:val="en-US"/>
              </w:rPr>
              <w:t>-</w:t>
            </w:r>
            <w:r>
              <w:rPr>
                <w:szCs w:val="24"/>
                <w:lang w:val="en-US"/>
              </w:rPr>
              <w:t>ITRs</w:t>
            </w:r>
            <w:r w:rsidRPr="00783937">
              <w:rPr>
                <w:szCs w:val="24"/>
                <w:lang w:val="en-US"/>
              </w:rPr>
              <w:t xml:space="preserve"> with the necessary empirical and legally relevant information for the work on reviewing the </w:t>
            </w:r>
            <w:r>
              <w:rPr>
                <w:szCs w:val="24"/>
                <w:lang w:val="en-US"/>
              </w:rPr>
              <w:t>ITRs</w:t>
            </w:r>
            <w:r w:rsidRPr="00783937">
              <w:rPr>
                <w:szCs w:val="24"/>
                <w:lang w:val="en-US"/>
              </w:rPr>
              <w:t xml:space="preserve"> for P</w:t>
            </w:r>
            <w:r>
              <w:rPr>
                <w:szCs w:val="24"/>
                <w:lang w:val="en-US"/>
              </w:rPr>
              <w:t>P</w:t>
            </w:r>
            <w:r w:rsidRPr="00783937">
              <w:rPr>
                <w:szCs w:val="24"/>
                <w:lang w:val="en-US"/>
              </w:rPr>
              <w:t>-26</w:t>
            </w:r>
            <w:r w:rsidR="00685B3E">
              <w:rPr>
                <w:szCs w:val="24"/>
                <w:lang w:val="en-US"/>
              </w:rPr>
              <w:t>.</w:t>
            </w:r>
          </w:p>
          <w:p w14:paraId="16727A07" w14:textId="70DA1EFC" w:rsidR="004D648B" w:rsidRPr="00783937" w:rsidRDefault="004D648B" w:rsidP="004D648B">
            <w:pPr>
              <w:spacing w:before="160"/>
              <w:rPr>
                <w:b/>
                <w:bCs/>
                <w:sz w:val="26"/>
                <w:szCs w:val="26"/>
                <w:lang w:val="en-US"/>
              </w:rPr>
            </w:pPr>
            <w:r w:rsidRPr="004D648B">
              <w:rPr>
                <w:b/>
                <w:bCs/>
                <w:sz w:val="26"/>
                <w:szCs w:val="26"/>
              </w:rPr>
              <w:t>Action</w:t>
            </w:r>
            <w:r w:rsidRPr="00783937">
              <w:rPr>
                <w:b/>
                <w:bCs/>
                <w:sz w:val="26"/>
                <w:szCs w:val="26"/>
                <w:lang w:val="en-US"/>
              </w:rPr>
              <w:t xml:space="preserve"> </w:t>
            </w:r>
            <w:proofErr w:type="gramStart"/>
            <w:r w:rsidRPr="004D648B">
              <w:rPr>
                <w:b/>
                <w:bCs/>
                <w:sz w:val="26"/>
                <w:szCs w:val="26"/>
              </w:rPr>
              <w:t>required</w:t>
            </w:r>
            <w:proofErr w:type="gramEnd"/>
          </w:p>
          <w:p w14:paraId="2B872A2D" w14:textId="099F1EF4" w:rsidR="00C71E80" w:rsidRPr="00EA60CE" w:rsidRDefault="00C71E80" w:rsidP="00C71E80">
            <w:pPr>
              <w:spacing w:before="160"/>
              <w:rPr>
                <w:b/>
                <w:bCs/>
                <w:szCs w:val="24"/>
                <w:lang w:val="en-US"/>
              </w:rPr>
            </w:pPr>
            <w:r w:rsidRPr="00EA60CE">
              <w:t>The</w:t>
            </w:r>
            <w:r w:rsidRPr="00EA60CE">
              <w:rPr>
                <w:lang w:val="en-US"/>
              </w:rPr>
              <w:t xml:space="preserve"> </w:t>
            </w:r>
            <w:r w:rsidRPr="00EA60CE">
              <w:t>Expert</w:t>
            </w:r>
            <w:r w:rsidRPr="00EA60CE">
              <w:rPr>
                <w:lang w:val="en-US"/>
              </w:rPr>
              <w:t xml:space="preserve"> </w:t>
            </w:r>
            <w:r w:rsidRPr="00EA60CE">
              <w:t>Group</w:t>
            </w:r>
            <w:r w:rsidRPr="00EA60CE">
              <w:rPr>
                <w:lang w:val="en-US"/>
              </w:rPr>
              <w:t xml:space="preserve"> </w:t>
            </w:r>
            <w:r w:rsidRPr="00EA60CE">
              <w:t>on</w:t>
            </w:r>
            <w:r w:rsidRPr="00EA60CE">
              <w:rPr>
                <w:lang w:val="en-US"/>
              </w:rPr>
              <w:t xml:space="preserve"> </w:t>
            </w:r>
            <w:r w:rsidRPr="00EA60CE">
              <w:t>the</w:t>
            </w:r>
            <w:r w:rsidRPr="00EA60CE">
              <w:rPr>
                <w:lang w:val="en-US"/>
              </w:rPr>
              <w:t xml:space="preserve"> </w:t>
            </w:r>
            <w:r w:rsidRPr="00EA60CE">
              <w:t>International</w:t>
            </w:r>
            <w:r w:rsidRPr="00EA60CE">
              <w:rPr>
                <w:lang w:val="en-US"/>
              </w:rPr>
              <w:t xml:space="preserve"> </w:t>
            </w:r>
            <w:r w:rsidRPr="00EA60CE">
              <w:t>Telecommunication</w:t>
            </w:r>
            <w:r w:rsidRPr="00EA60CE">
              <w:rPr>
                <w:lang w:val="en-US"/>
              </w:rPr>
              <w:t xml:space="preserve"> </w:t>
            </w:r>
            <w:r w:rsidRPr="00EA60CE">
              <w:t>Regulations</w:t>
            </w:r>
            <w:r w:rsidRPr="00EA60CE">
              <w:rPr>
                <w:lang w:val="en-US"/>
              </w:rPr>
              <w:t xml:space="preserve"> </w:t>
            </w:r>
            <w:r w:rsidRPr="00EA60CE">
              <w:t>is</w:t>
            </w:r>
            <w:r w:rsidRPr="00EA60CE">
              <w:rPr>
                <w:lang w:val="en-US"/>
              </w:rPr>
              <w:t xml:space="preserve"> </w:t>
            </w:r>
            <w:r w:rsidRPr="00EA60CE">
              <w:t>invited</w:t>
            </w:r>
            <w:r w:rsidRPr="00EA60CE">
              <w:rPr>
                <w:lang w:val="en-US"/>
              </w:rPr>
              <w:t xml:space="preserve"> </w:t>
            </w:r>
            <w:r w:rsidRPr="009554CE">
              <w:rPr>
                <w:b/>
                <w:bCs/>
              </w:rPr>
              <w:t>to</w:t>
            </w:r>
            <w:r w:rsidRPr="009554CE">
              <w:rPr>
                <w:b/>
                <w:bCs/>
                <w:lang w:val="en-US"/>
              </w:rPr>
              <w:t xml:space="preserve"> approve </w:t>
            </w:r>
            <w:r w:rsidRPr="00EA60CE">
              <w:t>this</w:t>
            </w:r>
            <w:r w:rsidRPr="00EA60CE">
              <w:rPr>
                <w:lang w:val="en-US"/>
              </w:rPr>
              <w:t xml:space="preserve"> </w:t>
            </w:r>
            <w:r w:rsidRPr="00EA60CE">
              <w:t>document</w:t>
            </w:r>
            <w:r w:rsidRPr="00EA60CE">
              <w:rPr>
                <w:lang w:val="en-US"/>
              </w:rPr>
              <w:t>.</w:t>
            </w:r>
          </w:p>
          <w:p w14:paraId="2F24A0C8" w14:textId="77777777" w:rsidR="004D648B" w:rsidRPr="0020555B" w:rsidRDefault="004D648B" w:rsidP="004D648B">
            <w:pPr>
              <w:spacing w:before="160"/>
              <w:rPr>
                <w:sz w:val="26"/>
                <w:szCs w:val="26"/>
              </w:rPr>
            </w:pPr>
            <w:r w:rsidRPr="0020555B">
              <w:rPr>
                <w:sz w:val="26"/>
                <w:szCs w:val="26"/>
              </w:rPr>
              <w:t>____________________________________</w:t>
            </w:r>
          </w:p>
          <w:p w14:paraId="00DEE14C" w14:textId="21E1AF05" w:rsidR="00AD3606" w:rsidRDefault="004D648B" w:rsidP="004D648B">
            <w:pPr>
              <w:spacing w:before="160"/>
              <w:rPr>
                <w:b/>
                <w:bCs/>
                <w:sz w:val="26"/>
                <w:szCs w:val="26"/>
              </w:rPr>
            </w:pPr>
            <w:r w:rsidRPr="004D648B">
              <w:rPr>
                <w:b/>
                <w:bCs/>
                <w:sz w:val="26"/>
                <w:szCs w:val="26"/>
              </w:rPr>
              <w:t>References</w:t>
            </w:r>
          </w:p>
          <w:p w14:paraId="0175CD6C" w14:textId="64A740FF" w:rsidR="00AD3606" w:rsidRPr="001729D5" w:rsidRDefault="001729D5" w:rsidP="003370F2">
            <w:pPr>
              <w:spacing w:after="160"/>
              <w:rPr>
                <w:lang w:val="en-US"/>
              </w:rPr>
            </w:pPr>
            <w:r>
              <w:t xml:space="preserve">PP </w:t>
            </w:r>
            <w:hyperlink r:id="rId11" w:history="1">
              <w:r w:rsidR="003370F2">
                <w:rPr>
                  <w:rStyle w:val="Hyperlink"/>
                </w:rPr>
                <w:t>Resolution 146</w:t>
              </w:r>
            </w:hyperlink>
            <w:r w:rsidR="003370F2" w:rsidRPr="003370F2">
              <w:rPr>
                <w:rStyle w:val="Hyperlink"/>
                <w:color w:val="auto"/>
                <w:u w:val="none"/>
              </w:rPr>
              <w:t xml:space="preserve"> (Rev. Bucharest, 2022)</w:t>
            </w:r>
            <w:r w:rsidRPr="003370F2">
              <w:rPr>
                <w:lang w:val="en-US"/>
              </w:rPr>
              <w:t xml:space="preserve">, </w:t>
            </w:r>
            <w:r>
              <w:t>Council </w:t>
            </w:r>
            <w:hyperlink r:id="rId12" w:history="1">
              <w:r>
                <w:rPr>
                  <w:rStyle w:val="Hyperlink"/>
                </w:rPr>
                <w:t>Resolution 1379</w:t>
              </w:r>
            </w:hyperlink>
            <w:r w:rsidRPr="001729D5">
              <w:rPr>
                <w:rStyle w:val="ms-rtethemeforecolor-2-0"/>
                <w:lang w:val="en-US"/>
              </w:rPr>
              <w:t xml:space="preserve"> (m</w:t>
            </w:r>
            <w:r>
              <w:rPr>
                <w:rStyle w:val="ms-rtethemeforecolor-2-0"/>
                <w:lang w:val="en-US"/>
              </w:rPr>
              <w:t>od. 2023</w:t>
            </w:r>
            <w:r w:rsidRPr="001729D5">
              <w:rPr>
                <w:rStyle w:val="ms-rtethemeforecolor-2-0"/>
                <w:lang w:val="en-US"/>
              </w:rPr>
              <w:t>)</w:t>
            </w:r>
          </w:p>
        </w:tc>
      </w:tr>
    </w:tbl>
    <w:p w14:paraId="4CDB8B60" w14:textId="77777777" w:rsidR="00E227F3" w:rsidRPr="003370F2"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1"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254AF77E" w14:textId="218A91A3" w:rsidR="001729D5" w:rsidRPr="001D2FE2" w:rsidRDefault="001729D5" w:rsidP="001729D5">
      <w:pPr>
        <w:spacing w:before="0"/>
        <w:ind w:firstLine="709"/>
        <w:rPr>
          <w:rFonts w:asciiTheme="minorHAnsi" w:hAnsiTheme="minorHAnsi"/>
          <w:b/>
          <w:szCs w:val="24"/>
          <w:lang w:val="en-US"/>
        </w:rPr>
      </w:pPr>
      <w:r w:rsidRPr="001D2FE2">
        <w:rPr>
          <w:rFonts w:asciiTheme="minorHAnsi" w:hAnsiTheme="minorHAnsi"/>
          <w:b/>
          <w:szCs w:val="24"/>
          <w:lang w:val="en-US"/>
        </w:rPr>
        <w:lastRenderedPageBreak/>
        <w:t xml:space="preserve">I. </w:t>
      </w:r>
      <w:r w:rsidR="001D2FE2" w:rsidRPr="001D2FE2">
        <w:rPr>
          <w:rFonts w:asciiTheme="minorHAnsi" w:hAnsiTheme="minorHAnsi"/>
          <w:b/>
          <w:szCs w:val="24"/>
          <w:lang w:val="en-US"/>
        </w:rPr>
        <w:t>Introduction</w:t>
      </w:r>
    </w:p>
    <w:p w14:paraId="7C00D8CD" w14:textId="38FD4CA7" w:rsidR="001D2FE2" w:rsidRPr="001D2FE2" w:rsidRDefault="001D2FE2" w:rsidP="002676E7">
      <w:pPr>
        <w:pStyle w:val="NormalWeb"/>
        <w:spacing w:before="120" w:beforeAutospacing="0" w:after="0" w:afterAutospacing="0"/>
        <w:ind w:firstLine="709"/>
        <w:jc w:val="both"/>
        <w:rPr>
          <w:rFonts w:asciiTheme="minorHAnsi" w:hAnsiTheme="minorHAnsi"/>
          <w:sz w:val="24"/>
          <w:szCs w:val="24"/>
          <w:lang w:val="en-US" w:eastAsia="en-US"/>
        </w:rPr>
      </w:pPr>
      <w:r w:rsidRPr="001D2FE2">
        <w:rPr>
          <w:rFonts w:asciiTheme="minorHAnsi" w:hAnsiTheme="minorHAnsi"/>
          <w:sz w:val="24"/>
          <w:szCs w:val="24"/>
          <w:lang w:val="en-US" w:eastAsia="en-US"/>
        </w:rPr>
        <w:t>The International Telecommunication Regulations (ITR</w:t>
      </w:r>
      <w:r w:rsidR="00917463">
        <w:rPr>
          <w:rFonts w:asciiTheme="minorHAnsi" w:hAnsiTheme="minorHAnsi"/>
          <w:sz w:val="24"/>
          <w:szCs w:val="24"/>
          <w:lang w:val="en-US" w:eastAsia="en-US"/>
        </w:rPr>
        <w:t>s</w:t>
      </w:r>
      <w:r w:rsidRPr="001D2FE2">
        <w:rPr>
          <w:rFonts w:asciiTheme="minorHAnsi" w:hAnsiTheme="minorHAnsi"/>
          <w:sz w:val="24"/>
          <w:szCs w:val="24"/>
          <w:lang w:val="en-US" w:eastAsia="en-US"/>
        </w:rPr>
        <w:t xml:space="preserve">) </w:t>
      </w:r>
      <w:r w:rsidR="002676E7">
        <w:rPr>
          <w:rFonts w:asciiTheme="minorHAnsi" w:hAnsiTheme="minorHAnsi"/>
          <w:sz w:val="24"/>
          <w:szCs w:val="24"/>
          <w:lang w:val="en-US" w:eastAsia="en-US"/>
        </w:rPr>
        <w:t>is</w:t>
      </w:r>
      <w:r w:rsidRPr="001D2FE2">
        <w:rPr>
          <w:rFonts w:asciiTheme="minorHAnsi" w:hAnsiTheme="minorHAnsi"/>
          <w:sz w:val="24"/>
          <w:szCs w:val="24"/>
          <w:lang w:val="en-US" w:eastAsia="en-US"/>
        </w:rPr>
        <w:t xml:space="preserve"> one of the instruments of the Union – part of the Administrative Regulations that regulate the use of telecommunications and are binding on all Member States (CS/29 and CS/31). The ITRs supplement the Constitution and Convention with the aim of achieving ITU's goals of promoting the development and efficient operation of telecommunications.</w:t>
      </w:r>
    </w:p>
    <w:p w14:paraId="478A1EFE" w14:textId="5B798F6B" w:rsidR="001D2FE2" w:rsidRDefault="001D2FE2" w:rsidP="001D2FE2">
      <w:pPr>
        <w:pStyle w:val="NormalWeb"/>
        <w:spacing w:before="0" w:beforeAutospacing="0" w:after="0" w:afterAutospacing="0"/>
        <w:ind w:firstLine="709"/>
        <w:jc w:val="both"/>
        <w:rPr>
          <w:rFonts w:asciiTheme="minorHAnsi" w:hAnsiTheme="minorHAnsi"/>
          <w:sz w:val="24"/>
          <w:szCs w:val="24"/>
          <w:lang w:val="en-US" w:eastAsia="en-US"/>
        </w:rPr>
      </w:pPr>
      <w:r w:rsidRPr="001D2FE2">
        <w:rPr>
          <w:rFonts w:asciiTheme="minorHAnsi" w:hAnsiTheme="minorHAnsi"/>
          <w:sz w:val="24"/>
          <w:szCs w:val="24"/>
          <w:lang w:val="en-US" w:eastAsia="en-US"/>
        </w:rPr>
        <w:t>A World Conference on International Telecommunications (WCIT) may partially, or in exceptional cases</w:t>
      </w:r>
      <w:r w:rsidR="003370F2">
        <w:rPr>
          <w:rFonts w:asciiTheme="minorHAnsi" w:hAnsiTheme="minorHAnsi"/>
          <w:sz w:val="24"/>
          <w:szCs w:val="24"/>
          <w:lang w:val="en-US" w:eastAsia="en-US"/>
        </w:rPr>
        <w:t>, completely</w:t>
      </w:r>
      <w:r w:rsidRPr="001D2FE2">
        <w:rPr>
          <w:rFonts w:asciiTheme="minorHAnsi" w:hAnsiTheme="minorHAnsi"/>
          <w:sz w:val="24"/>
          <w:szCs w:val="24"/>
          <w:lang w:val="en-US" w:eastAsia="en-US"/>
        </w:rPr>
        <w:t xml:space="preserve"> revise the ITRs and may deal with any other question of a worldwide character within its competence and related to its agenda (CS/146).</w:t>
      </w:r>
    </w:p>
    <w:p w14:paraId="18D3CD1E" w14:textId="77777777" w:rsidR="001D2FE2" w:rsidRPr="001D2FE2" w:rsidRDefault="001D2FE2" w:rsidP="001D2FE2">
      <w:pPr>
        <w:pStyle w:val="NormalWeb"/>
        <w:spacing w:before="0" w:beforeAutospacing="0" w:after="0" w:afterAutospacing="0"/>
        <w:ind w:firstLine="709"/>
        <w:jc w:val="both"/>
        <w:rPr>
          <w:rFonts w:asciiTheme="minorHAnsi" w:hAnsiTheme="minorHAnsi"/>
          <w:sz w:val="24"/>
          <w:szCs w:val="24"/>
          <w:lang w:val="en-US" w:eastAsia="en-US"/>
        </w:rPr>
      </w:pPr>
      <w:r w:rsidRPr="001D2FE2">
        <w:rPr>
          <w:rFonts w:asciiTheme="minorHAnsi" w:hAnsiTheme="minorHAnsi"/>
          <w:sz w:val="24"/>
          <w:szCs w:val="24"/>
          <w:lang w:val="en-US" w:eastAsia="en-US"/>
        </w:rPr>
        <w:t>The current version (1988) of the International Telecommunication Regulations (ITRs) was adopted by the World Administrative Telephone and Telegraph Conference held in Melbourne (Australia) in 1988. Its purpose was to update the previous set of regulations governing the telegraph and telephone services that had been drawn up in 1973.</w:t>
      </w:r>
    </w:p>
    <w:p w14:paraId="1070BF62" w14:textId="77777777" w:rsidR="001D2FE2" w:rsidRPr="001D2FE2" w:rsidRDefault="001D2FE2" w:rsidP="001D2FE2">
      <w:pPr>
        <w:pStyle w:val="NormalWeb"/>
        <w:spacing w:before="0" w:beforeAutospacing="0" w:after="0" w:afterAutospacing="0"/>
        <w:ind w:firstLine="709"/>
        <w:jc w:val="both"/>
        <w:rPr>
          <w:rFonts w:asciiTheme="minorHAnsi" w:hAnsiTheme="minorHAnsi"/>
          <w:sz w:val="24"/>
          <w:szCs w:val="24"/>
          <w:lang w:val="en-US" w:eastAsia="en-US"/>
        </w:rPr>
      </w:pPr>
      <w:r w:rsidRPr="001D2FE2">
        <w:rPr>
          <w:rFonts w:asciiTheme="minorHAnsi" w:hAnsiTheme="minorHAnsi"/>
          <w:sz w:val="24"/>
          <w:szCs w:val="24"/>
          <w:lang w:val="en-US" w:eastAsia="en-US"/>
        </w:rPr>
        <w:t>The 1988 ITRs were not revised partially or fully for 24 years until 2012, and the Member States therefore initiated a revision process which went on from 1998 to 2012. During that period much work was done, a large number of documents were submitted and studied, and legal reviews were conducted of the consequences of revising and adopting new ITRs.</w:t>
      </w:r>
    </w:p>
    <w:p w14:paraId="57CB2CAE" w14:textId="0DA2B222" w:rsidR="002676E7" w:rsidRPr="002676E7" w:rsidRDefault="002676E7" w:rsidP="002676E7">
      <w:pPr>
        <w:pStyle w:val="NormalWeb"/>
        <w:spacing w:before="0" w:beforeAutospacing="0" w:after="0" w:afterAutospacing="0"/>
        <w:ind w:firstLine="709"/>
        <w:jc w:val="both"/>
        <w:rPr>
          <w:rFonts w:asciiTheme="minorHAnsi" w:hAnsiTheme="minorHAnsi" w:cstheme="minorHAnsi"/>
          <w:sz w:val="24"/>
          <w:szCs w:val="24"/>
          <w:lang w:val="en-US"/>
        </w:rPr>
      </w:pPr>
      <w:r w:rsidRPr="001F0884">
        <w:rPr>
          <w:rFonts w:asciiTheme="minorHAnsi" w:hAnsiTheme="minorHAnsi"/>
          <w:sz w:val="24"/>
          <w:szCs w:val="24"/>
          <w:lang w:val="en-US" w:eastAsia="en-US"/>
        </w:rPr>
        <w:t>Following this process, the 2012 WCIT (Dubai, UAE) revised the ITRs of 1988. In this regard, the ITRs of 1988 should have ceased to be valid from December 31, 2017</w:t>
      </w:r>
      <w:r w:rsidRPr="001F0884">
        <w:rPr>
          <w:rFonts w:asciiTheme="minorHAnsi" w:hAnsiTheme="minorHAnsi" w:cstheme="minorHAnsi"/>
          <w:sz w:val="24"/>
          <w:szCs w:val="24"/>
          <w:lang w:val="en-US"/>
        </w:rPr>
        <w:t>.</w:t>
      </w:r>
    </w:p>
    <w:p w14:paraId="45825DEE" w14:textId="77777777" w:rsidR="002676E7" w:rsidRPr="002676E7" w:rsidRDefault="002676E7" w:rsidP="001D2FE2">
      <w:pPr>
        <w:pStyle w:val="NormalWeb"/>
        <w:spacing w:before="0" w:beforeAutospacing="0" w:after="0" w:afterAutospacing="0"/>
        <w:ind w:firstLine="709"/>
        <w:jc w:val="both"/>
        <w:rPr>
          <w:rFonts w:asciiTheme="minorHAnsi" w:hAnsiTheme="minorHAnsi"/>
          <w:sz w:val="24"/>
          <w:szCs w:val="24"/>
          <w:lang w:val="en-US" w:eastAsia="en-US"/>
        </w:rPr>
      </w:pPr>
    </w:p>
    <w:p w14:paraId="20CBA1C3" w14:textId="40B0876E" w:rsidR="001729D5" w:rsidRPr="001D2FE2" w:rsidRDefault="001729D5" w:rsidP="001729D5">
      <w:pPr>
        <w:pStyle w:val="NormalWeb"/>
        <w:spacing w:before="0" w:beforeAutospacing="0" w:after="0" w:afterAutospacing="0"/>
        <w:ind w:firstLine="709"/>
        <w:jc w:val="both"/>
        <w:rPr>
          <w:rFonts w:asciiTheme="minorHAnsi" w:hAnsiTheme="minorHAnsi"/>
          <w:b/>
          <w:sz w:val="24"/>
          <w:szCs w:val="24"/>
          <w:lang w:val="en-US"/>
        </w:rPr>
      </w:pPr>
      <w:r w:rsidRPr="001D2FE2">
        <w:rPr>
          <w:rFonts w:asciiTheme="minorHAnsi" w:hAnsiTheme="minorHAnsi"/>
          <w:b/>
          <w:sz w:val="24"/>
          <w:szCs w:val="24"/>
          <w:lang w:val="en-US"/>
        </w:rPr>
        <w:t xml:space="preserve">II. </w:t>
      </w:r>
      <w:r w:rsidR="001D2FE2" w:rsidRPr="001D2FE2">
        <w:rPr>
          <w:rFonts w:asciiTheme="minorHAnsi" w:hAnsiTheme="minorHAnsi"/>
          <w:b/>
          <w:sz w:val="24"/>
          <w:szCs w:val="24"/>
          <w:lang w:val="en-US"/>
        </w:rPr>
        <w:t>Discussion</w:t>
      </w:r>
    </w:p>
    <w:p w14:paraId="25D42F20" w14:textId="77777777" w:rsidR="001D2FE2" w:rsidRPr="00EE7DE9" w:rsidRDefault="001D2FE2" w:rsidP="00A70E5F">
      <w:pPr>
        <w:ind w:firstLine="709"/>
        <w:jc w:val="both"/>
        <w:rPr>
          <w:b/>
          <w:lang w:val="en-US"/>
        </w:rPr>
      </w:pPr>
      <w:r w:rsidRPr="00EE7DE9">
        <w:rPr>
          <w:lang w:val="en-US"/>
        </w:rPr>
        <w:t>In the opinion of many Member States, mostly developing countries</w:t>
      </w:r>
      <w:r w:rsidRPr="00E74FAC">
        <w:rPr>
          <w:rStyle w:val="FootnoteReference"/>
          <w:rFonts w:asciiTheme="majorBidi" w:hAnsiTheme="majorBidi" w:cstheme="majorBidi"/>
          <w:sz w:val="18"/>
          <w:szCs w:val="18"/>
          <w:lang w:val="en-US"/>
        </w:rPr>
        <w:footnoteReference w:id="2"/>
      </w:r>
      <w:r>
        <w:rPr>
          <w:lang w:val="en-US"/>
        </w:rPr>
        <w:t>,</w:t>
      </w:r>
      <w:r w:rsidRPr="00EE7DE9">
        <w:rPr>
          <w:lang w:val="en-US"/>
        </w:rPr>
        <w:t xml:space="preserve"> WCIT 2012, for objective reasons and bec</w:t>
      </w:r>
      <w:r>
        <w:rPr>
          <w:lang w:val="en-US"/>
        </w:rPr>
        <w:t xml:space="preserve">ause the ITRs had not been revised </w:t>
      </w:r>
      <w:r w:rsidRPr="00EE7DE9">
        <w:rPr>
          <w:lang w:val="en-US"/>
        </w:rPr>
        <w:t>for 24 years, was not able to discuss in adequate depth and reach a compromise on all current issues and take account of the essential contemporary trends in telecommunications/ICTs in the new ITRs of 2012.</w:t>
      </w:r>
    </w:p>
    <w:p w14:paraId="7A36F438" w14:textId="77777777" w:rsidR="001D2FE2" w:rsidRDefault="001D2FE2" w:rsidP="001D2FE2">
      <w:pPr>
        <w:pStyle w:val="enumlev1"/>
        <w:spacing w:before="0"/>
        <w:ind w:left="0" w:firstLine="709"/>
        <w:jc w:val="both"/>
        <w:rPr>
          <w:lang w:val="en-US" w:eastAsia="zh-CN"/>
        </w:rPr>
      </w:pPr>
      <w:r w:rsidRPr="00EE7DE9">
        <w:rPr>
          <w:lang w:val="en-US"/>
        </w:rPr>
        <w:t xml:space="preserve">Bearing in mind the high level of interest of Member States, especially the developing countries, in updating the ITRs </w:t>
      </w:r>
      <w:r>
        <w:rPr>
          <w:lang w:val="en-US"/>
        </w:rPr>
        <w:t xml:space="preserve">of </w:t>
      </w:r>
      <w:r w:rsidRPr="00EE7DE9">
        <w:rPr>
          <w:lang w:val="en-US"/>
        </w:rPr>
        <w:t xml:space="preserve">2012, </w:t>
      </w:r>
      <w:r>
        <w:rPr>
          <w:lang w:val="en-US"/>
        </w:rPr>
        <w:t>the Plenipotentiary Conference in 20</w:t>
      </w:r>
      <w:r w:rsidRPr="00EE7DE9">
        <w:rPr>
          <w:lang w:val="en-US"/>
        </w:rPr>
        <w:t xml:space="preserve">14 (Busan, Republic of Korea), in the light of contributions received from Member States </w:t>
      </w:r>
      <w:r>
        <w:rPr>
          <w:lang w:val="en-US"/>
        </w:rPr>
        <w:t>and</w:t>
      </w:r>
      <w:r w:rsidRPr="00EE7DE9">
        <w:rPr>
          <w:lang w:val="en-US"/>
        </w:rPr>
        <w:t xml:space="preserve"> the results of work done by WCIT 2012, adopted Resolution 146 </w:t>
      </w:r>
      <w:r>
        <w:rPr>
          <w:lang w:val="en-US"/>
        </w:rPr>
        <w:t>"</w:t>
      </w:r>
      <w:r w:rsidRPr="00EE7DE9">
        <w:rPr>
          <w:lang w:val="en-US" w:eastAsia="zh-CN"/>
        </w:rPr>
        <w:t>Periodic review and revision of the International Telecommunication Regulations</w:t>
      </w:r>
      <w:r>
        <w:rPr>
          <w:lang w:val="en-US" w:eastAsia="zh-CN"/>
        </w:rPr>
        <w:t>"</w:t>
      </w:r>
      <w:r w:rsidRPr="00EE7DE9">
        <w:rPr>
          <w:lang w:val="en-US" w:eastAsia="zh-CN"/>
        </w:rPr>
        <w:t>, which resolves that a periodic review of the International Telecommunication Regulations shall normally be carried out every eight years, and that the review process of the International Telecommunication Regulations shall commence</w:t>
      </w:r>
      <w:r>
        <w:rPr>
          <w:lang w:val="en-US" w:eastAsia="zh-CN"/>
        </w:rPr>
        <w:t xml:space="preserve"> in 2017.</w:t>
      </w:r>
    </w:p>
    <w:p w14:paraId="5859A6AA" w14:textId="52BF99BF" w:rsidR="001D2FE2" w:rsidRPr="00783926" w:rsidRDefault="001D2FE2" w:rsidP="001729D5">
      <w:pPr>
        <w:pStyle w:val="NormalWeb"/>
        <w:spacing w:before="0" w:beforeAutospacing="0" w:after="0" w:afterAutospacing="0"/>
        <w:ind w:firstLine="709"/>
        <w:jc w:val="both"/>
        <w:rPr>
          <w:rFonts w:asciiTheme="minorHAnsi" w:hAnsiTheme="minorHAnsi"/>
          <w:sz w:val="24"/>
          <w:szCs w:val="24"/>
          <w:lang w:val="en-US" w:eastAsia="en-US"/>
        </w:rPr>
      </w:pPr>
      <w:r w:rsidRPr="00783926">
        <w:rPr>
          <w:rFonts w:asciiTheme="minorHAnsi" w:hAnsiTheme="minorHAnsi"/>
          <w:sz w:val="24"/>
          <w:szCs w:val="24"/>
          <w:lang w:val="en-US" w:eastAsia="en-US"/>
        </w:rPr>
        <w:t>Subsequently, the 2018 and 2022 Plenipotentiary Conferences</w:t>
      </w:r>
      <w:r w:rsidR="002676E7">
        <w:rPr>
          <w:rFonts w:asciiTheme="minorHAnsi" w:hAnsiTheme="minorHAnsi"/>
          <w:sz w:val="24"/>
          <w:szCs w:val="24"/>
          <w:lang w:val="en-US" w:eastAsia="en-US"/>
        </w:rPr>
        <w:t xml:space="preserve"> and the 2019 and 2023 Council s</w:t>
      </w:r>
      <w:r w:rsidRPr="00783926">
        <w:rPr>
          <w:rFonts w:asciiTheme="minorHAnsi" w:hAnsiTheme="minorHAnsi"/>
          <w:sz w:val="24"/>
          <w:szCs w:val="24"/>
          <w:lang w:val="en-US" w:eastAsia="en-US"/>
        </w:rPr>
        <w:t>essions updated PP Resolution 146 and Council Resolution 1379, respectively, in order to reach informed consensus on future steps regarding ITRs.</w:t>
      </w:r>
    </w:p>
    <w:p w14:paraId="19FBF1A2" w14:textId="68726D12" w:rsidR="001D2FE2" w:rsidRPr="001D2FE2" w:rsidRDefault="001D2FE2" w:rsidP="001D2FE2">
      <w:pPr>
        <w:tabs>
          <w:tab w:val="left" w:pos="993"/>
        </w:tabs>
        <w:overflowPunct/>
        <w:autoSpaceDE/>
        <w:autoSpaceDN/>
        <w:adjustRightInd/>
        <w:spacing w:before="0"/>
        <w:ind w:firstLine="709"/>
        <w:jc w:val="both"/>
        <w:textAlignment w:val="auto"/>
        <w:rPr>
          <w:rFonts w:asciiTheme="minorHAnsi" w:hAnsiTheme="minorHAnsi"/>
          <w:szCs w:val="24"/>
          <w:lang w:val="en-US" w:eastAsia="ru-RU"/>
        </w:rPr>
      </w:pPr>
      <w:r w:rsidRPr="001D2FE2">
        <w:rPr>
          <w:rFonts w:asciiTheme="minorHAnsi" w:hAnsiTheme="minorHAnsi"/>
          <w:szCs w:val="24"/>
          <w:lang w:val="en-US" w:eastAsia="ru-RU"/>
        </w:rPr>
        <w:t xml:space="preserve">Several times at the Council meetings some Member States submitted contributions on the question of revision of the ITRs and reports of the </w:t>
      </w:r>
      <w:r w:rsidR="002676E7" w:rsidRPr="001D2FE2">
        <w:rPr>
          <w:rFonts w:asciiTheme="minorHAnsi" w:hAnsiTheme="minorHAnsi"/>
          <w:szCs w:val="24"/>
          <w:lang w:val="en-US" w:eastAsia="ru-RU"/>
        </w:rPr>
        <w:t>previous</w:t>
      </w:r>
      <w:r w:rsidRPr="001D2FE2">
        <w:rPr>
          <w:rFonts w:asciiTheme="minorHAnsi" w:hAnsiTheme="minorHAnsi"/>
          <w:szCs w:val="24"/>
          <w:lang w:val="en-US" w:eastAsia="ru-RU"/>
        </w:rPr>
        <w:t xml:space="preserve"> E</w:t>
      </w:r>
      <w:r w:rsidR="00917463">
        <w:rPr>
          <w:rFonts w:asciiTheme="minorHAnsi" w:hAnsiTheme="minorHAnsi"/>
          <w:szCs w:val="24"/>
          <w:lang w:val="en-US" w:eastAsia="ru-RU"/>
        </w:rPr>
        <w:t xml:space="preserve">xpert </w:t>
      </w:r>
      <w:r w:rsidRPr="001D2FE2">
        <w:rPr>
          <w:rFonts w:asciiTheme="minorHAnsi" w:hAnsiTheme="minorHAnsi"/>
          <w:szCs w:val="24"/>
          <w:lang w:val="en-US" w:eastAsia="ru-RU"/>
        </w:rPr>
        <w:t>G</w:t>
      </w:r>
      <w:r w:rsidR="00917463">
        <w:rPr>
          <w:rFonts w:asciiTheme="minorHAnsi" w:hAnsiTheme="minorHAnsi"/>
          <w:szCs w:val="24"/>
          <w:lang w:val="en-US" w:eastAsia="ru-RU"/>
        </w:rPr>
        <w:t>roup’</w:t>
      </w:r>
      <w:r w:rsidRPr="001D2FE2">
        <w:rPr>
          <w:rFonts w:asciiTheme="minorHAnsi" w:hAnsiTheme="minorHAnsi"/>
          <w:szCs w:val="24"/>
          <w:lang w:val="en-US" w:eastAsia="ru-RU"/>
        </w:rPr>
        <w:t>s meetings, which noted the need to have information on the legal and other aspects of the ITR</w:t>
      </w:r>
      <w:r w:rsidR="00917463">
        <w:rPr>
          <w:rFonts w:asciiTheme="minorHAnsi" w:hAnsiTheme="minorHAnsi"/>
          <w:szCs w:val="24"/>
          <w:lang w:val="en-US" w:eastAsia="ru-RU"/>
        </w:rPr>
        <w:t>s</w:t>
      </w:r>
      <w:r w:rsidRPr="001D2FE2">
        <w:rPr>
          <w:rFonts w:asciiTheme="minorHAnsi" w:hAnsiTheme="minorHAnsi"/>
          <w:szCs w:val="24"/>
          <w:lang w:val="en-US" w:eastAsia="ru-RU"/>
        </w:rPr>
        <w:t xml:space="preserve"> revision process, its status, and the likely consequences for the Union and for Member States, Sector Members and users of international telecommunication services worldwide. </w:t>
      </w:r>
    </w:p>
    <w:p w14:paraId="717187D9" w14:textId="77777777" w:rsidR="001D2FE2" w:rsidRPr="001D2FE2" w:rsidRDefault="001D2FE2" w:rsidP="001D2FE2">
      <w:pPr>
        <w:tabs>
          <w:tab w:val="left" w:pos="993"/>
        </w:tabs>
        <w:overflowPunct/>
        <w:autoSpaceDE/>
        <w:autoSpaceDN/>
        <w:adjustRightInd/>
        <w:spacing w:before="0"/>
        <w:ind w:firstLine="709"/>
        <w:jc w:val="both"/>
        <w:textAlignment w:val="auto"/>
        <w:rPr>
          <w:rFonts w:asciiTheme="minorHAnsi" w:hAnsiTheme="minorHAnsi"/>
          <w:szCs w:val="24"/>
          <w:lang w:val="en-US" w:eastAsia="ru-RU"/>
        </w:rPr>
      </w:pPr>
      <w:r w:rsidRPr="001D2FE2">
        <w:rPr>
          <w:rFonts w:asciiTheme="minorHAnsi" w:hAnsiTheme="minorHAnsi"/>
          <w:szCs w:val="24"/>
          <w:lang w:val="en-US" w:eastAsia="ru-RU"/>
        </w:rPr>
        <w:lastRenderedPageBreak/>
        <w:t>However, a number of Member States and representatives of the General Secretariat noted that those questions had been comprehensively studied during the lengthy process of revision of the 1988 ITRs in various groups set up between 1998 and 2012.</w:t>
      </w:r>
    </w:p>
    <w:p w14:paraId="4D6D827A" w14:textId="32E3C2AF" w:rsidR="001729D5" w:rsidRDefault="001D2FE2" w:rsidP="001D2FE2">
      <w:pPr>
        <w:tabs>
          <w:tab w:val="left" w:pos="993"/>
        </w:tabs>
        <w:overflowPunct/>
        <w:autoSpaceDE/>
        <w:autoSpaceDN/>
        <w:adjustRightInd/>
        <w:spacing w:before="0"/>
        <w:ind w:firstLine="709"/>
        <w:jc w:val="both"/>
        <w:textAlignment w:val="auto"/>
        <w:rPr>
          <w:rFonts w:asciiTheme="minorHAnsi" w:hAnsiTheme="minorHAnsi"/>
          <w:szCs w:val="24"/>
          <w:lang w:val="en-US" w:eastAsia="ru-RU"/>
        </w:rPr>
      </w:pPr>
      <w:r w:rsidRPr="001D2FE2">
        <w:rPr>
          <w:rFonts w:asciiTheme="minorHAnsi" w:hAnsiTheme="minorHAnsi"/>
          <w:szCs w:val="24"/>
          <w:lang w:val="en-US" w:eastAsia="ru-RU"/>
        </w:rPr>
        <w:t>The reports of those groups, contributions from Member States and Sector Members, as well as General Secretariat documents, contain information on the issues discussed.</w:t>
      </w:r>
    </w:p>
    <w:p w14:paraId="66B07223" w14:textId="77777777" w:rsidR="001D2FE2" w:rsidRPr="001D2FE2" w:rsidRDefault="001D2FE2" w:rsidP="001D2FE2">
      <w:pPr>
        <w:tabs>
          <w:tab w:val="left" w:pos="993"/>
        </w:tabs>
        <w:overflowPunct/>
        <w:autoSpaceDE/>
        <w:autoSpaceDN/>
        <w:adjustRightInd/>
        <w:spacing w:before="0"/>
        <w:ind w:firstLine="709"/>
        <w:jc w:val="both"/>
        <w:textAlignment w:val="auto"/>
        <w:rPr>
          <w:rFonts w:asciiTheme="minorHAnsi" w:hAnsiTheme="minorHAnsi"/>
          <w:b/>
          <w:szCs w:val="24"/>
          <w:lang w:val="en-US"/>
        </w:rPr>
      </w:pPr>
    </w:p>
    <w:p w14:paraId="7D3373FC" w14:textId="185BE5D3" w:rsidR="001729D5" w:rsidRPr="001D2FE2" w:rsidRDefault="001729D5" w:rsidP="001729D5">
      <w:pPr>
        <w:tabs>
          <w:tab w:val="left" w:pos="993"/>
        </w:tabs>
        <w:overflowPunct/>
        <w:autoSpaceDE/>
        <w:autoSpaceDN/>
        <w:adjustRightInd/>
        <w:spacing w:before="0"/>
        <w:ind w:firstLine="709"/>
        <w:jc w:val="both"/>
        <w:textAlignment w:val="auto"/>
        <w:rPr>
          <w:rFonts w:asciiTheme="minorHAnsi" w:hAnsiTheme="minorHAnsi"/>
          <w:b/>
          <w:szCs w:val="24"/>
          <w:lang w:val="en-US"/>
        </w:rPr>
      </w:pPr>
      <w:r w:rsidRPr="001D2FE2">
        <w:rPr>
          <w:rFonts w:asciiTheme="minorHAnsi" w:hAnsiTheme="minorHAnsi"/>
          <w:b/>
          <w:szCs w:val="24"/>
          <w:lang w:val="en-US"/>
        </w:rPr>
        <w:t xml:space="preserve">III. </w:t>
      </w:r>
      <w:r w:rsidR="001D2FE2" w:rsidRPr="001D2FE2">
        <w:rPr>
          <w:rFonts w:asciiTheme="minorHAnsi" w:hAnsiTheme="minorHAnsi"/>
          <w:b/>
          <w:szCs w:val="24"/>
          <w:lang w:val="en-US"/>
        </w:rPr>
        <w:t>Proposals</w:t>
      </w:r>
    </w:p>
    <w:p w14:paraId="00E6AC05" w14:textId="669D5630" w:rsidR="001D2FE2" w:rsidRDefault="001D2FE2" w:rsidP="00917463">
      <w:pPr>
        <w:tabs>
          <w:tab w:val="clear" w:pos="567"/>
        </w:tabs>
        <w:ind w:firstLine="709"/>
        <w:jc w:val="both"/>
        <w:rPr>
          <w:lang w:val="en-US"/>
        </w:rPr>
      </w:pPr>
      <w:r w:rsidRPr="00EE7DE9">
        <w:rPr>
          <w:lang w:val="en-US"/>
        </w:rPr>
        <w:t xml:space="preserve">In the light of the above, and noting the considerable amount of </w:t>
      </w:r>
      <w:r>
        <w:rPr>
          <w:lang w:val="en-US"/>
        </w:rPr>
        <w:t xml:space="preserve">available </w:t>
      </w:r>
      <w:r w:rsidRPr="00EE7DE9">
        <w:rPr>
          <w:lang w:val="en-US"/>
        </w:rPr>
        <w:t>material</w:t>
      </w:r>
      <w:r w:rsidR="00917463">
        <w:rPr>
          <w:lang w:val="en-US"/>
        </w:rPr>
        <w:t>s</w:t>
      </w:r>
      <w:r w:rsidRPr="00EE7DE9">
        <w:rPr>
          <w:lang w:val="en-US"/>
        </w:rPr>
        <w:t xml:space="preserve"> prepared by the ITU General Secretariat in the preparatory process for WCIT 2012, we propose </w:t>
      </w:r>
      <w:r w:rsidR="00A42E3D">
        <w:rPr>
          <w:lang w:val="en-US"/>
        </w:rPr>
        <w:t xml:space="preserve">to request the General Secretariat as </w:t>
      </w:r>
      <w:r w:rsidRPr="00EE7DE9">
        <w:rPr>
          <w:lang w:val="en-US"/>
        </w:rPr>
        <w:t>follow</w:t>
      </w:r>
      <w:r w:rsidR="00A42E3D">
        <w:rPr>
          <w:lang w:val="en-US"/>
        </w:rPr>
        <w:t>s</w:t>
      </w:r>
      <w:r w:rsidRPr="00EE7DE9">
        <w:rPr>
          <w:lang w:val="en-US"/>
        </w:rPr>
        <w:t>:</w:t>
      </w:r>
    </w:p>
    <w:p w14:paraId="2C61FA3C" w14:textId="0A193A37" w:rsidR="001D2FE2" w:rsidRPr="00A42E3D" w:rsidRDefault="001D2FE2" w:rsidP="00917463">
      <w:pPr>
        <w:pStyle w:val="enumlev1"/>
        <w:tabs>
          <w:tab w:val="clear" w:pos="567"/>
        </w:tabs>
        <w:ind w:firstLine="0"/>
        <w:jc w:val="both"/>
        <w:rPr>
          <w:lang w:val="en-US"/>
        </w:rPr>
      </w:pPr>
      <w:r>
        <w:rPr>
          <w:lang w:val="en-US"/>
        </w:rPr>
        <w:t>1)</w:t>
      </w:r>
      <w:r>
        <w:rPr>
          <w:lang w:val="en-US"/>
        </w:rPr>
        <w:tab/>
        <w:t>To carry out a</w:t>
      </w:r>
      <w:r w:rsidR="00A42E3D">
        <w:rPr>
          <w:lang w:val="en-US"/>
        </w:rPr>
        <w:t>n</w:t>
      </w:r>
      <w:r>
        <w:rPr>
          <w:lang w:val="en-US"/>
        </w:rPr>
        <w:t xml:space="preserve"> </w:t>
      </w:r>
      <w:r w:rsidR="00A42E3D">
        <w:rPr>
          <w:lang w:val="en-US"/>
        </w:rPr>
        <w:t xml:space="preserve">analysis </w:t>
      </w:r>
      <w:r>
        <w:rPr>
          <w:lang w:val="en-US"/>
        </w:rPr>
        <w:t xml:space="preserve">of </w:t>
      </w:r>
      <w:r w:rsidRPr="00EE7DE9">
        <w:rPr>
          <w:lang w:val="en-US"/>
        </w:rPr>
        <w:t xml:space="preserve">all documents </w:t>
      </w:r>
      <w:r w:rsidR="00A42E3D">
        <w:rPr>
          <w:lang w:val="en-US"/>
        </w:rPr>
        <w:t>prepared</w:t>
      </w:r>
      <w:r>
        <w:rPr>
          <w:lang w:val="en-US"/>
        </w:rPr>
        <w:t xml:space="preserve"> by it between 1998 and 2012</w:t>
      </w:r>
      <w:r w:rsidRPr="00EE7DE9">
        <w:rPr>
          <w:lang w:val="en-US"/>
        </w:rPr>
        <w:t xml:space="preserve"> </w:t>
      </w:r>
      <w:r w:rsidR="00A42E3D" w:rsidRPr="00917463">
        <w:rPr>
          <w:lang w:val="en-US"/>
        </w:rPr>
        <w:t>that address</w:t>
      </w:r>
      <w:r w:rsidRPr="00EE7DE9">
        <w:rPr>
          <w:lang w:val="en-US"/>
        </w:rPr>
        <w:t xml:space="preserve"> the legal and other aspects of the ITRs and </w:t>
      </w:r>
      <w:r w:rsidR="00A42E3D">
        <w:rPr>
          <w:lang w:val="en-US"/>
        </w:rPr>
        <w:t xml:space="preserve">its </w:t>
      </w:r>
      <w:r w:rsidRPr="00EE7DE9">
        <w:rPr>
          <w:lang w:val="en-US"/>
        </w:rPr>
        <w:t>revision.</w:t>
      </w:r>
    </w:p>
    <w:p w14:paraId="45C98F0A" w14:textId="50F38459" w:rsidR="001D2FE2" w:rsidRPr="00FE69A8" w:rsidRDefault="001D2FE2" w:rsidP="00917463">
      <w:pPr>
        <w:pStyle w:val="enumlev1"/>
        <w:tabs>
          <w:tab w:val="clear" w:pos="567"/>
        </w:tabs>
        <w:ind w:firstLine="0"/>
        <w:jc w:val="both"/>
        <w:rPr>
          <w:lang w:val="en-US"/>
        </w:rPr>
      </w:pPr>
      <w:r>
        <w:rPr>
          <w:lang w:val="en-US"/>
        </w:rPr>
        <w:t>2)</w:t>
      </w:r>
      <w:r>
        <w:rPr>
          <w:lang w:val="en-US"/>
        </w:rPr>
        <w:tab/>
      </w:r>
      <w:r w:rsidRPr="00EE7DE9">
        <w:rPr>
          <w:lang w:val="en-US"/>
        </w:rPr>
        <w:t>Among the documents referred to under point 1</w:t>
      </w:r>
      <w:r w:rsidR="00A42E3D">
        <w:rPr>
          <w:lang w:val="en-US"/>
        </w:rPr>
        <w:t xml:space="preserve"> above</w:t>
      </w:r>
      <w:r w:rsidRPr="00EE7DE9">
        <w:rPr>
          <w:lang w:val="en-US"/>
        </w:rPr>
        <w:t xml:space="preserve">, first </w:t>
      </w:r>
      <w:r>
        <w:rPr>
          <w:lang w:val="en-US"/>
        </w:rPr>
        <w:t>of all</w:t>
      </w:r>
      <w:r w:rsidR="00A42E3D">
        <w:rPr>
          <w:lang w:val="en-US"/>
        </w:rPr>
        <w:t>,</w:t>
      </w:r>
      <w:r>
        <w:rPr>
          <w:lang w:val="en-US"/>
        </w:rPr>
        <w:t xml:space="preserve"> </w:t>
      </w:r>
      <w:r w:rsidR="00A42E3D">
        <w:rPr>
          <w:lang w:val="en-US"/>
        </w:rPr>
        <w:t xml:space="preserve">to </w:t>
      </w:r>
      <w:r w:rsidR="00A70E5F">
        <w:rPr>
          <w:lang w:val="en-US"/>
        </w:rPr>
        <w:t>monitor</w:t>
      </w:r>
      <w:r w:rsidRPr="00EE7DE9">
        <w:rPr>
          <w:lang w:val="en-US"/>
        </w:rPr>
        <w:t xml:space="preserve"> the existing legal and regulatory documents, </w:t>
      </w:r>
      <w:r>
        <w:rPr>
          <w:lang w:val="en-US"/>
        </w:rPr>
        <w:t>background</w:t>
      </w:r>
      <w:r w:rsidRPr="00EE7DE9">
        <w:rPr>
          <w:lang w:val="en-US"/>
        </w:rPr>
        <w:t xml:space="preserve"> information and analytical data, update their status </w:t>
      </w:r>
      <w:r w:rsidR="00A42E3D">
        <w:rPr>
          <w:lang w:val="en-US"/>
        </w:rPr>
        <w:t>as of 2024</w:t>
      </w:r>
      <w:r w:rsidRPr="00EE7DE9">
        <w:rPr>
          <w:lang w:val="en-US"/>
        </w:rPr>
        <w:t xml:space="preserve"> and </w:t>
      </w:r>
      <w:r>
        <w:rPr>
          <w:lang w:val="en-US"/>
        </w:rPr>
        <w:t xml:space="preserve">carry out </w:t>
      </w:r>
      <w:r w:rsidR="00A42E3D">
        <w:rPr>
          <w:lang w:val="en-US"/>
        </w:rPr>
        <w:t>their</w:t>
      </w:r>
      <w:r w:rsidR="00A42E3D" w:rsidRPr="00EE7DE9">
        <w:rPr>
          <w:lang w:val="en-US"/>
        </w:rPr>
        <w:t xml:space="preserve"> </w:t>
      </w:r>
      <w:r w:rsidRPr="00EE7DE9">
        <w:rPr>
          <w:lang w:val="en-US"/>
        </w:rPr>
        <w:t>analysis</w:t>
      </w:r>
      <w:r>
        <w:rPr>
          <w:lang w:val="en-US"/>
        </w:rPr>
        <w:t xml:space="preserve"> </w:t>
      </w:r>
      <w:r w:rsidRPr="00EE7DE9">
        <w:rPr>
          <w:lang w:val="en-US"/>
        </w:rPr>
        <w:t>that</w:t>
      </w:r>
      <w:r w:rsidR="00910B2D">
        <w:rPr>
          <w:lang w:val="en-US"/>
        </w:rPr>
        <w:t xml:space="preserve">, </w:t>
      </w:r>
      <w:r w:rsidR="00910B2D" w:rsidRPr="00A42E3D">
        <w:rPr>
          <w:lang w:val="en-US"/>
        </w:rPr>
        <w:t>in particular</w:t>
      </w:r>
      <w:r w:rsidR="00910B2D">
        <w:rPr>
          <w:lang w:val="en-US"/>
        </w:rPr>
        <w:t>,</w:t>
      </w:r>
      <w:r w:rsidRPr="00EE7DE9">
        <w:rPr>
          <w:lang w:val="en-US"/>
        </w:rPr>
        <w:t xml:space="preserve"> will include but not </w:t>
      </w:r>
      <w:r w:rsidR="00910B2D">
        <w:rPr>
          <w:lang w:val="en-US"/>
        </w:rPr>
        <w:t>limited</w:t>
      </w:r>
      <w:r w:rsidRPr="00EE7DE9">
        <w:rPr>
          <w:lang w:val="en-US"/>
        </w:rPr>
        <w:t xml:space="preserve"> to the following</w:t>
      </w:r>
      <w:r>
        <w:rPr>
          <w:lang w:val="en-US"/>
        </w:rPr>
        <w:t xml:space="preserve"> documents</w:t>
      </w:r>
      <w:r w:rsidRPr="00EE7DE9">
        <w:rPr>
          <w:lang w:val="en-US"/>
        </w:rPr>
        <w:t>:</w:t>
      </w:r>
    </w:p>
    <w:p w14:paraId="60813D4C"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a)</w:t>
      </w:r>
      <w:r w:rsidRPr="006C2B43">
        <w:rPr>
          <w:rFonts w:asciiTheme="minorHAnsi" w:hAnsiTheme="minorHAnsi"/>
          <w:lang w:val="en-US"/>
        </w:rPr>
        <w:tab/>
      </w:r>
      <w:hyperlink r:id="rId13" w:tgtFrame="_blank" w:history="1">
        <w:r w:rsidRPr="006C2B43">
          <w:rPr>
            <w:rStyle w:val="Hyperlink"/>
            <w:rFonts w:asciiTheme="minorHAnsi" w:eastAsiaTheme="majorEastAsia" w:hAnsiTheme="minorHAnsi" w:cstheme="majorBidi"/>
            <w:bCs/>
            <w:szCs w:val="24"/>
            <w:lang w:val="en-US"/>
          </w:rPr>
          <w:t>CWG-WCIT12/TD-4</w:t>
        </w:r>
      </w:hyperlink>
      <w:r w:rsidRPr="006C2B43">
        <w:rPr>
          <w:rFonts w:asciiTheme="minorHAnsi" w:hAnsiTheme="minorHAnsi"/>
          <w:bCs/>
          <w:lang w:val="en-US"/>
        </w:rPr>
        <w:t xml:space="preserve"> – </w:t>
      </w:r>
      <w:r w:rsidRPr="006C2B43">
        <w:rPr>
          <w:rFonts w:asciiTheme="minorHAnsi" w:hAnsiTheme="minorHAnsi"/>
          <w:lang w:val="en-US"/>
        </w:rPr>
        <w:t>Vienna Convention on the Law of Treaties</w:t>
      </w:r>
      <w:r w:rsidRPr="006C2B43">
        <w:rPr>
          <w:rFonts w:asciiTheme="minorHAnsi" w:hAnsiTheme="minorHAnsi"/>
          <w:bCs/>
          <w:lang w:val="en-US"/>
        </w:rPr>
        <w:t xml:space="preserve"> 1969. The document reproduced for information </w:t>
      </w:r>
      <w:r w:rsidRPr="006C2B43">
        <w:rPr>
          <w:rFonts w:asciiTheme="minorHAnsi" w:hAnsiTheme="minorHAnsi"/>
        </w:rPr>
        <w:t xml:space="preserve">the text of the Vienna Convention on the Law of Treaties. Articles 26 ff. concern </w:t>
      </w:r>
      <w:r w:rsidRPr="006C2B43">
        <w:rPr>
          <w:rFonts w:asciiTheme="minorHAnsi" w:hAnsiTheme="minorHAnsi"/>
          <w:lang w:val="en-US"/>
        </w:rPr>
        <w:t xml:space="preserve">observance, </w:t>
      </w:r>
      <w:proofErr w:type="gramStart"/>
      <w:r w:rsidRPr="006C2B43">
        <w:rPr>
          <w:rFonts w:asciiTheme="minorHAnsi" w:hAnsiTheme="minorHAnsi"/>
          <w:lang w:val="en-US"/>
        </w:rPr>
        <w:t>application</w:t>
      </w:r>
      <w:proofErr w:type="gramEnd"/>
      <w:r w:rsidRPr="006C2B43">
        <w:rPr>
          <w:rFonts w:asciiTheme="minorHAnsi" w:hAnsiTheme="minorHAnsi"/>
          <w:lang w:val="en-US"/>
        </w:rPr>
        <w:t xml:space="preserve"> and interpretation of treaties. </w:t>
      </w:r>
    </w:p>
    <w:p w14:paraId="591979DB" w14:textId="6D47AA09"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b)</w:t>
      </w:r>
      <w:r w:rsidRPr="006C2B43">
        <w:rPr>
          <w:rFonts w:asciiTheme="minorHAnsi" w:hAnsiTheme="minorHAnsi"/>
          <w:lang w:val="en-US"/>
        </w:rPr>
        <w:tab/>
      </w:r>
      <w:hyperlink r:id="rId14" w:tgtFrame="_blank" w:history="1">
        <w:r w:rsidRPr="006C2B43">
          <w:rPr>
            <w:rStyle w:val="Hyperlink"/>
            <w:rFonts w:asciiTheme="minorHAnsi" w:eastAsiaTheme="majorEastAsia" w:hAnsiTheme="minorHAnsi" w:cstheme="majorBidi"/>
            <w:bCs/>
            <w:szCs w:val="24"/>
            <w:lang w:val="en-US"/>
          </w:rPr>
          <w:t>CWG-WCIT12/TD-5</w:t>
        </w:r>
      </w:hyperlink>
      <w:r w:rsidRPr="006C2B43">
        <w:rPr>
          <w:rFonts w:asciiTheme="minorHAnsi" w:hAnsiTheme="minorHAnsi"/>
          <w:bCs/>
          <w:lang w:val="en-US"/>
        </w:rPr>
        <w:t xml:space="preserve"> – Background information of a legal nature. </w:t>
      </w:r>
      <w:r w:rsidRPr="006C2B43">
        <w:rPr>
          <w:rFonts w:asciiTheme="minorHAnsi" w:hAnsiTheme="minorHAnsi"/>
        </w:rPr>
        <w:t xml:space="preserve">During discussions in past meetings of the </w:t>
      </w:r>
      <w:r w:rsidR="00910B2D">
        <w:rPr>
          <w:rFonts w:asciiTheme="minorHAnsi" w:hAnsiTheme="minorHAnsi"/>
        </w:rPr>
        <w:t>EG-</w:t>
      </w:r>
      <w:r w:rsidRPr="006C2B43">
        <w:rPr>
          <w:rFonts w:asciiTheme="minorHAnsi" w:hAnsiTheme="minorHAnsi"/>
        </w:rPr>
        <w:t>ITR</w:t>
      </w:r>
      <w:r w:rsidR="00910B2D">
        <w:rPr>
          <w:rFonts w:asciiTheme="minorHAnsi" w:hAnsiTheme="minorHAnsi"/>
        </w:rPr>
        <w:t>s</w:t>
      </w:r>
      <w:r w:rsidRPr="006C2B43">
        <w:rPr>
          <w:rFonts w:asciiTheme="minorHAnsi" w:hAnsiTheme="minorHAnsi"/>
        </w:rPr>
        <w:t>, a recurring question has been "what are the legal implications of this or that language in the treaty?" The purpose of this paper is to set forth some considerations to be taken into account when answering such questions.</w:t>
      </w:r>
    </w:p>
    <w:p w14:paraId="416499F4" w14:textId="7ACB73F2" w:rsidR="001D2FE2" w:rsidRPr="001F0884"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c)</w:t>
      </w:r>
      <w:r w:rsidRPr="006C2B43">
        <w:rPr>
          <w:rFonts w:asciiTheme="minorHAnsi" w:hAnsiTheme="minorHAnsi"/>
          <w:lang w:val="en-US"/>
        </w:rPr>
        <w:tab/>
      </w:r>
      <w:hyperlink r:id="rId15" w:tgtFrame="_blank" w:history="1">
        <w:r w:rsidRPr="006C2B43">
          <w:rPr>
            <w:rStyle w:val="Hyperlink"/>
            <w:rFonts w:asciiTheme="minorHAnsi" w:eastAsiaTheme="majorEastAsia" w:hAnsiTheme="minorHAnsi" w:cstheme="majorBidi"/>
            <w:bCs/>
            <w:szCs w:val="24"/>
            <w:lang w:val="en-US"/>
          </w:rPr>
          <w:t>CWG-WCIT12/TD-16</w:t>
        </w:r>
      </w:hyperlink>
      <w:r w:rsidRPr="006C2B43">
        <w:rPr>
          <w:rFonts w:asciiTheme="minorHAnsi" w:hAnsiTheme="minorHAnsi"/>
          <w:lang w:val="en-US"/>
        </w:rPr>
        <w:t xml:space="preserve"> </w:t>
      </w:r>
      <w:r w:rsidRPr="006C2B43">
        <w:rPr>
          <w:rFonts w:asciiTheme="minorHAnsi" w:hAnsiTheme="minorHAnsi"/>
          <w:bCs/>
          <w:lang w:val="en-US"/>
        </w:rPr>
        <w:t>– </w:t>
      </w:r>
      <w:r w:rsidRPr="006C2B43">
        <w:rPr>
          <w:rFonts w:asciiTheme="minorHAnsi" w:hAnsiTheme="minorHAnsi"/>
          <w:lang w:val="en-US"/>
        </w:rPr>
        <w:t>Unilateral acts of international organizations</w:t>
      </w:r>
      <w:r w:rsidR="00910B2D">
        <w:rPr>
          <w:rFonts w:asciiTheme="minorHAnsi" w:hAnsiTheme="minorHAnsi"/>
          <w:lang w:val="en-US"/>
        </w:rPr>
        <w:t xml:space="preserve"> </w:t>
      </w:r>
      <w:r w:rsidRPr="006C2B43">
        <w:rPr>
          <w:rFonts w:asciiTheme="minorHAnsi" w:hAnsiTheme="minorHAnsi"/>
          <w:lang w:val="en-US"/>
        </w:rPr>
        <w:t>as an expression of their normative authority</w:t>
      </w:r>
      <w:r w:rsidRPr="006C2B43">
        <w:rPr>
          <w:rFonts w:asciiTheme="minorHAnsi" w:hAnsiTheme="minorHAnsi"/>
          <w:bCs/>
          <w:lang w:val="en-US"/>
        </w:rPr>
        <w:t xml:space="preserve">. Explanations regarding the </w:t>
      </w:r>
      <w:r w:rsidR="00910B2D" w:rsidRPr="006C2B43">
        <w:rPr>
          <w:rFonts w:asciiTheme="minorHAnsi" w:hAnsiTheme="minorHAnsi"/>
          <w:lang w:val="en-US"/>
        </w:rPr>
        <w:t>"</w:t>
      </w:r>
      <w:r w:rsidRPr="006C2B43">
        <w:rPr>
          <w:rFonts w:asciiTheme="minorHAnsi" w:hAnsiTheme="minorHAnsi"/>
          <w:lang w:val="en-US"/>
        </w:rPr>
        <w:t>normative" authority</w:t>
      </w:r>
      <w:r w:rsidRPr="006C2B43">
        <w:rPr>
          <w:rFonts w:asciiTheme="minorHAnsi" w:hAnsiTheme="minorHAnsi"/>
          <w:bCs/>
          <w:lang w:val="en-US"/>
        </w:rPr>
        <w:t xml:space="preserve"> of international organizations, in this particular case </w:t>
      </w:r>
      <w:r w:rsidR="00910B2D">
        <w:rPr>
          <w:rFonts w:asciiTheme="minorHAnsi" w:hAnsiTheme="minorHAnsi"/>
          <w:bCs/>
          <w:lang w:val="en-US"/>
        </w:rPr>
        <w:t>–</w:t>
      </w:r>
      <w:r w:rsidR="00910B2D" w:rsidRPr="00910B2D">
        <w:rPr>
          <w:rFonts w:asciiTheme="minorHAnsi" w:hAnsiTheme="minorHAnsi"/>
          <w:bCs/>
          <w:lang w:val="en-US"/>
        </w:rPr>
        <w:t xml:space="preserve"> </w:t>
      </w:r>
      <w:r w:rsidRPr="006C2B43">
        <w:rPr>
          <w:rFonts w:asciiTheme="minorHAnsi" w:hAnsiTheme="minorHAnsi"/>
          <w:bCs/>
          <w:lang w:val="en-US"/>
        </w:rPr>
        <w:t>ITU, and the consequences of decisions adopted by them in cases where international organizations directly establish provisions of international law that are binding on Member States.</w:t>
      </w:r>
    </w:p>
    <w:p w14:paraId="4B7305D9"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d)</w:t>
      </w:r>
      <w:r w:rsidRPr="006C2B43">
        <w:rPr>
          <w:rFonts w:asciiTheme="minorHAnsi" w:hAnsiTheme="minorHAnsi"/>
          <w:lang w:val="en-US"/>
        </w:rPr>
        <w:tab/>
      </w:r>
      <w:hyperlink r:id="rId16" w:tgtFrame="_blank" w:history="1">
        <w:r w:rsidRPr="006C2B43">
          <w:rPr>
            <w:rStyle w:val="Hyperlink"/>
            <w:rFonts w:asciiTheme="minorHAnsi" w:eastAsiaTheme="majorEastAsia" w:hAnsiTheme="minorHAnsi" w:cstheme="majorBidi"/>
            <w:bCs/>
            <w:szCs w:val="24"/>
          </w:rPr>
          <w:t>TD</w:t>
        </w:r>
        <w:r w:rsidRPr="006C2B43">
          <w:rPr>
            <w:rStyle w:val="Hyperlink"/>
            <w:rFonts w:asciiTheme="minorHAnsi" w:eastAsiaTheme="majorEastAsia" w:hAnsiTheme="minorHAnsi" w:cstheme="majorBidi"/>
            <w:bCs/>
            <w:szCs w:val="24"/>
            <w:lang w:val="en-US"/>
          </w:rPr>
          <w:t xml:space="preserve"> 30 (</w:t>
        </w:r>
        <w:r w:rsidRPr="006C2B43">
          <w:rPr>
            <w:rStyle w:val="Hyperlink"/>
            <w:rFonts w:asciiTheme="minorHAnsi" w:eastAsiaTheme="majorEastAsia" w:hAnsiTheme="minorHAnsi" w:cstheme="majorBidi"/>
            <w:bCs/>
            <w:szCs w:val="24"/>
          </w:rPr>
          <w:t>PLEN</w:t>
        </w:r>
        <w:r w:rsidRPr="006C2B43">
          <w:rPr>
            <w:rStyle w:val="Hyperlink"/>
            <w:rFonts w:asciiTheme="minorHAnsi" w:eastAsiaTheme="majorEastAsia" w:hAnsiTheme="minorHAnsi" w:cstheme="majorBidi"/>
            <w:bCs/>
            <w:szCs w:val="24"/>
            <w:lang w:val="en-US"/>
          </w:rPr>
          <w:t>/</w:t>
        </w:r>
        <w:r w:rsidRPr="006C2B43">
          <w:rPr>
            <w:rStyle w:val="Hyperlink"/>
            <w:rFonts w:asciiTheme="minorHAnsi" w:eastAsiaTheme="majorEastAsia" w:hAnsiTheme="minorHAnsi" w:cstheme="majorBidi"/>
            <w:bCs/>
            <w:szCs w:val="24"/>
          </w:rPr>
          <w:t>ITR</w:t>
        </w:r>
        <w:r w:rsidRPr="006C2B43">
          <w:rPr>
            <w:rStyle w:val="Hyperlink"/>
            <w:rFonts w:asciiTheme="minorHAnsi" w:eastAsiaTheme="majorEastAsia" w:hAnsiTheme="minorHAnsi" w:cstheme="majorBidi"/>
            <w:bCs/>
            <w:szCs w:val="24"/>
            <w:lang w:val="en-US"/>
          </w:rPr>
          <w:t>-</w:t>
        </w:r>
        <w:r w:rsidRPr="006C2B43">
          <w:rPr>
            <w:rStyle w:val="Hyperlink"/>
            <w:rFonts w:asciiTheme="minorHAnsi" w:eastAsiaTheme="majorEastAsia" w:hAnsiTheme="minorHAnsi" w:cstheme="majorBidi"/>
            <w:bCs/>
            <w:szCs w:val="24"/>
          </w:rPr>
          <w:t>EG</w:t>
        </w:r>
        <w:r w:rsidRPr="006C2B43">
          <w:rPr>
            <w:rStyle w:val="Hyperlink"/>
            <w:rFonts w:asciiTheme="minorHAnsi" w:eastAsiaTheme="majorEastAsia" w:hAnsiTheme="minorHAnsi" w:cstheme="majorBidi"/>
            <w:bCs/>
            <w:szCs w:val="24"/>
            <w:lang w:val="en-US"/>
          </w:rPr>
          <w:t>)</w:t>
        </w:r>
      </w:hyperlink>
      <w:r w:rsidRPr="006C2B43">
        <w:rPr>
          <w:rFonts w:asciiTheme="minorHAnsi" w:hAnsiTheme="minorHAnsi"/>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rPr>
        <w:t>Food for thought concerning consent to be bound by the ITRs</w:t>
      </w:r>
      <w:r w:rsidRPr="006C2B43">
        <w:rPr>
          <w:rFonts w:asciiTheme="minorHAnsi" w:hAnsiTheme="minorHAnsi"/>
          <w:bCs/>
          <w:lang w:val="en-US"/>
        </w:rPr>
        <w:t>. Examines the question of the acceptance by a Member State of the obligations to apply the ITRs in accordance with the ITU Constitution and Convention.</w:t>
      </w:r>
    </w:p>
    <w:p w14:paraId="16B4385E" w14:textId="12D473B7"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e)</w:t>
      </w:r>
      <w:r w:rsidRPr="006C2B43">
        <w:rPr>
          <w:rFonts w:asciiTheme="minorHAnsi" w:hAnsiTheme="minorHAnsi"/>
          <w:lang w:val="en-US"/>
        </w:rPr>
        <w:tab/>
      </w:r>
      <w:hyperlink r:id="rId17" w:history="1">
        <w:r w:rsidRPr="006C2B43">
          <w:rPr>
            <w:rStyle w:val="Hyperlink"/>
            <w:rFonts w:asciiTheme="minorHAnsi" w:hAnsiTheme="minorHAnsi" w:cstheme="majorBidi"/>
            <w:bCs/>
            <w:szCs w:val="24"/>
            <w:lang w:val="en-US"/>
          </w:rPr>
          <w:t>CWG-WCIT12/INF-1</w:t>
        </w:r>
      </w:hyperlink>
      <w:r w:rsidRPr="006C2B43">
        <w:rPr>
          <w:rFonts w:asciiTheme="minorHAnsi" w:hAnsiTheme="minorHAnsi"/>
          <w:bCs/>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rPr>
        <w:t>Predecessor of the current (1988) ITRs</w:t>
      </w:r>
      <w:r w:rsidRPr="006C2B43">
        <w:rPr>
          <w:rFonts w:asciiTheme="minorHAnsi" w:hAnsiTheme="minorHAnsi"/>
          <w:bCs/>
          <w:lang w:val="en-US"/>
        </w:rPr>
        <w:t>.</w:t>
      </w:r>
    </w:p>
    <w:p w14:paraId="1AE31C28" w14:textId="70B67FF8"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f)</w:t>
      </w:r>
      <w:r w:rsidRPr="006C2B43">
        <w:rPr>
          <w:rFonts w:asciiTheme="minorHAnsi" w:hAnsiTheme="minorHAnsi"/>
          <w:lang w:val="en-US"/>
        </w:rPr>
        <w:tab/>
      </w:r>
      <w:hyperlink r:id="rId18" w:history="1">
        <w:r w:rsidRPr="006C2B43">
          <w:rPr>
            <w:rStyle w:val="Hyperlink"/>
            <w:rFonts w:asciiTheme="minorHAnsi" w:hAnsiTheme="minorHAnsi" w:cstheme="majorBidi"/>
            <w:bCs/>
            <w:szCs w:val="24"/>
            <w:lang w:val="en-US"/>
          </w:rPr>
          <w:t>CWG-WCIT12/INF-2</w:t>
        </w:r>
      </w:hyperlink>
      <w:r w:rsidRPr="006C2B43">
        <w:rPr>
          <w:rFonts w:asciiTheme="minorHAnsi" w:hAnsiTheme="minorHAnsi"/>
          <w:bCs/>
          <w:lang w:val="en-US"/>
        </w:rPr>
        <w:t> – </w:t>
      </w:r>
      <w:r w:rsidRPr="006C2B43">
        <w:rPr>
          <w:rFonts w:asciiTheme="minorHAnsi" w:hAnsiTheme="minorHAnsi"/>
          <w:lang w:val="en-US"/>
        </w:rPr>
        <w:t>Status of Instructions</w:t>
      </w:r>
      <w:r w:rsidRPr="006C2B43">
        <w:rPr>
          <w:rFonts w:asciiTheme="minorHAnsi" w:hAnsiTheme="minorHAnsi"/>
          <w:bCs/>
          <w:lang w:val="en-US"/>
        </w:rPr>
        <w:t xml:space="preserve"> in the 1988 ITRs.</w:t>
      </w:r>
    </w:p>
    <w:p w14:paraId="15BBF23E"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g)</w:t>
      </w:r>
      <w:r w:rsidRPr="006C2B43">
        <w:rPr>
          <w:rFonts w:asciiTheme="minorHAnsi" w:hAnsiTheme="minorHAnsi"/>
          <w:lang w:val="en-US"/>
        </w:rPr>
        <w:tab/>
      </w:r>
      <w:hyperlink r:id="rId19" w:history="1">
        <w:r w:rsidRPr="006C2B43">
          <w:rPr>
            <w:rStyle w:val="Hyperlink"/>
            <w:rFonts w:asciiTheme="minorHAnsi" w:hAnsiTheme="minorHAnsi" w:cstheme="majorBidi"/>
            <w:szCs w:val="24"/>
            <w:lang w:val="en-US"/>
          </w:rPr>
          <w:t>CWG-WCIT12/INF-3</w:t>
        </w:r>
      </w:hyperlink>
      <w:r w:rsidRPr="006C2B43">
        <w:rPr>
          <w:rFonts w:asciiTheme="minorHAnsi" w:hAnsiTheme="minorHAnsi"/>
          <w:bCs/>
          <w:lang w:val="en-US"/>
        </w:rPr>
        <w:t> – </w:t>
      </w:r>
      <w:r w:rsidRPr="006C2B43">
        <w:rPr>
          <w:rFonts w:asciiTheme="minorHAnsi" w:hAnsiTheme="minorHAnsi"/>
          <w:lang w:val="en-US"/>
        </w:rPr>
        <w:t xml:space="preserve">Summary of </w:t>
      </w:r>
      <w:r w:rsidRPr="006C2B43">
        <w:rPr>
          <w:rFonts w:asciiTheme="minorHAnsi" w:hAnsiTheme="minorHAnsi"/>
          <w:iCs/>
          <w:lang w:val="en-US"/>
        </w:rPr>
        <w:t>ITU Workshop on taxation of telecommunication services and related products</w:t>
      </w:r>
      <w:r w:rsidRPr="006C2B43">
        <w:rPr>
          <w:rFonts w:asciiTheme="minorHAnsi" w:hAnsiTheme="minorHAnsi"/>
          <w:lang w:val="en-US"/>
        </w:rPr>
        <w:t>.</w:t>
      </w:r>
    </w:p>
    <w:p w14:paraId="6648E17A"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h)</w:t>
      </w:r>
      <w:r w:rsidRPr="006C2B43">
        <w:rPr>
          <w:rFonts w:asciiTheme="minorHAnsi" w:hAnsiTheme="minorHAnsi"/>
          <w:lang w:val="en-US"/>
        </w:rPr>
        <w:tab/>
      </w:r>
      <w:hyperlink r:id="rId20" w:history="1">
        <w:r w:rsidRPr="006C2B43">
          <w:rPr>
            <w:rStyle w:val="Hyperlink"/>
            <w:rFonts w:asciiTheme="minorHAnsi" w:eastAsiaTheme="minorEastAsia" w:hAnsiTheme="minorHAnsi" w:cstheme="majorBidi"/>
            <w:szCs w:val="24"/>
            <w:lang w:val="en-US"/>
          </w:rPr>
          <w:t>CWG-WCIT12/INF-4 Rev.1</w:t>
        </w:r>
      </w:hyperlink>
      <w:r w:rsidRPr="006C2B43">
        <w:rPr>
          <w:rFonts w:asciiTheme="minorHAnsi" w:hAnsiTheme="minorHAnsi"/>
          <w:bCs/>
          <w:lang w:val="en-US"/>
        </w:rPr>
        <w:t> – </w:t>
      </w:r>
      <w:r w:rsidRPr="006C2B43">
        <w:rPr>
          <w:rFonts w:asciiTheme="minorHAnsi" w:hAnsiTheme="minorHAnsi"/>
          <w:lang w:val="en-US"/>
        </w:rPr>
        <w:t>Supplement 2 to Recommendation ITU-T E.156</w:t>
      </w:r>
      <w:r w:rsidRPr="006C2B43">
        <w:rPr>
          <w:rFonts w:asciiTheme="minorHAnsi" w:hAnsiTheme="minorHAnsi"/>
          <w:bCs/>
          <w:lang w:val="en-US"/>
        </w:rPr>
        <w:t>. Questions relating to misuse of numbering resources.</w:t>
      </w:r>
    </w:p>
    <w:p w14:paraId="14FF04ED" w14:textId="633F7800"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i)</w:t>
      </w:r>
      <w:r w:rsidRPr="006C2B43">
        <w:rPr>
          <w:rFonts w:asciiTheme="minorHAnsi" w:hAnsiTheme="minorHAnsi"/>
          <w:lang w:val="en-US"/>
        </w:rPr>
        <w:tab/>
      </w:r>
      <w:hyperlink r:id="rId21" w:history="1">
        <w:r w:rsidRPr="006C2B43">
          <w:rPr>
            <w:rStyle w:val="Hyperlink"/>
            <w:rFonts w:asciiTheme="minorHAnsi" w:hAnsiTheme="minorHAnsi" w:cstheme="majorBidi"/>
            <w:szCs w:val="24"/>
            <w:lang w:val="en-US"/>
          </w:rPr>
          <w:t>CWG-WCIT12/INF-5</w:t>
        </w:r>
      </w:hyperlink>
      <w:r w:rsidRPr="006C2B43">
        <w:rPr>
          <w:rFonts w:asciiTheme="minorHAnsi" w:hAnsiTheme="minorHAnsi"/>
          <w:lang w:val="en-US"/>
        </w:rPr>
        <w:t> – Overview of Quality of Service.</w:t>
      </w:r>
    </w:p>
    <w:p w14:paraId="166CB864" w14:textId="4E731DB1"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lastRenderedPageBreak/>
        <w:tab/>
      </w:r>
      <w:r w:rsidRPr="006C2B43">
        <w:rPr>
          <w:rFonts w:asciiTheme="minorHAnsi" w:hAnsiTheme="minorHAnsi"/>
          <w:lang w:val="en-US"/>
        </w:rPr>
        <w:t>j)</w:t>
      </w:r>
      <w:r w:rsidRPr="006C2B43">
        <w:rPr>
          <w:rFonts w:asciiTheme="minorHAnsi" w:hAnsiTheme="minorHAnsi"/>
          <w:lang w:val="en-US"/>
        </w:rPr>
        <w:tab/>
      </w:r>
      <w:hyperlink r:id="rId22" w:history="1">
        <w:r w:rsidRPr="006C2B43">
          <w:rPr>
            <w:rStyle w:val="Hyperlink"/>
            <w:rFonts w:asciiTheme="minorHAnsi" w:hAnsiTheme="minorHAnsi" w:cstheme="majorBidi"/>
            <w:szCs w:val="24"/>
            <w:lang w:val="en-US"/>
          </w:rPr>
          <w:t>CWG-WCIT12/INF-6</w:t>
        </w:r>
      </w:hyperlink>
      <w:r w:rsidRPr="006C2B43">
        <w:rPr>
          <w:rFonts w:asciiTheme="minorHAnsi" w:hAnsiTheme="minorHAnsi"/>
          <w:bCs/>
          <w:lang w:val="en-US"/>
        </w:rPr>
        <w:t> – Overview of Convergence.</w:t>
      </w:r>
    </w:p>
    <w:p w14:paraId="63EA81F5" w14:textId="376553A1"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k)</w:t>
      </w:r>
      <w:r w:rsidRPr="006C2B43">
        <w:rPr>
          <w:rFonts w:asciiTheme="minorHAnsi" w:hAnsiTheme="minorHAnsi"/>
          <w:lang w:val="en-US"/>
        </w:rPr>
        <w:tab/>
      </w:r>
      <w:hyperlink r:id="rId23" w:history="1">
        <w:r w:rsidRPr="006C2B43">
          <w:rPr>
            <w:rStyle w:val="Hyperlink"/>
            <w:rFonts w:asciiTheme="minorHAnsi" w:hAnsiTheme="minorHAnsi" w:cstheme="majorBidi"/>
            <w:szCs w:val="24"/>
          </w:rPr>
          <w:t>CWG</w:t>
        </w:r>
        <w:r w:rsidRPr="006C2B43">
          <w:rPr>
            <w:rStyle w:val="Hyperlink"/>
            <w:rFonts w:asciiTheme="minorHAnsi" w:hAnsiTheme="minorHAnsi" w:cstheme="majorBidi"/>
            <w:szCs w:val="24"/>
            <w:lang w:val="en-US"/>
          </w:rPr>
          <w:t>-</w:t>
        </w:r>
        <w:r w:rsidRPr="006C2B43">
          <w:rPr>
            <w:rStyle w:val="Hyperlink"/>
            <w:rFonts w:asciiTheme="minorHAnsi" w:hAnsiTheme="minorHAnsi" w:cstheme="majorBidi"/>
            <w:szCs w:val="24"/>
          </w:rPr>
          <w:t>WCIT</w:t>
        </w:r>
        <w:r w:rsidRPr="006C2B43">
          <w:rPr>
            <w:rStyle w:val="Hyperlink"/>
            <w:rFonts w:asciiTheme="minorHAnsi" w:hAnsiTheme="minorHAnsi" w:cstheme="majorBidi"/>
            <w:szCs w:val="24"/>
            <w:lang w:val="en-US"/>
          </w:rPr>
          <w:t>12/</w:t>
        </w:r>
        <w:r w:rsidRPr="006C2B43">
          <w:rPr>
            <w:rStyle w:val="Hyperlink"/>
            <w:rFonts w:asciiTheme="minorHAnsi" w:hAnsiTheme="minorHAnsi" w:cstheme="majorBidi"/>
            <w:szCs w:val="24"/>
          </w:rPr>
          <w:t>INF</w:t>
        </w:r>
        <w:r w:rsidRPr="006C2B43">
          <w:rPr>
            <w:rStyle w:val="Hyperlink"/>
            <w:rFonts w:asciiTheme="minorHAnsi" w:hAnsiTheme="minorHAnsi" w:cstheme="majorBidi"/>
            <w:szCs w:val="24"/>
            <w:lang w:val="en-US"/>
          </w:rPr>
          <w:t>-7</w:t>
        </w:r>
      </w:hyperlink>
      <w:r w:rsidRPr="006C2B43">
        <w:rPr>
          <w:rFonts w:asciiTheme="minorHAnsi" w:hAnsiTheme="minorHAnsi"/>
        </w:rPr>
        <w:t> </w:t>
      </w:r>
      <w:r w:rsidRPr="006C2B43">
        <w:rPr>
          <w:rFonts w:asciiTheme="minorHAnsi" w:hAnsiTheme="minorHAnsi"/>
          <w:lang w:val="en-US"/>
        </w:rPr>
        <w:t>–</w:t>
      </w:r>
      <w:r w:rsidRPr="006C2B43">
        <w:rPr>
          <w:rFonts w:asciiTheme="minorHAnsi" w:hAnsiTheme="minorHAnsi"/>
        </w:rPr>
        <w:t> </w:t>
      </w:r>
      <w:r w:rsidRPr="006C2B43">
        <w:rPr>
          <w:rFonts w:asciiTheme="minorHAnsi" w:hAnsiTheme="minorHAnsi"/>
          <w:lang w:val="en-US"/>
        </w:rPr>
        <w:t>Security in the use of ICTs.</w:t>
      </w:r>
    </w:p>
    <w:p w14:paraId="36888599"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l)</w:t>
      </w:r>
      <w:r w:rsidRPr="006C2B43">
        <w:rPr>
          <w:rFonts w:asciiTheme="minorHAnsi" w:hAnsiTheme="minorHAnsi"/>
          <w:lang w:val="en-US"/>
        </w:rPr>
        <w:tab/>
      </w:r>
      <w:hyperlink r:id="rId24" w:history="1">
        <w:r w:rsidRPr="006C2B43">
          <w:rPr>
            <w:rStyle w:val="Hyperlink"/>
            <w:rFonts w:asciiTheme="minorHAnsi" w:hAnsiTheme="minorHAnsi" w:cstheme="majorBidi"/>
            <w:szCs w:val="24"/>
            <w:lang w:val="en-US"/>
          </w:rPr>
          <w:t>CWG-WCIT12/INF-8</w:t>
        </w:r>
      </w:hyperlink>
      <w:r w:rsidRPr="006C2B43">
        <w:rPr>
          <w:rFonts w:asciiTheme="minorHAnsi" w:hAnsiTheme="minorHAnsi"/>
          <w:bCs/>
          <w:lang w:val="en-US"/>
        </w:rPr>
        <w:t> – Overview of enforcement issues, including status of ITU-T Recommendations</w:t>
      </w:r>
      <w:r w:rsidRPr="006C2B43">
        <w:rPr>
          <w:rFonts w:asciiTheme="minorHAnsi" w:hAnsiTheme="minorHAnsi"/>
          <w:lang w:val="en-US"/>
        </w:rPr>
        <w:t>.</w:t>
      </w:r>
    </w:p>
    <w:p w14:paraId="2E7A0025"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m)</w:t>
      </w:r>
      <w:r w:rsidRPr="006C2B43">
        <w:rPr>
          <w:rFonts w:asciiTheme="minorHAnsi" w:hAnsiTheme="minorHAnsi"/>
          <w:lang w:val="en-US"/>
        </w:rPr>
        <w:tab/>
      </w:r>
      <w:hyperlink r:id="rId25" w:history="1">
        <w:r w:rsidRPr="006C2B43">
          <w:rPr>
            <w:rStyle w:val="Hyperlink"/>
            <w:rFonts w:asciiTheme="minorHAnsi" w:hAnsiTheme="minorHAnsi" w:cstheme="majorBidi"/>
            <w:szCs w:val="24"/>
            <w:lang w:val="en-US"/>
          </w:rPr>
          <w:t>CWG-WCIT12/INF-9</w:t>
        </w:r>
      </w:hyperlink>
      <w:r w:rsidRPr="006C2B43">
        <w:rPr>
          <w:rFonts w:asciiTheme="minorHAnsi" w:hAnsiTheme="minorHAnsi"/>
          <w:lang w:val="en-US"/>
        </w:rPr>
        <w:t> – International Frameworks. Information document on the ITRs and other international frameworks.</w:t>
      </w:r>
    </w:p>
    <w:p w14:paraId="196462CF" w14:textId="2478FEC8"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n)</w:t>
      </w:r>
      <w:r w:rsidRPr="006C2B43">
        <w:rPr>
          <w:rFonts w:asciiTheme="minorHAnsi" w:hAnsiTheme="minorHAnsi"/>
          <w:lang w:val="en-US"/>
        </w:rPr>
        <w:tab/>
      </w:r>
      <w:hyperlink r:id="rId26" w:history="1">
        <w:r w:rsidRPr="006C2B43">
          <w:rPr>
            <w:rStyle w:val="Hyperlink"/>
            <w:rFonts w:asciiTheme="minorHAnsi" w:hAnsiTheme="minorHAnsi" w:cstheme="majorBidi"/>
            <w:szCs w:val="24"/>
            <w:lang w:val="en-US"/>
          </w:rPr>
          <w:t>CWG-WCIT12/INF-10</w:t>
        </w:r>
      </w:hyperlink>
      <w:r w:rsidRPr="006C2B43">
        <w:rPr>
          <w:rFonts w:asciiTheme="minorHAnsi" w:hAnsiTheme="minorHAnsi"/>
          <w:bCs/>
        </w:rPr>
        <w:t> </w:t>
      </w:r>
      <w:r w:rsidRPr="006C2B43">
        <w:rPr>
          <w:rFonts w:asciiTheme="minorHAnsi" w:hAnsiTheme="minorHAnsi"/>
          <w:bCs/>
          <w:lang w:val="en-US"/>
        </w:rPr>
        <w:t>–</w:t>
      </w:r>
      <w:r w:rsidRPr="006C2B43">
        <w:rPr>
          <w:rFonts w:asciiTheme="minorHAnsi" w:hAnsiTheme="minorHAnsi"/>
          <w:bCs/>
        </w:rPr>
        <w:t> </w:t>
      </w:r>
      <w:r w:rsidRPr="006C2B43">
        <w:rPr>
          <w:rFonts w:asciiTheme="minorHAnsi" w:hAnsiTheme="minorHAnsi"/>
          <w:bCs/>
          <w:lang w:val="en-US"/>
        </w:rPr>
        <w:t>The human right to access communications.</w:t>
      </w:r>
    </w:p>
    <w:p w14:paraId="3B2F7119" w14:textId="48142E3D"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o)</w:t>
      </w:r>
      <w:r w:rsidRPr="006C2B43">
        <w:rPr>
          <w:rFonts w:asciiTheme="minorHAnsi" w:hAnsiTheme="minorHAnsi"/>
          <w:lang w:val="en-US"/>
        </w:rPr>
        <w:tab/>
      </w:r>
      <w:hyperlink r:id="rId27" w:history="1">
        <w:r w:rsidRPr="006C2B43">
          <w:rPr>
            <w:rStyle w:val="Hyperlink"/>
            <w:rFonts w:asciiTheme="minorHAnsi" w:hAnsiTheme="minorHAnsi" w:cstheme="majorBidi"/>
            <w:szCs w:val="24"/>
            <w:lang w:val="en-US"/>
          </w:rPr>
          <w:t>CWG-WCIT12/INF-11 Rev.1</w:t>
        </w:r>
      </w:hyperlink>
      <w:r w:rsidRPr="006C2B43">
        <w:rPr>
          <w:rFonts w:asciiTheme="minorHAnsi" w:hAnsiTheme="minorHAnsi"/>
          <w:bCs/>
          <w:lang w:val="en-US"/>
        </w:rPr>
        <w:t> – Protection of Critical National Infrastructure.</w:t>
      </w:r>
    </w:p>
    <w:p w14:paraId="26129404" w14:textId="77777777" w:rsidR="001D2FE2" w:rsidRPr="006C2B43" w:rsidRDefault="001D2FE2" w:rsidP="00917463">
      <w:pPr>
        <w:pStyle w:val="enumlev2"/>
        <w:tabs>
          <w:tab w:val="clear" w:pos="567"/>
        </w:tabs>
        <w:ind w:firstLine="0"/>
        <w:jc w:val="both"/>
        <w:rPr>
          <w:rFonts w:asciiTheme="minorHAnsi" w:hAnsiTheme="minorHAnsi"/>
          <w:lang w:val="en-US"/>
        </w:rPr>
      </w:pPr>
      <w:r w:rsidRPr="006C2B43">
        <w:rPr>
          <w:rFonts w:asciiTheme="minorHAnsi" w:hAnsiTheme="minorHAnsi"/>
          <w:lang w:val="en-US"/>
        </w:rPr>
        <w:t>p)</w:t>
      </w:r>
      <w:r w:rsidRPr="006C2B43">
        <w:rPr>
          <w:rFonts w:asciiTheme="minorHAnsi" w:hAnsiTheme="minorHAnsi"/>
          <w:lang w:val="en-US"/>
        </w:rPr>
        <w:tab/>
      </w:r>
      <w:hyperlink r:id="rId28" w:history="1">
        <w:r w:rsidRPr="006C2B43">
          <w:rPr>
            <w:rStyle w:val="Hyperlink"/>
            <w:rFonts w:asciiTheme="minorHAnsi" w:hAnsiTheme="minorHAnsi" w:cstheme="majorBidi"/>
            <w:szCs w:val="24"/>
            <w:lang w:val="en-US"/>
          </w:rPr>
          <w:t>CWG-WCIT12/INF-12</w:t>
        </w:r>
      </w:hyperlink>
      <w:r w:rsidRPr="006C2B43">
        <w:rPr>
          <w:rFonts w:asciiTheme="minorHAnsi" w:hAnsiTheme="minorHAnsi"/>
          <w:bCs/>
          <w:lang w:val="en-US"/>
        </w:rPr>
        <w:t xml:space="preserve"> – </w:t>
      </w:r>
      <w:r w:rsidRPr="006C2B43">
        <w:rPr>
          <w:rFonts w:asciiTheme="minorHAnsi" w:hAnsiTheme="minorHAnsi"/>
          <w:lang w:val="en-US"/>
        </w:rPr>
        <w:t xml:space="preserve">Overview of </w:t>
      </w:r>
      <w:r w:rsidRPr="006C2B43">
        <w:rPr>
          <w:rFonts w:asciiTheme="minorHAnsi" w:hAnsiTheme="minorHAnsi"/>
          <w:iCs/>
          <w:lang w:val="en-US"/>
        </w:rPr>
        <w:t>ITU work on tariff and accounting matters, including international mobile roaming, international Internet connectivity, and taxation issues</w:t>
      </w:r>
      <w:r w:rsidRPr="006C2B43">
        <w:rPr>
          <w:rFonts w:asciiTheme="minorHAnsi" w:hAnsiTheme="minorHAnsi"/>
          <w:lang w:val="en-US"/>
        </w:rPr>
        <w:t>.</w:t>
      </w:r>
    </w:p>
    <w:p w14:paraId="31C51F51" w14:textId="3A1F5960" w:rsidR="001D2FE2" w:rsidRPr="006C2B43" w:rsidRDefault="001D2FE2" w:rsidP="00917463">
      <w:pPr>
        <w:pStyle w:val="enumlev2"/>
        <w:tabs>
          <w:tab w:val="clear" w:pos="567"/>
        </w:tabs>
        <w:jc w:val="both"/>
        <w:rPr>
          <w:rFonts w:asciiTheme="minorHAnsi" w:hAnsiTheme="minorHAnsi"/>
          <w:lang w:val="en-US"/>
        </w:rPr>
      </w:pPr>
      <w:r>
        <w:rPr>
          <w:rFonts w:asciiTheme="minorHAnsi" w:hAnsiTheme="minorHAnsi"/>
          <w:lang w:val="en-US"/>
        </w:rPr>
        <w:tab/>
      </w:r>
      <w:r w:rsidRPr="006C2B43">
        <w:rPr>
          <w:rFonts w:asciiTheme="minorHAnsi" w:hAnsiTheme="minorHAnsi"/>
          <w:lang w:val="en-US"/>
        </w:rPr>
        <w:t>q)</w:t>
      </w:r>
      <w:r w:rsidRPr="006C2B43">
        <w:rPr>
          <w:rFonts w:asciiTheme="minorHAnsi" w:hAnsiTheme="minorHAnsi"/>
          <w:lang w:val="en-US"/>
        </w:rPr>
        <w:tab/>
      </w:r>
      <w:hyperlink r:id="rId29" w:history="1">
        <w:r w:rsidRPr="006C2B43">
          <w:rPr>
            <w:rStyle w:val="Hyperlink"/>
            <w:rFonts w:asciiTheme="minorHAnsi" w:hAnsiTheme="minorHAnsi" w:cstheme="majorBidi"/>
            <w:szCs w:val="24"/>
            <w:lang w:val="en-US"/>
          </w:rPr>
          <w:t>CWG-WCIT12/INF-13</w:t>
        </w:r>
      </w:hyperlink>
      <w:r w:rsidRPr="006C2B43">
        <w:rPr>
          <w:rFonts w:asciiTheme="minorHAnsi" w:hAnsiTheme="minorHAnsi"/>
          <w:bCs/>
          <w:lang w:val="en-US"/>
        </w:rPr>
        <w:t> – Interconnection and Interoperability.</w:t>
      </w:r>
    </w:p>
    <w:p w14:paraId="724F334D" w14:textId="77777777" w:rsidR="001D2FE2" w:rsidRPr="00FE69A8" w:rsidRDefault="001D2FE2" w:rsidP="00917463">
      <w:pPr>
        <w:pStyle w:val="enumlev2"/>
        <w:tabs>
          <w:tab w:val="clear" w:pos="567"/>
        </w:tabs>
        <w:ind w:firstLine="0"/>
        <w:jc w:val="both"/>
        <w:rPr>
          <w:lang w:val="en-US"/>
        </w:rPr>
      </w:pPr>
      <w:r w:rsidRPr="006C2B43">
        <w:rPr>
          <w:rFonts w:asciiTheme="minorHAnsi" w:hAnsiTheme="minorHAnsi"/>
          <w:lang w:val="en-US"/>
        </w:rPr>
        <w:t>r)</w:t>
      </w:r>
      <w:r w:rsidRPr="006C2B43">
        <w:rPr>
          <w:rFonts w:asciiTheme="minorHAnsi" w:hAnsiTheme="minorHAnsi"/>
          <w:lang w:val="en-US"/>
        </w:rPr>
        <w:tab/>
      </w:r>
      <w:hyperlink r:id="rId30" w:history="1">
        <w:r w:rsidRPr="006C2B43">
          <w:rPr>
            <w:rStyle w:val="Hyperlink"/>
            <w:rFonts w:asciiTheme="minorHAnsi" w:hAnsiTheme="minorHAnsi" w:cstheme="majorBidi"/>
            <w:szCs w:val="24"/>
            <w:lang w:val="en-US"/>
          </w:rPr>
          <w:t>CWG-WCIT12/INF–15</w:t>
        </w:r>
      </w:hyperlink>
      <w:r w:rsidRPr="006C2B43">
        <w:rPr>
          <w:rFonts w:asciiTheme="minorHAnsi" w:hAnsiTheme="minorHAnsi"/>
          <w:lang w:val="en-US"/>
        </w:rPr>
        <w:t> – Summary report of the ITU workshop on origin identification and alternative calling procedures</w:t>
      </w:r>
      <w:r w:rsidRPr="00FE69A8">
        <w:rPr>
          <w:lang w:val="en-US"/>
        </w:rPr>
        <w:t>.</w:t>
      </w:r>
    </w:p>
    <w:p w14:paraId="44EA4022" w14:textId="72041CEC" w:rsidR="00910B2D" w:rsidRDefault="001D2FE2" w:rsidP="00FD678C">
      <w:pPr>
        <w:pStyle w:val="enumlev1"/>
        <w:tabs>
          <w:tab w:val="clear" w:pos="567"/>
        </w:tabs>
        <w:ind w:left="0" w:firstLine="709"/>
        <w:jc w:val="both"/>
        <w:rPr>
          <w:lang w:val="en-US"/>
        </w:rPr>
      </w:pPr>
      <w:r>
        <w:rPr>
          <w:lang w:val="en-US"/>
        </w:rPr>
        <w:t>3)</w:t>
      </w:r>
      <w:r>
        <w:rPr>
          <w:lang w:val="en-US"/>
        </w:rPr>
        <w:tab/>
      </w:r>
      <w:r w:rsidRPr="00EE7DE9">
        <w:rPr>
          <w:lang w:val="en-US"/>
        </w:rPr>
        <w:t xml:space="preserve">On the basis of the work </w:t>
      </w:r>
      <w:r w:rsidR="00910B2D">
        <w:rPr>
          <w:lang w:val="en-US"/>
        </w:rPr>
        <w:t>carried out</w:t>
      </w:r>
      <w:r w:rsidRPr="00EE7DE9">
        <w:rPr>
          <w:lang w:val="en-US"/>
        </w:rPr>
        <w:t xml:space="preserve">, </w:t>
      </w:r>
      <w:r w:rsidR="00910B2D">
        <w:rPr>
          <w:lang w:val="en-US"/>
        </w:rPr>
        <w:t>as well as</w:t>
      </w:r>
      <w:r w:rsidR="00910B2D" w:rsidRPr="00EE7DE9">
        <w:rPr>
          <w:lang w:val="en-US"/>
        </w:rPr>
        <w:t xml:space="preserve"> </w:t>
      </w:r>
      <w:r w:rsidRPr="00EE7DE9">
        <w:rPr>
          <w:lang w:val="en-US"/>
        </w:rPr>
        <w:t>the contributions received from Member States</w:t>
      </w:r>
      <w:r w:rsidR="00FD678C" w:rsidRPr="00FD678C">
        <w:rPr>
          <w:lang w:val="en-US"/>
        </w:rPr>
        <w:t xml:space="preserve"> </w:t>
      </w:r>
      <w:r w:rsidR="00FD678C" w:rsidRPr="00EE7DE9">
        <w:rPr>
          <w:lang w:val="en-US"/>
        </w:rPr>
        <w:t>to EG-ITR</w:t>
      </w:r>
      <w:r w:rsidR="00FD678C">
        <w:rPr>
          <w:lang w:val="en-US"/>
        </w:rPr>
        <w:t>s</w:t>
      </w:r>
      <w:r w:rsidRPr="00EE7DE9">
        <w:rPr>
          <w:lang w:val="en-US"/>
        </w:rPr>
        <w:t xml:space="preserve">, </w:t>
      </w:r>
      <w:r w:rsidR="00910B2D">
        <w:rPr>
          <w:lang w:val="en-US"/>
        </w:rPr>
        <w:t xml:space="preserve">to </w:t>
      </w:r>
      <w:r w:rsidR="00FD678C">
        <w:rPr>
          <w:lang w:val="en-US"/>
        </w:rPr>
        <w:t>prepare</w:t>
      </w:r>
      <w:r w:rsidR="00FD678C" w:rsidRPr="00EE7DE9">
        <w:rPr>
          <w:lang w:val="en-US"/>
        </w:rPr>
        <w:t xml:space="preserve"> </w:t>
      </w:r>
      <w:r w:rsidRPr="00EE7DE9">
        <w:rPr>
          <w:lang w:val="en-US"/>
        </w:rPr>
        <w:t xml:space="preserve">material on issues </w:t>
      </w:r>
      <w:r w:rsidR="00FD678C" w:rsidRPr="00910B2D">
        <w:rPr>
          <w:lang w:val="en-US"/>
        </w:rPr>
        <w:t xml:space="preserve">of law enforcement practice </w:t>
      </w:r>
      <w:r w:rsidRPr="00EE7DE9">
        <w:rPr>
          <w:lang w:val="en-US"/>
        </w:rPr>
        <w:t xml:space="preserve">in resolving issues arising from </w:t>
      </w:r>
      <w:r>
        <w:rPr>
          <w:lang w:val="en-US"/>
        </w:rPr>
        <w:t>the accession</w:t>
      </w:r>
      <w:r w:rsidRPr="00EE7DE9">
        <w:rPr>
          <w:lang w:val="en-US"/>
        </w:rPr>
        <w:t xml:space="preserve"> of Member States to the 2012 ITRs.</w:t>
      </w:r>
    </w:p>
    <w:p w14:paraId="59A6A741" w14:textId="1BE669E8" w:rsidR="001D2FE2" w:rsidRDefault="001D2FE2" w:rsidP="00917463">
      <w:pPr>
        <w:pStyle w:val="enumlev1"/>
        <w:tabs>
          <w:tab w:val="clear" w:pos="567"/>
        </w:tabs>
        <w:ind w:left="0" w:firstLine="709"/>
        <w:jc w:val="both"/>
        <w:rPr>
          <w:lang w:val="en-US"/>
        </w:rPr>
      </w:pPr>
      <w:r>
        <w:rPr>
          <w:lang w:val="en-US"/>
        </w:rPr>
        <w:t>4)</w:t>
      </w:r>
      <w:r>
        <w:rPr>
          <w:lang w:val="en-US"/>
        </w:rPr>
        <w:tab/>
      </w:r>
      <w:r w:rsidR="00910B2D">
        <w:rPr>
          <w:lang w:val="en-US"/>
        </w:rPr>
        <w:t xml:space="preserve">To </w:t>
      </w:r>
      <w:r w:rsidR="00FD678C">
        <w:rPr>
          <w:lang w:val="en-US"/>
        </w:rPr>
        <w:t>consolidate</w:t>
      </w:r>
      <w:r w:rsidRPr="00EE7DE9">
        <w:rPr>
          <w:lang w:val="en-US"/>
        </w:rPr>
        <w:t xml:space="preserve"> all the </w:t>
      </w:r>
      <w:r w:rsidR="00FD678C" w:rsidRPr="00EE7DE9">
        <w:rPr>
          <w:lang w:val="en-US"/>
        </w:rPr>
        <w:t xml:space="preserve">received </w:t>
      </w:r>
      <w:r w:rsidRPr="00EE7DE9">
        <w:rPr>
          <w:lang w:val="en-US"/>
        </w:rPr>
        <w:t>material</w:t>
      </w:r>
      <w:r w:rsidR="00FD678C">
        <w:rPr>
          <w:lang w:val="en-US"/>
        </w:rPr>
        <w:t>s</w:t>
      </w:r>
      <w:r w:rsidRPr="00EE7DE9">
        <w:rPr>
          <w:lang w:val="en-US"/>
        </w:rPr>
        <w:t xml:space="preserve"> </w:t>
      </w:r>
      <w:r w:rsidR="00FD678C" w:rsidRPr="00FD678C">
        <w:rPr>
          <w:lang w:val="en-US"/>
        </w:rPr>
        <w:t>specified in the paragraphs above</w:t>
      </w:r>
      <w:r w:rsidRPr="00EE7DE9">
        <w:rPr>
          <w:lang w:val="en-US"/>
        </w:rPr>
        <w:t>, including from the contributions of Member States</w:t>
      </w:r>
      <w:r>
        <w:rPr>
          <w:lang w:val="en-US"/>
        </w:rPr>
        <w:t xml:space="preserve"> and Sector Members</w:t>
      </w:r>
      <w:r w:rsidR="00FD678C" w:rsidRPr="00FD678C">
        <w:rPr>
          <w:lang w:val="en-US"/>
        </w:rPr>
        <w:t xml:space="preserve"> </w:t>
      </w:r>
      <w:r w:rsidR="00FD678C">
        <w:rPr>
          <w:lang w:val="en-US"/>
        </w:rPr>
        <w:t>submitted to the EG</w:t>
      </w:r>
      <w:r w:rsidR="00FD678C" w:rsidRPr="00FD678C">
        <w:rPr>
          <w:lang w:val="en-US"/>
        </w:rPr>
        <w:t>-ITR</w:t>
      </w:r>
      <w:r w:rsidR="00FD678C">
        <w:rPr>
          <w:lang w:val="en-US"/>
        </w:rPr>
        <w:t>s</w:t>
      </w:r>
      <w:r w:rsidR="00FD678C" w:rsidRPr="00FD678C">
        <w:rPr>
          <w:lang w:val="en-US"/>
        </w:rPr>
        <w:t xml:space="preserve"> in 2023-2026</w:t>
      </w:r>
      <w:r w:rsidRPr="00EE7DE9">
        <w:rPr>
          <w:lang w:val="en-US"/>
        </w:rPr>
        <w:t>, in</w:t>
      </w:r>
      <w:r w:rsidR="00FD678C">
        <w:rPr>
          <w:lang w:val="en-US"/>
        </w:rPr>
        <w:t>to</w:t>
      </w:r>
      <w:r w:rsidRPr="00EE7DE9">
        <w:rPr>
          <w:lang w:val="en-US"/>
        </w:rPr>
        <w:t xml:space="preserve"> a single do</w:t>
      </w:r>
      <w:r>
        <w:rPr>
          <w:lang w:val="en-US"/>
        </w:rPr>
        <w:t xml:space="preserve">cument </w:t>
      </w:r>
      <w:r w:rsidRPr="00EE7DE9">
        <w:rPr>
          <w:lang w:val="en-US"/>
        </w:rPr>
        <w:t xml:space="preserve">that can be used </w:t>
      </w:r>
      <w:r w:rsidR="00FD678C">
        <w:rPr>
          <w:lang w:val="en-US"/>
        </w:rPr>
        <w:t>for</w:t>
      </w:r>
      <w:r w:rsidR="00FD678C" w:rsidRPr="00EE7DE9">
        <w:rPr>
          <w:lang w:val="en-US"/>
        </w:rPr>
        <w:t xml:space="preserve"> </w:t>
      </w:r>
      <w:r w:rsidRPr="00EE7DE9">
        <w:rPr>
          <w:lang w:val="en-US"/>
        </w:rPr>
        <w:t xml:space="preserve">the preparation of a final report </w:t>
      </w:r>
      <w:r w:rsidR="00FD678C">
        <w:rPr>
          <w:lang w:val="en-US"/>
        </w:rPr>
        <w:t>of</w:t>
      </w:r>
      <w:r w:rsidR="00FD678C" w:rsidRPr="00EE7DE9">
        <w:rPr>
          <w:lang w:val="en-US"/>
        </w:rPr>
        <w:t xml:space="preserve"> </w:t>
      </w:r>
      <w:r w:rsidRPr="00EE7DE9">
        <w:rPr>
          <w:lang w:val="en-US"/>
        </w:rPr>
        <w:t>EG-ITR</w:t>
      </w:r>
      <w:r w:rsidR="00FD678C">
        <w:rPr>
          <w:lang w:val="en-US"/>
        </w:rPr>
        <w:t>s</w:t>
      </w:r>
      <w:r w:rsidRPr="00EE7DE9">
        <w:rPr>
          <w:lang w:val="en-US"/>
        </w:rPr>
        <w:t xml:space="preserve"> to the Council in 20</w:t>
      </w:r>
      <w:r w:rsidR="00FD678C">
        <w:rPr>
          <w:lang w:val="en-US"/>
        </w:rPr>
        <w:t>26</w:t>
      </w:r>
      <w:r w:rsidRPr="00EE7DE9">
        <w:rPr>
          <w:lang w:val="en-US"/>
        </w:rPr>
        <w:t>.</w:t>
      </w:r>
    </w:p>
    <w:p w14:paraId="257674B4" w14:textId="04B3A786" w:rsidR="00A514A4" w:rsidRPr="001729D5" w:rsidRDefault="001729D5" w:rsidP="00296850">
      <w:pPr>
        <w:spacing w:before="840"/>
        <w:ind w:firstLine="709"/>
        <w:jc w:val="center"/>
        <w:rPr>
          <w:rFonts w:ascii="Times New Roman" w:hAnsi="Times New Roman"/>
          <w:sz w:val="26"/>
          <w:szCs w:val="26"/>
          <w:lang w:val="ru-RU"/>
        </w:rPr>
      </w:pPr>
      <w:r w:rsidRPr="00992334">
        <w:rPr>
          <w:rFonts w:ascii="Times New Roman" w:hAnsi="Times New Roman"/>
          <w:sz w:val="26"/>
          <w:szCs w:val="26"/>
          <w:lang w:val="ru-RU"/>
        </w:rPr>
        <w:t>_______________</w:t>
      </w:r>
    </w:p>
    <w:sectPr w:rsidR="00A514A4" w:rsidRPr="001729D5" w:rsidSect="00AD3606">
      <w:footerReference w:type="default" r:id="rId31"/>
      <w:headerReference w:type="first" r:id="rId32"/>
      <w:footerReference w:type="first" r:id="rId3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52C3" w14:textId="77777777" w:rsidR="005D7326" w:rsidRDefault="005D7326">
      <w:r>
        <w:separator/>
      </w:r>
    </w:p>
  </w:endnote>
  <w:endnote w:type="continuationSeparator" w:id="0">
    <w:p w14:paraId="5526DD4C" w14:textId="77777777" w:rsidR="005D7326" w:rsidRDefault="005D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0CB9C5EE" w:rsidR="00EE49E8" w:rsidRDefault="00EE49E8" w:rsidP="00EE49E8">
          <w:pPr>
            <w:pStyle w:val="Header"/>
            <w:jc w:val="left"/>
            <w:rPr>
              <w:noProof/>
            </w:rPr>
          </w:pPr>
        </w:p>
      </w:tc>
      <w:tc>
        <w:tcPr>
          <w:tcW w:w="8261" w:type="dxa"/>
        </w:tcPr>
        <w:p w14:paraId="2D49E76E" w14:textId="025EDFBB" w:rsidR="00EE49E8" w:rsidRPr="00E06FD5" w:rsidRDefault="00EE49E8" w:rsidP="009554CE">
          <w:pPr>
            <w:pStyle w:val="Header"/>
            <w:tabs>
              <w:tab w:val="left" w:pos="6163"/>
              <w:tab w:val="left" w:pos="7905"/>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9554CE">
            <w:rPr>
              <w:bCs/>
            </w:rPr>
            <w:t>13</w:t>
          </w:r>
          <w:r w:rsidR="00A52C84" w:rsidRPr="00623AE3">
            <w:rPr>
              <w:bCs/>
            </w:rPr>
            <w:t>-E</w:t>
          </w:r>
          <w:r>
            <w:rPr>
              <w:bCs/>
            </w:rPr>
            <w:tab/>
          </w:r>
          <w:r>
            <w:fldChar w:fldCharType="begin"/>
          </w:r>
          <w:r>
            <w:instrText>PAGE</w:instrText>
          </w:r>
          <w:r>
            <w:fldChar w:fldCharType="separate"/>
          </w:r>
          <w:r w:rsidR="008A0B08">
            <w:rPr>
              <w:noProof/>
            </w:rPr>
            <w:t>4</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058B6435" w:rsidR="00EE49E8" w:rsidRPr="00E06FD5" w:rsidRDefault="00EE49E8" w:rsidP="009554CE">
          <w:pPr>
            <w:pStyle w:val="Header"/>
            <w:tabs>
              <w:tab w:val="left" w:pos="4867"/>
              <w:tab w:val="left" w:pos="6570"/>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9554CE">
            <w:rPr>
              <w:bCs/>
            </w:rPr>
            <w:t>13</w:t>
          </w:r>
          <w:r w:rsidRPr="00623AE3">
            <w:rPr>
              <w:bCs/>
            </w:rPr>
            <w:t>-E</w:t>
          </w:r>
          <w:r>
            <w:rPr>
              <w:bCs/>
            </w:rPr>
            <w:tab/>
          </w:r>
          <w:r>
            <w:fldChar w:fldCharType="begin"/>
          </w:r>
          <w:r>
            <w:instrText>PAGE</w:instrText>
          </w:r>
          <w:r>
            <w:fldChar w:fldCharType="separate"/>
          </w:r>
          <w:r w:rsidR="008A0B08">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EAAD" w14:textId="77777777" w:rsidR="005D7326" w:rsidRDefault="005D7326">
      <w:r>
        <w:t>____________________</w:t>
      </w:r>
    </w:p>
  </w:footnote>
  <w:footnote w:type="continuationSeparator" w:id="0">
    <w:p w14:paraId="2E62668B" w14:textId="77777777" w:rsidR="005D7326" w:rsidRDefault="005D7326">
      <w:r>
        <w:continuationSeparator/>
      </w:r>
    </w:p>
  </w:footnote>
  <w:footnote w:id="1">
    <w:p w14:paraId="5ED7681B" w14:textId="2B007193" w:rsidR="00C71E80" w:rsidRPr="00EE75E9" w:rsidRDefault="00C71E80" w:rsidP="00A70E5F">
      <w:pPr>
        <w:pStyle w:val="FootnoteText"/>
        <w:jc w:val="both"/>
        <w:rPr>
          <w:sz w:val="20"/>
          <w:lang w:val="en-US"/>
        </w:rPr>
      </w:pPr>
      <w:r w:rsidRPr="00EE75E9">
        <w:rPr>
          <w:rStyle w:val="FootnoteReference"/>
          <w:sz w:val="20"/>
        </w:rPr>
        <w:footnoteRef/>
      </w:r>
      <w:r w:rsidRPr="00EE75E9">
        <w:rPr>
          <w:sz w:val="20"/>
        </w:rPr>
        <w:t xml:space="preserve"> </w:t>
      </w:r>
      <w:r w:rsidR="00685B3E">
        <w:rPr>
          <w:sz w:val="20"/>
        </w:rPr>
        <w:tab/>
      </w:r>
      <w:r w:rsidRPr="00EE75E9">
        <w:rPr>
          <w:sz w:val="20"/>
        </w:rPr>
        <w:t>This contribution was supported at the meeting of the RCC Working</w:t>
      </w:r>
      <w:r w:rsidRPr="00EE75E9">
        <w:rPr>
          <w:sz w:val="20"/>
          <w:lang w:val="en-US"/>
        </w:rPr>
        <w:t xml:space="preserve"> Group on Cooperation </w:t>
      </w:r>
      <w:r w:rsidRPr="00EE75E9">
        <w:rPr>
          <w:sz w:val="20"/>
        </w:rPr>
        <w:t xml:space="preserve">with ITU by the administrations of Azerbaijan, Armenia, Kazakhstan, Kyrgyzstan, Russia, Tajikistan, </w:t>
      </w:r>
      <w:proofErr w:type="gramStart"/>
      <w:r w:rsidRPr="00EE75E9">
        <w:rPr>
          <w:sz w:val="20"/>
        </w:rPr>
        <w:t>Turkmenistan</w:t>
      </w:r>
      <w:proofErr w:type="gramEnd"/>
      <w:r w:rsidRPr="00EE75E9">
        <w:rPr>
          <w:sz w:val="20"/>
        </w:rPr>
        <w:t xml:space="preserve"> and Uzbekistan</w:t>
      </w:r>
    </w:p>
  </w:footnote>
  <w:footnote w:id="2">
    <w:p w14:paraId="74A02078" w14:textId="691AEEC3" w:rsidR="001D2FE2" w:rsidRPr="006738ED" w:rsidRDefault="001D2FE2" w:rsidP="001D2FE2">
      <w:pPr>
        <w:pStyle w:val="FootnoteText"/>
        <w:rPr>
          <w:lang w:val="en-US" w:eastAsia="zh-CN"/>
        </w:rPr>
      </w:pPr>
      <w:r>
        <w:rPr>
          <w:rStyle w:val="FootnoteReference"/>
        </w:rPr>
        <w:footnoteRef/>
      </w:r>
      <w:r w:rsidRPr="006738ED">
        <w:rPr>
          <w:lang w:val="en-US"/>
        </w:rPr>
        <w:t xml:space="preserve"> </w:t>
      </w:r>
      <w:r>
        <w:rPr>
          <w:lang w:val="en-US"/>
        </w:rPr>
        <w:tab/>
      </w:r>
      <w:r>
        <w:rPr>
          <w:lang w:val="en-US" w:eastAsia="zh-CN"/>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2" w:name="_Hlk133422111"/>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A97CA"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465BB"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B993683"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9D024E">
                      <w:rPr>
                        <w:sz w:val="20"/>
                      </w:rPr>
                      <w:t>Second</w:t>
                    </w:r>
                    <w:r w:rsidR="00130599" w:rsidRPr="00130599">
                      <w:rPr>
                        <w:sz w:val="20"/>
                      </w:rPr>
                      <w:t xml:space="preserve"> meeting - </w:t>
                    </w:r>
                    <w:r w:rsidR="009D024E">
                      <w:rPr>
                        <w:sz w:val="20"/>
                      </w:rPr>
                      <w:t>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EF50BE"/>
    <w:multiLevelType w:val="hybridMultilevel"/>
    <w:tmpl w:val="E7DA4196"/>
    <w:lvl w:ilvl="0" w:tplc="D45A1E1A">
      <w:start w:val="1"/>
      <w:numFmt w:val="decimal"/>
      <w:lvlText w:val="%1."/>
      <w:lvlJc w:val="left"/>
      <w:pPr>
        <w:ind w:left="1069" w:hanging="360"/>
      </w:pPr>
      <w:rPr>
        <w:rFonts w:cs="Times New Roman" w:hint="default"/>
      </w:rPr>
    </w:lvl>
    <w:lvl w:ilvl="1" w:tplc="784A4790">
      <w:start w:val="1"/>
      <w:numFmt w:val="lowerLetter"/>
      <w:lvlText w:val="%2)"/>
      <w:lvlJc w:val="left"/>
      <w:pPr>
        <w:ind w:left="2464" w:hanging="1035"/>
      </w:pPr>
      <w:rPr>
        <w:rFonts w:cs="Times New Roman" w:hint="default"/>
        <w:sz w:val="26"/>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735C5373"/>
    <w:multiLevelType w:val="hybridMultilevel"/>
    <w:tmpl w:val="5D0AC25A"/>
    <w:lvl w:ilvl="0" w:tplc="9C749CBC">
      <w:start w:val="1"/>
      <w:numFmt w:val="lowerLetter"/>
      <w:lvlText w:val="%1)"/>
      <w:lvlJc w:val="left"/>
      <w:pPr>
        <w:ind w:left="1429" w:hanging="360"/>
      </w:pPr>
      <w:rPr>
        <w:rFonts w:cs="Times New Roman" w:hint="default"/>
        <w:i/>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795F1116"/>
    <w:multiLevelType w:val="hybridMultilevel"/>
    <w:tmpl w:val="1D86DCB2"/>
    <w:lvl w:ilvl="0" w:tplc="A3AEF54C">
      <w:start w:val="4"/>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017346773">
    <w:abstractNumId w:val="0"/>
  </w:num>
  <w:num w:numId="2" w16cid:durableId="1048838562">
    <w:abstractNumId w:val="1"/>
  </w:num>
  <w:num w:numId="3" w16cid:durableId="498812564">
    <w:abstractNumId w:val="3"/>
  </w:num>
  <w:num w:numId="4" w16cid:durableId="114716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400DC"/>
    <w:rsid w:val="00140CE1"/>
    <w:rsid w:val="001729D5"/>
    <w:rsid w:val="0017539C"/>
    <w:rsid w:val="00175AC2"/>
    <w:rsid w:val="0017609F"/>
    <w:rsid w:val="001A7D1D"/>
    <w:rsid w:val="001B51DD"/>
    <w:rsid w:val="001C628E"/>
    <w:rsid w:val="001D2FE2"/>
    <w:rsid w:val="001E0F7B"/>
    <w:rsid w:val="001F0884"/>
    <w:rsid w:val="0020555B"/>
    <w:rsid w:val="002119FD"/>
    <w:rsid w:val="002130E0"/>
    <w:rsid w:val="00244F7F"/>
    <w:rsid w:val="00264425"/>
    <w:rsid w:val="00265875"/>
    <w:rsid w:val="002676E7"/>
    <w:rsid w:val="0027303B"/>
    <w:rsid w:val="0028109B"/>
    <w:rsid w:val="00293B38"/>
    <w:rsid w:val="00296850"/>
    <w:rsid w:val="002A2188"/>
    <w:rsid w:val="002B1F58"/>
    <w:rsid w:val="002C1C7A"/>
    <w:rsid w:val="002C54E2"/>
    <w:rsid w:val="002C70D3"/>
    <w:rsid w:val="0030160F"/>
    <w:rsid w:val="00320223"/>
    <w:rsid w:val="00322D0D"/>
    <w:rsid w:val="003370F2"/>
    <w:rsid w:val="00361465"/>
    <w:rsid w:val="0036415F"/>
    <w:rsid w:val="003877F5"/>
    <w:rsid w:val="003942D4"/>
    <w:rsid w:val="003958A8"/>
    <w:rsid w:val="003C2533"/>
    <w:rsid w:val="003D5A7F"/>
    <w:rsid w:val="003F622C"/>
    <w:rsid w:val="004016E2"/>
    <w:rsid w:val="0040435A"/>
    <w:rsid w:val="00416A24"/>
    <w:rsid w:val="00431D9E"/>
    <w:rsid w:val="00433CE8"/>
    <w:rsid w:val="00434A5C"/>
    <w:rsid w:val="00436F79"/>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D7326"/>
    <w:rsid w:val="005E2BD5"/>
    <w:rsid w:val="005F3269"/>
    <w:rsid w:val="00623AE3"/>
    <w:rsid w:val="00636853"/>
    <w:rsid w:val="0064737F"/>
    <w:rsid w:val="006535F1"/>
    <w:rsid w:val="0065557D"/>
    <w:rsid w:val="00660D50"/>
    <w:rsid w:val="00662984"/>
    <w:rsid w:val="006716BB"/>
    <w:rsid w:val="00685B3E"/>
    <w:rsid w:val="006B1859"/>
    <w:rsid w:val="006B6680"/>
    <w:rsid w:val="006B6DCC"/>
    <w:rsid w:val="006C11BB"/>
    <w:rsid w:val="00702DEF"/>
    <w:rsid w:val="00706861"/>
    <w:rsid w:val="00745D44"/>
    <w:rsid w:val="0075051B"/>
    <w:rsid w:val="007523B5"/>
    <w:rsid w:val="00775655"/>
    <w:rsid w:val="00783926"/>
    <w:rsid w:val="00783937"/>
    <w:rsid w:val="0079197F"/>
    <w:rsid w:val="00793188"/>
    <w:rsid w:val="00794D34"/>
    <w:rsid w:val="00794DFC"/>
    <w:rsid w:val="00813E5E"/>
    <w:rsid w:val="0083408D"/>
    <w:rsid w:val="0083581B"/>
    <w:rsid w:val="00842B11"/>
    <w:rsid w:val="00863874"/>
    <w:rsid w:val="00864AFF"/>
    <w:rsid w:val="00865925"/>
    <w:rsid w:val="0086704D"/>
    <w:rsid w:val="008A0B08"/>
    <w:rsid w:val="008B4A6A"/>
    <w:rsid w:val="008C7E27"/>
    <w:rsid w:val="008F7448"/>
    <w:rsid w:val="0090147A"/>
    <w:rsid w:val="00910B2D"/>
    <w:rsid w:val="009173EF"/>
    <w:rsid w:val="00917463"/>
    <w:rsid w:val="00932906"/>
    <w:rsid w:val="009554CE"/>
    <w:rsid w:val="00961B0B"/>
    <w:rsid w:val="00962D33"/>
    <w:rsid w:val="00995A89"/>
    <w:rsid w:val="009B38C3"/>
    <w:rsid w:val="009D024E"/>
    <w:rsid w:val="009E17BD"/>
    <w:rsid w:val="009E485A"/>
    <w:rsid w:val="009F19E2"/>
    <w:rsid w:val="00A028B5"/>
    <w:rsid w:val="00A04CEC"/>
    <w:rsid w:val="00A1476C"/>
    <w:rsid w:val="00A27F92"/>
    <w:rsid w:val="00A32257"/>
    <w:rsid w:val="00A36D20"/>
    <w:rsid w:val="00A42E3D"/>
    <w:rsid w:val="00A514A4"/>
    <w:rsid w:val="00A52C84"/>
    <w:rsid w:val="00A55302"/>
    <w:rsid w:val="00A55622"/>
    <w:rsid w:val="00A70E5F"/>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71E80"/>
    <w:rsid w:val="00CA6393"/>
    <w:rsid w:val="00CB18FF"/>
    <w:rsid w:val="00CD0C08"/>
    <w:rsid w:val="00CE03FB"/>
    <w:rsid w:val="00CE433C"/>
    <w:rsid w:val="00CF0161"/>
    <w:rsid w:val="00CF33F3"/>
    <w:rsid w:val="00D06183"/>
    <w:rsid w:val="00D22C42"/>
    <w:rsid w:val="00D464CC"/>
    <w:rsid w:val="00D65041"/>
    <w:rsid w:val="00D670A7"/>
    <w:rsid w:val="00DB00D5"/>
    <w:rsid w:val="00DB1936"/>
    <w:rsid w:val="00DB384B"/>
    <w:rsid w:val="00DF0189"/>
    <w:rsid w:val="00E06FD5"/>
    <w:rsid w:val="00E10E80"/>
    <w:rsid w:val="00E124F0"/>
    <w:rsid w:val="00E227F3"/>
    <w:rsid w:val="00E543AC"/>
    <w:rsid w:val="00E545C6"/>
    <w:rsid w:val="00E60F04"/>
    <w:rsid w:val="00E65B24"/>
    <w:rsid w:val="00E8173F"/>
    <w:rsid w:val="00E854E4"/>
    <w:rsid w:val="00E86DBF"/>
    <w:rsid w:val="00EB0D6F"/>
    <w:rsid w:val="00EB2232"/>
    <w:rsid w:val="00EC5337"/>
    <w:rsid w:val="00EE49E8"/>
    <w:rsid w:val="00EE75E9"/>
    <w:rsid w:val="00F16BAB"/>
    <w:rsid w:val="00F2150A"/>
    <w:rsid w:val="00F231D8"/>
    <w:rsid w:val="00F44C00"/>
    <w:rsid w:val="00F45D2C"/>
    <w:rsid w:val="00F46C5F"/>
    <w:rsid w:val="00F632C0"/>
    <w:rsid w:val="00F74694"/>
    <w:rsid w:val="00F94A63"/>
    <w:rsid w:val="00FA1C28"/>
    <w:rsid w:val="00FA2C98"/>
    <w:rsid w:val="00FB1279"/>
    <w:rsid w:val="00FB6B76"/>
    <w:rsid w:val="00FB7596"/>
    <w:rsid w:val="00FD678C"/>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9D024E"/>
    <w:rPr>
      <w:color w:val="605E5C"/>
      <w:shd w:val="clear" w:color="auto" w:fill="E1DFDD"/>
    </w:rPr>
  </w:style>
  <w:style w:type="character" w:customStyle="1" w:styleId="ms-rtethemeforecolor-2-0">
    <w:name w:val="ms-rtethemeforecolor-2-0"/>
    <w:basedOn w:val="DefaultParagraphFont"/>
    <w:rsid w:val="001729D5"/>
  </w:style>
  <w:style w:type="character" w:customStyle="1" w:styleId="FootnoteTextChar">
    <w:name w:val="Footnote Text Char"/>
    <w:basedOn w:val="DefaultParagraphFont"/>
    <w:link w:val="FootnoteText"/>
    <w:rsid w:val="001729D5"/>
    <w:rPr>
      <w:rFonts w:ascii="Calibri" w:hAnsi="Calibri"/>
      <w:sz w:val="24"/>
      <w:lang w:val="en-GB" w:eastAsia="en-US"/>
    </w:rPr>
  </w:style>
  <w:style w:type="paragraph" w:styleId="NormalWeb">
    <w:name w:val="Normal (Web)"/>
    <w:basedOn w:val="Normal"/>
    <w:uiPriority w:val="99"/>
    <w:unhideWhenUsed/>
    <w:rsid w:val="001729D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w:hAnsi="Times"/>
      <w:sz w:val="20"/>
      <w:lang w:val="ru-RU" w:eastAsia="ru-RU"/>
    </w:rPr>
  </w:style>
  <w:style w:type="paragraph" w:styleId="ListParagraph">
    <w:name w:val="List Paragraph"/>
    <w:basedOn w:val="Normal"/>
    <w:uiPriority w:val="34"/>
    <w:qFormat/>
    <w:rsid w:val="001729D5"/>
    <w:pPr>
      <w:tabs>
        <w:tab w:val="clear" w:pos="567"/>
        <w:tab w:val="clear" w:pos="1134"/>
        <w:tab w:val="clear" w:pos="1701"/>
        <w:tab w:val="clear" w:pos="2268"/>
        <w:tab w:val="clear" w:pos="2835"/>
        <w:tab w:val="left" w:pos="794"/>
        <w:tab w:val="left" w:pos="1191"/>
        <w:tab w:val="left" w:pos="1588"/>
        <w:tab w:val="left" w:pos="1985"/>
      </w:tabs>
      <w:ind w:left="720"/>
      <w:contextualSpacing/>
    </w:pPr>
    <w:rPr>
      <w:rFonts w:ascii="Times New Roman" w:hAnsi="Times New Roman"/>
    </w:rPr>
  </w:style>
  <w:style w:type="character" w:customStyle="1" w:styleId="alt-edited">
    <w:name w:val="alt-edited"/>
    <w:basedOn w:val="DefaultParagraphFont"/>
    <w:rsid w:val="001729D5"/>
    <w:rPr>
      <w:rFonts w:cs="Times New Roman"/>
    </w:rPr>
  </w:style>
  <w:style w:type="paragraph" w:styleId="BalloonText">
    <w:name w:val="Balloon Text"/>
    <w:basedOn w:val="Normal"/>
    <w:link w:val="BalloonTextChar"/>
    <w:semiHidden/>
    <w:unhideWhenUsed/>
    <w:rsid w:val="003370F2"/>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3370F2"/>
    <w:rPr>
      <w:rFonts w:ascii="Tahoma" w:hAnsi="Tahoma" w:cs="Tahoma"/>
      <w:sz w:val="16"/>
      <w:szCs w:val="16"/>
      <w:lang w:val="en-GB" w:eastAsia="en-US"/>
    </w:rPr>
  </w:style>
  <w:style w:type="paragraph" w:customStyle="1" w:styleId="Pa19">
    <w:name w:val="Pa19"/>
    <w:basedOn w:val="Normal"/>
    <w:next w:val="Normal"/>
    <w:uiPriority w:val="99"/>
    <w:rsid w:val="003370F2"/>
    <w:pPr>
      <w:tabs>
        <w:tab w:val="clear" w:pos="567"/>
        <w:tab w:val="clear" w:pos="1134"/>
        <w:tab w:val="clear" w:pos="1701"/>
        <w:tab w:val="clear" w:pos="2268"/>
        <w:tab w:val="clear" w:pos="2835"/>
      </w:tabs>
      <w:overflowPunct/>
      <w:spacing w:before="0" w:line="201" w:lineRule="atLeast"/>
      <w:textAlignment w:val="auto"/>
    </w:pPr>
    <w:rPr>
      <w:rFonts w:ascii="Calibri Light" w:hAnsi="Calibri Light" w:cs="Calibri Light"/>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T09-CWG.WCIT12-100125-TD-PLEN-0004/en" TargetMode="External"/><Relationship Id="rId18" Type="http://schemas.openxmlformats.org/officeDocument/2006/relationships/hyperlink" Target="http://www.itu.int/md/T09-CWG.WCIT12-INF-0002/en" TargetMode="External"/><Relationship Id="rId26" Type="http://schemas.openxmlformats.org/officeDocument/2006/relationships/hyperlink" Target="http://www.itu.int/md/T09-CWG.WCIT12-INF-0010/en" TargetMode="External"/><Relationship Id="rId3" Type="http://schemas.openxmlformats.org/officeDocument/2006/relationships/customXml" Target="../customXml/item3.xml"/><Relationship Id="rId21" Type="http://schemas.openxmlformats.org/officeDocument/2006/relationships/hyperlink" Target="http://www.itu.int/md/T09-CWG.WCIT12-INF-0005/en"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3-CL-C-0121/en" TargetMode="External"/><Relationship Id="rId17" Type="http://schemas.openxmlformats.org/officeDocument/2006/relationships/hyperlink" Target="http://www.itu.int/md/T09-CWG.WCIT12-INF-0001/en" TargetMode="External"/><Relationship Id="rId25" Type="http://schemas.openxmlformats.org/officeDocument/2006/relationships/hyperlink" Target="http://www.itu.int/md/T09-CWG.WCIT12-INF-0009/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md/T09-ITR.EG-090602-TD-PLEN-0030/en" TargetMode="External"/><Relationship Id="rId20" Type="http://schemas.openxmlformats.org/officeDocument/2006/relationships/hyperlink" Target="http://www.itu.int/md/T09-CWG.WCIT12-INF-0004/en" TargetMode="External"/><Relationship Id="rId29" Type="http://schemas.openxmlformats.org/officeDocument/2006/relationships/hyperlink" Target="http://www.itu.int/md/T09-CWG.WCIT12-INF-0013/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146-E.pdf" TargetMode="External"/><Relationship Id="rId24" Type="http://schemas.openxmlformats.org/officeDocument/2006/relationships/hyperlink" Target="http://www.itu.int/md/T09-CWG.WCIT12-INF-0008/en"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itu.int/md/T09-CWG.WCIT12-100412-TD-PLEN-0016/en" TargetMode="External"/><Relationship Id="rId23" Type="http://schemas.openxmlformats.org/officeDocument/2006/relationships/hyperlink" Target="http://www.itu.int/md/T09-CWG.WCIT12-INF-0007/en" TargetMode="External"/><Relationship Id="rId28" Type="http://schemas.openxmlformats.org/officeDocument/2006/relationships/hyperlink" Target="http://www.itu.int/md/T09-CWG.WCIT12-INF-0012/en" TargetMode="External"/><Relationship Id="rId10" Type="http://schemas.openxmlformats.org/officeDocument/2006/relationships/endnotes" Target="endnotes.xml"/><Relationship Id="rId19" Type="http://schemas.openxmlformats.org/officeDocument/2006/relationships/hyperlink" Target="http://www.itu.int/md/T09-CWG.WCIT12-INF-0003/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md/T09-CWG.WCIT12-100125-TD-PLEN-0005/en" TargetMode="External"/><Relationship Id="rId22" Type="http://schemas.openxmlformats.org/officeDocument/2006/relationships/hyperlink" Target="http://www.itu.int/md/T09-CWG.WCIT12-INF-0006/en" TargetMode="External"/><Relationship Id="rId27" Type="http://schemas.openxmlformats.org/officeDocument/2006/relationships/hyperlink" Target="http://www.itu.int/md/T09-CWG.WCIT12-INF-0011/en" TargetMode="External"/><Relationship Id="rId30" Type="http://schemas.openxmlformats.org/officeDocument/2006/relationships/hyperlink" Target="http://www.itu.int/md/T09-CWG.WCIT12-INF-0015/e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73E2921-D301-494F-A7B7-C9DE636D1F2F}">
  <ds:schemaRefs>
    <ds:schemaRef ds:uri="http://schemas.microsoft.com/sharepoint/v3/contenttype/forms"/>
  </ds:schemaRefs>
</ds:datastoreItem>
</file>

<file path=customXml/itemProps2.xml><?xml version="1.0" encoding="utf-8"?>
<ds:datastoreItem xmlns:ds="http://schemas.openxmlformats.org/officeDocument/2006/customXml" ds:itemID="{2D49921A-B9E5-4116-BCF7-2DC474B7D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AE63E-6C74-458F-891E-245770693A2D}">
  <ds:schemaRefs>
    <ds:schemaRef ds:uri="http://schemas.openxmlformats.org/officeDocument/2006/bibliography"/>
  </ds:schemaRefs>
</ds:datastoreItem>
</file>

<file path=customXml/itemProps4.xml><?xml version="1.0" encoding="utf-8"?>
<ds:datastoreItem xmlns:ds="http://schemas.openxmlformats.org/officeDocument/2006/customXml" ds:itemID="{73905B11-E95D-4986-AB54-CDCF87F05464}">
  <ds:schemaRef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1aaea1ea-72e4-4374-b05e-72e2f16fb7ae"/>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1423</Words>
  <Characters>8117</Characters>
  <Application>Microsoft Office Word</Application>
  <DocSecurity>4</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9521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Expert Group on the International Telecommunication Regulations</dc:subject>
  <dc:creator/>
  <cp:keywords>EG-ITRs, C24</cp:keywords>
  <cp:lastModifiedBy/>
  <cp:revision>1</cp:revision>
  <dcterms:created xsi:type="dcterms:W3CDTF">2024-01-17T17:11:00Z</dcterms:created>
  <dcterms:modified xsi:type="dcterms:W3CDTF">2024-01-17T17:11:00Z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ies>
</file>