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7F1708B"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214A0A">
              <w:rPr>
                <w:b/>
                <w:lang w:val="fr-CH"/>
              </w:rPr>
              <w:t>2</w:t>
            </w:r>
            <w:r w:rsidRPr="00A52C84">
              <w:rPr>
                <w:b/>
                <w:lang w:val="fr-CH"/>
              </w:rPr>
              <w:t>/</w:t>
            </w:r>
            <w:r w:rsidR="007917E7">
              <w:rPr>
                <w:b/>
                <w:lang w:val="fr-CH"/>
              </w:rPr>
              <w:t>12</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9736CC7" w:rsidR="00AD3606" w:rsidRPr="00E85629" w:rsidRDefault="005B485F" w:rsidP="00AD3606">
            <w:pPr>
              <w:tabs>
                <w:tab w:val="left" w:pos="851"/>
              </w:tabs>
              <w:spacing w:before="0"/>
              <w:jc w:val="right"/>
              <w:rPr>
                <w:b/>
              </w:rPr>
            </w:pPr>
            <w:r>
              <w:rPr>
                <w:b/>
              </w:rPr>
              <w:t>12</w:t>
            </w:r>
            <w:r w:rsidR="00AD3606">
              <w:rPr>
                <w:b/>
              </w:rPr>
              <w:t xml:space="preserve"> </w:t>
            </w:r>
            <w:r w:rsidR="003161EE">
              <w:rPr>
                <w:b/>
              </w:rPr>
              <w:t>January</w:t>
            </w:r>
            <w:r w:rsidR="00AD3606">
              <w:rPr>
                <w:b/>
              </w:rPr>
              <w:t xml:space="preserve"> 202</w:t>
            </w:r>
            <w:r w:rsidR="003161EE">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6A88BCC"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AD3606" w:rsidRPr="00813E5E" w14:paraId="27000B2A" w14:textId="77777777" w:rsidTr="00AD3606">
        <w:trPr>
          <w:cantSplit/>
        </w:trPr>
        <w:tc>
          <w:tcPr>
            <w:tcW w:w="9214" w:type="dxa"/>
            <w:gridSpan w:val="2"/>
            <w:tcMar>
              <w:left w:w="0" w:type="dxa"/>
            </w:tcMar>
          </w:tcPr>
          <w:p w14:paraId="4E7CDB90" w14:textId="0391C370" w:rsidR="00AD3606" w:rsidRPr="00813E5E" w:rsidRDefault="007917E7" w:rsidP="00356AE8">
            <w:pPr>
              <w:pStyle w:val="Source"/>
              <w:framePr w:hSpace="0" w:wrap="auto" w:vAnchor="margin" w:hAnchor="text" w:yAlign="inline"/>
            </w:pPr>
            <w:bookmarkStart w:id="8" w:name="dsource" w:colFirst="0" w:colLast="0"/>
            <w:bookmarkEnd w:id="7"/>
            <w:r w:rsidRPr="007917E7">
              <w:t xml:space="preserve">Contribution from the Czech Republic, Germany (Federal Republic of), Bulgaria (Republic of), Croatia (Republic of), Denmark, Spain, Hungary, Latvia (Republic of), Netherlands (Kingdom of the), Poland (Republic of), </w:t>
            </w:r>
            <w:r w:rsidR="008B4D3D">
              <w:t xml:space="preserve">Portugal, </w:t>
            </w:r>
            <w:r w:rsidRPr="007917E7">
              <w:t>Slovak Republic, Romania, United Kingdom of Great Britain and Northern Ireland, and Sweden</w:t>
            </w:r>
          </w:p>
        </w:tc>
      </w:tr>
      <w:tr w:rsidR="00AD3606" w:rsidRPr="00813E5E" w14:paraId="2340750D" w14:textId="77777777" w:rsidTr="00AD3606">
        <w:trPr>
          <w:cantSplit/>
        </w:trPr>
        <w:tc>
          <w:tcPr>
            <w:tcW w:w="9214" w:type="dxa"/>
            <w:gridSpan w:val="2"/>
            <w:tcMar>
              <w:left w:w="0" w:type="dxa"/>
            </w:tcMar>
          </w:tcPr>
          <w:p w14:paraId="47B91AA8" w14:textId="4D80B7B2" w:rsidR="00AD3606" w:rsidRPr="00813E5E" w:rsidRDefault="003161EE" w:rsidP="00DF0189">
            <w:pPr>
              <w:pStyle w:val="Subtitle"/>
              <w:framePr w:hSpace="0" w:wrap="auto" w:hAnchor="text" w:xAlign="left" w:yAlign="inline"/>
            </w:pPr>
            <w:bookmarkStart w:id="9" w:name="_Hlk156233237"/>
            <w:bookmarkStart w:id="10" w:name="dtitle1" w:colFirst="0" w:colLast="0"/>
            <w:bookmarkEnd w:id="8"/>
            <w:r>
              <w:t>FINDINGS OF THE PREVIOUS TWO EXPERT GROUPS</w:t>
            </w:r>
            <w:bookmarkEnd w:id="9"/>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61BBC433" w14:textId="77777777" w:rsidR="004D648B" w:rsidRPr="004D648B" w:rsidRDefault="004D648B" w:rsidP="004D648B">
            <w:pPr>
              <w:spacing w:before="160"/>
              <w:rPr>
                <w:b/>
                <w:bCs/>
                <w:sz w:val="26"/>
                <w:szCs w:val="26"/>
              </w:rPr>
            </w:pPr>
            <w:r w:rsidRPr="004D648B">
              <w:rPr>
                <w:b/>
                <w:bCs/>
                <w:sz w:val="26"/>
                <w:szCs w:val="26"/>
              </w:rPr>
              <w:t>Purpose</w:t>
            </w:r>
          </w:p>
          <w:p w14:paraId="7B62C026" w14:textId="18344D1A" w:rsidR="004D648B" w:rsidRDefault="00CD1188" w:rsidP="00CD1188">
            <w:pPr>
              <w:spacing w:before="160"/>
              <w:rPr>
                <w:b/>
                <w:bCs/>
                <w:szCs w:val="24"/>
              </w:rPr>
            </w:pPr>
            <w:r w:rsidRPr="00AC020C">
              <w:rPr>
                <w:szCs w:val="24"/>
              </w:rPr>
              <w:t xml:space="preserve">This contribution </w:t>
            </w:r>
            <w:r w:rsidR="0040728D">
              <w:rPr>
                <w:szCs w:val="24"/>
              </w:rPr>
              <w:t xml:space="preserve">considers the findings of the previous two Expert Groups </w:t>
            </w:r>
            <w:r w:rsidR="00CA54FE">
              <w:rPr>
                <w:szCs w:val="24"/>
              </w:rPr>
              <w:t xml:space="preserve">on the International Telecommunication Regulations </w:t>
            </w:r>
            <w:r w:rsidR="00772982">
              <w:rPr>
                <w:szCs w:val="24"/>
              </w:rPr>
              <w:t xml:space="preserve">and what they can </w:t>
            </w:r>
            <w:r w:rsidR="0040728D">
              <w:rPr>
                <w:szCs w:val="24"/>
              </w:rPr>
              <w:t xml:space="preserve">contribute </w:t>
            </w:r>
            <w:r w:rsidR="0040728D">
              <w:t>to</w:t>
            </w:r>
            <w:r w:rsidR="0040728D" w:rsidRPr="0040728D">
              <w:rPr>
                <w:szCs w:val="24"/>
              </w:rPr>
              <w:t xml:space="preserve"> the </w:t>
            </w:r>
            <w:r w:rsidR="00CA54FE">
              <w:rPr>
                <w:szCs w:val="24"/>
              </w:rPr>
              <w:t xml:space="preserve">work of the </w:t>
            </w:r>
            <w:r w:rsidR="0040728D" w:rsidRPr="0040728D">
              <w:rPr>
                <w:szCs w:val="24"/>
              </w:rPr>
              <w:t xml:space="preserve">third </w:t>
            </w:r>
            <w:r w:rsidR="0040728D">
              <w:rPr>
                <w:szCs w:val="24"/>
              </w:rPr>
              <w:t xml:space="preserve">Expert Group. </w:t>
            </w:r>
          </w:p>
          <w:p w14:paraId="16727A07" w14:textId="77777777" w:rsidR="004D648B" w:rsidRPr="004D648B" w:rsidRDefault="004D648B" w:rsidP="004D648B">
            <w:pPr>
              <w:spacing w:before="160"/>
              <w:rPr>
                <w:b/>
                <w:bCs/>
                <w:sz w:val="26"/>
                <w:szCs w:val="26"/>
              </w:rPr>
            </w:pPr>
            <w:r w:rsidRPr="004D648B">
              <w:rPr>
                <w:b/>
                <w:bCs/>
                <w:sz w:val="26"/>
                <w:szCs w:val="26"/>
              </w:rPr>
              <w:t>Action required</w:t>
            </w:r>
          </w:p>
          <w:p w14:paraId="40C01AB6" w14:textId="02B69E10" w:rsidR="004D648B" w:rsidRPr="00CD1188" w:rsidRDefault="00CD1188" w:rsidP="00CD1188">
            <w:pPr>
              <w:spacing w:before="160"/>
              <w:rPr>
                <w:szCs w:val="24"/>
              </w:rPr>
            </w:pPr>
            <w:r w:rsidRPr="003B3DAC">
              <w:rPr>
                <w:szCs w:val="24"/>
              </w:rPr>
              <w:t xml:space="preserve">The document is submitted to </w:t>
            </w:r>
            <w:r>
              <w:rPr>
                <w:szCs w:val="24"/>
              </w:rPr>
              <w:t xml:space="preserve">second meeting of the </w:t>
            </w:r>
            <w:r w:rsidRPr="003B3DAC">
              <w:rPr>
                <w:szCs w:val="24"/>
              </w:rPr>
              <w:t xml:space="preserve">EG-ITRs for </w:t>
            </w:r>
            <w:r w:rsidRPr="00B71B44">
              <w:rPr>
                <w:b/>
                <w:bCs/>
                <w:szCs w:val="24"/>
              </w:rPr>
              <w:t>discussion</w:t>
            </w:r>
            <w:r w:rsidRPr="003B3DAC">
              <w:rPr>
                <w:szCs w:val="24"/>
              </w:rPr>
              <w:t xml:space="preserve"> </w:t>
            </w:r>
            <w:r w:rsidRPr="00685F1A">
              <w:rPr>
                <w:szCs w:val="24"/>
              </w:rPr>
              <w:t xml:space="preserve">and </w:t>
            </w:r>
            <w:r w:rsidR="00685F1A" w:rsidRPr="00685F1A">
              <w:rPr>
                <w:szCs w:val="24"/>
              </w:rPr>
              <w:t>to be</w:t>
            </w:r>
            <w:r w:rsidR="00685F1A">
              <w:rPr>
                <w:b/>
                <w:bCs/>
                <w:szCs w:val="24"/>
              </w:rPr>
              <w:t xml:space="preserve"> reflected in the progress report to Council</w:t>
            </w:r>
            <w:r w:rsidRPr="003B3DAC">
              <w:rPr>
                <w:szCs w:val="24"/>
              </w:rPr>
              <w:t>.</w:t>
            </w:r>
          </w:p>
          <w:p w14:paraId="2F24A0C8" w14:textId="77777777" w:rsidR="004D648B" w:rsidRPr="0052249C" w:rsidRDefault="004D648B" w:rsidP="004D648B">
            <w:pPr>
              <w:spacing w:before="160"/>
              <w:rPr>
                <w:sz w:val="26"/>
                <w:szCs w:val="26"/>
              </w:rPr>
            </w:pPr>
            <w:r w:rsidRPr="0052249C">
              <w:rPr>
                <w:sz w:val="26"/>
                <w:szCs w:val="26"/>
              </w:rPr>
              <w:t>____________________________________</w:t>
            </w:r>
          </w:p>
          <w:p w14:paraId="00DEE14C" w14:textId="4FEDB139" w:rsidR="00AD3606" w:rsidRDefault="004D648B" w:rsidP="004D648B">
            <w:pPr>
              <w:spacing w:before="160"/>
              <w:rPr>
                <w:b/>
                <w:bCs/>
                <w:sz w:val="26"/>
                <w:szCs w:val="26"/>
              </w:rPr>
            </w:pPr>
            <w:r w:rsidRPr="004D648B">
              <w:rPr>
                <w:b/>
                <w:bCs/>
                <w:sz w:val="26"/>
                <w:szCs w:val="26"/>
              </w:rPr>
              <w:t>References</w:t>
            </w:r>
            <w:r w:rsidR="00A377D7">
              <w:rPr>
                <w:b/>
                <w:bCs/>
                <w:sz w:val="26"/>
                <w:szCs w:val="26"/>
              </w:rPr>
              <w:t xml:space="preserve"> </w:t>
            </w:r>
          </w:p>
          <w:p w14:paraId="212F9871" w14:textId="721BA096" w:rsidR="00685F1A" w:rsidRPr="007917E7" w:rsidRDefault="00CD1188" w:rsidP="007917E7">
            <w:pPr>
              <w:spacing w:after="160"/>
              <w:rPr>
                <w:i/>
                <w:iCs/>
                <w:sz w:val="22"/>
                <w:szCs w:val="22"/>
              </w:rPr>
            </w:pPr>
            <w:r w:rsidRPr="007917E7">
              <w:rPr>
                <w:i/>
                <w:iCs/>
                <w:sz w:val="22"/>
                <w:szCs w:val="22"/>
                <w:lang w:val="en-US"/>
              </w:rPr>
              <w:t xml:space="preserve">Council Resolution 1379 (MOD 2023) (document </w:t>
            </w:r>
            <w:hyperlink r:id="rId11" w:history="1">
              <w:r w:rsidRPr="007917E7">
                <w:rPr>
                  <w:rStyle w:val="Hyperlink"/>
                  <w:i/>
                  <w:iCs/>
                  <w:sz w:val="22"/>
                  <w:szCs w:val="22"/>
                  <w:lang w:val="en-US"/>
                </w:rPr>
                <w:t>C23/121</w:t>
              </w:r>
            </w:hyperlink>
            <w:r w:rsidRPr="007917E7">
              <w:rPr>
                <w:i/>
                <w:iCs/>
                <w:sz w:val="22"/>
                <w:szCs w:val="22"/>
                <w:lang w:val="en-US"/>
              </w:rPr>
              <w:t>)</w:t>
            </w:r>
            <w:r w:rsidR="007917E7" w:rsidRPr="007917E7">
              <w:rPr>
                <w:i/>
                <w:iCs/>
                <w:sz w:val="22"/>
                <w:szCs w:val="22"/>
                <w:lang w:val="en-US"/>
              </w:rPr>
              <w:t xml:space="preserve">; </w:t>
            </w:r>
            <w:hyperlink r:id="rId12" w:history="1">
              <w:r w:rsidR="00394372" w:rsidRPr="007917E7">
                <w:rPr>
                  <w:rStyle w:val="Hyperlink"/>
                  <w:i/>
                  <w:iCs/>
                  <w:sz w:val="22"/>
                  <w:szCs w:val="22"/>
                  <w:lang w:val="en-US"/>
                </w:rPr>
                <w:t>Final Report Expert Group (2016 – 2018)</w:t>
              </w:r>
            </w:hyperlink>
            <w:r w:rsidR="007917E7" w:rsidRPr="007917E7">
              <w:rPr>
                <w:rStyle w:val="Hyperlink"/>
                <w:i/>
                <w:iCs/>
                <w:color w:val="auto"/>
                <w:sz w:val="22"/>
                <w:szCs w:val="22"/>
                <w:u w:val="none"/>
                <w:lang w:val="en-US"/>
              </w:rPr>
              <w:t xml:space="preserve">; </w:t>
            </w:r>
            <w:hyperlink r:id="rId13" w:history="1">
              <w:r w:rsidR="00394372" w:rsidRPr="007917E7">
                <w:rPr>
                  <w:rStyle w:val="Hyperlink"/>
                  <w:i/>
                  <w:iCs/>
                  <w:sz w:val="22"/>
                  <w:szCs w:val="22"/>
                  <w:lang w:val="en-US"/>
                </w:rPr>
                <w:t>Final Report Expert Group (2019 – 2022)</w:t>
              </w:r>
            </w:hyperlink>
            <w:r w:rsidR="007917E7" w:rsidRPr="007917E7">
              <w:rPr>
                <w:rStyle w:val="Hyperlink"/>
                <w:i/>
                <w:iCs/>
                <w:color w:val="auto"/>
                <w:sz w:val="22"/>
                <w:szCs w:val="22"/>
                <w:u w:val="none"/>
                <w:lang w:val="en-US"/>
              </w:rPr>
              <w:t xml:space="preserve">; </w:t>
            </w:r>
            <w:hyperlink r:id="rId14" w:history="1">
              <w:r w:rsidR="003418D2" w:rsidRPr="007917E7">
                <w:rPr>
                  <w:rStyle w:val="Hyperlink"/>
                  <w:i/>
                  <w:iCs/>
                  <w:sz w:val="22"/>
                  <w:szCs w:val="22"/>
                </w:rPr>
                <w:t>EG-ITRs-4/7</w:t>
              </w:r>
            </w:hyperlink>
            <w:r w:rsidR="007917E7" w:rsidRPr="007917E7">
              <w:rPr>
                <w:rStyle w:val="Hyperlink"/>
                <w:i/>
                <w:iCs/>
                <w:color w:val="auto"/>
                <w:sz w:val="22"/>
                <w:szCs w:val="22"/>
                <w:u w:val="none"/>
              </w:rPr>
              <w:t xml:space="preserve">; </w:t>
            </w:r>
            <w:hyperlink r:id="rId15" w:history="1">
              <w:r w:rsidR="00685F1A" w:rsidRPr="007917E7">
                <w:rPr>
                  <w:rStyle w:val="Hyperlink"/>
                  <w:i/>
                  <w:iCs/>
                  <w:sz w:val="22"/>
                  <w:szCs w:val="22"/>
                </w:rPr>
                <w:t>EG-ITRs-2/6</w:t>
              </w:r>
            </w:hyperlink>
          </w:p>
          <w:p w14:paraId="0175CD6C" w14:textId="68B3DBDA" w:rsidR="00685F1A" w:rsidRDefault="00685F1A" w:rsidP="00F16BAB">
            <w:pPr>
              <w:spacing w:after="160"/>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1" w:name="_Hlk133421428"/>
      <w:bookmarkEnd w:id="2"/>
      <w:bookmarkEnd w:id="10"/>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1"/>
    <w:p w14:paraId="47349917" w14:textId="594A005F" w:rsidR="00CD1188" w:rsidRPr="00104DE0" w:rsidRDefault="00241B5A" w:rsidP="00CD1188">
      <w:pPr>
        <w:pStyle w:val="Normal1"/>
        <w:tabs>
          <w:tab w:val="left" w:pos="1418"/>
        </w:tabs>
        <w:spacing w:before="160"/>
        <w:jc w:val="center"/>
        <w:rPr>
          <w:rFonts w:asciiTheme="minorHAnsi" w:hAnsiTheme="minorHAnsi" w:cstheme="minorHAnsi"/>
          <w:b/>
          <w:color w:val="000000" w:themeColor="text1"/>
          <w:sz w:val="30"/>
          <w:szCs w:val="30"/>
        </w:rPr>
      </w:pPr>
      <w:r w:rsidRPr="00104DE0">
        <w:rPr>
          <w:rFonts w:asciiTheme="minorHAnsi" w:hAnsiTheme="minorHAnsi" w:cstheme="minorHAnsi"/>
          <w:b/>
          <w:color w:val="000000" w:themeColor="text1"/>
          <w:sz w:val="30"/>
          <w:szCs w:val="30"/>
        </w:rPr>
        <w:lastRenderedPageBreak/>
        <w:t xml:space="preserve">Taking into consideration the work of the previous two Expert Groups </w:t>
      </w:r>
    </w:p>
    <w:p w14:paraId="3CB2E2C7" w14:textId="77777777" w:rsidR="00104DE0" w:rsidRDefault="00104DE0" w:rsidP="00CD1188">
      <w:pPr>
        <w:pStyle w:val="Normal1"/>
        <w:tabs>
          <w:tab w:val="left" w:pos="1418"/>
        </w:tabs>
        <w:spacing w:before="160"/>
        <w:rPr>
          <w:rFonts w:asciiTheme="minorHAnsi" w:hAnsiTheme="minorHAnsi" w:cstheme="minorHAnsi"/>
          <w:b/>
          <w:color w:val="000000" w:themeColor="text1"/>
        </w:rPr>
      </w:pPr>
    </w:p>
    <w:p w14:paraId="47E1E132" w14:textId="3BB227EF" w:rsidR="00CD1188" w:rsidRPr="00104DE0" w:rsidRDefault="00CD1188" w:rsidP="00B61EF3">
      <w:pPr>
        <w:pStyle w:val="Normal1"/>
        <w:tabs>
          <w:tab w:val="left" w:pos="1418"/>
        </w:tabs>
        <w:spacing w:before="160" w:line="276" w:lineRule="auto"/>
        <w:rPr>
          <w:rFonts w:asciiTheme="minorHAnsi" w:hAnsiTheme="minorHAnsi" w:cstheme="minorHAnsi"/>
          <w:b/>
          <w:color w:val="000000" w:themeColor="text1"/>
        </w:rPr>
      </w:pPr>
      <w:r w:rsidRPr="00104DE0">
        <w:rPr>
          <w:rFonts w:asciiTheme="minorHAnsi" w:hAnsiTheme="minorHAnsi" w:cstheme="minorHAnsi"/>
          <w:b/>
          <w:color w:val="000000" w:themeColor="text1"/>
        </w:rPr>
        <w:t>Background</w:t>
      </w:r>
    </w:p>
    <w:p w14:paraId="0A2CFE5A" w14:textId="13121C62" w:rsidR="00241B5A" w:rsidRPr="00104DE0" w:rsidRDefault="00241B5A" w:rsidP="00B61EF3">
      <w:pPr>
        <w:pStyle w:val="Normal1"/>
        <w:numPr>
          <w:ilvl w:val="0"/>
          <w:numId w:val="13"/>
        </w:numPr>
        <w:tabs>
          <w:tab w:val="left" w:pos="1418"/>
        </w:tabs>
        <w:spacing w:before="160" w:line="276" w:lineRule="auto"/>
        <w:ind w:left="360"/>
        <w:rPr>
          <w:rFonts w:asciiTheme="minorHAnsi" w:hAnsiTheme="minorHAnsi" w:cstheme="minorHAnsi"/>
          <w:color w:val="000000" w:themeColor="text1"/>
        </w:rPr>
      </w:pPr>
      <w:r w:rsidRPr="00104DE0">
        <w:rPr>
          <w:rFonts w:asciiTheme="minorHAnsi" w:hAnsiTheme="minorHAnsi" w:cstheme="minorHAnsi"/>
          <w:color w:val="000000" w:themeColor="text1"/>
        </w:rPr>
        <w:t>The Terms of Reference of this Expert Group</w:t>
      </w:r>
      <w:r w:rsidR="00104DE0">
        <w:rPr>
          <w:rFonts w:asciiTheme="minorHAnsi" w:hAnsiTheme="minorHAnsi" w:cstheme="minorHAnsi"/>
          <w:color w:val="000000" w:themeColor="text1"/>
        </w:rPr>
        <w:t>, set out</w:t>
      </w:r>
      <w:r w:rsidRPr="00104DE0">
        <w:rPr>
          <w:rFonts w:asciiTheme="minorHAnsi" w:hAnsiTheme="minorHAnsi" w:cstheme="minorHAnsi"/>
          <w:color w:val="000000" w:themeColor="text1"/>
        </w:rPr>
        <w:t xml:space="preserve"> in Council Resolution 1379</w:t>
      </w:r>
      <w:r w:rsidR="00104DE0">
        <w:rPr>
          <w:rFonts w:asciiTheme="minorHAnsi" w:hAnsiTheme="minorHAnsi" w:cstheme="minorHAnsi"/>
          <w:color w:val="000000" w:themeColor="text1"/>
        </w:rPr>
        <w:t>,</w:t>
      </w:r>
      <w:r w:rsidRPr="00104DE0">
        <w:rPr>
          <w:rFonts w:asciiTheme="minorHAnsi" w:hAnsiTheme="minorHAnsi" w:cstheme="minorHAnsi"/>
          <w:color w:val="000000" w:themeColor="text1"/>
        </w:rPr>
        <w:t xml:space="preserve"> say that we should be “Taking into consideration the work of the previous two Expert Groups”. The previous </w:t>
      </w:r>
      <w:r w:rsidR="00104DE0">
        <w:rPr>
          <w:rFonts w:asciiTheme="minorHAnsi" w:hAnsiTheme="minorHAnsi" w:cstheme="minorHAnsi"/>
          <w:color w:val="000000" w:themeColor="text1"/>
        </w:rPr>
        <w:t xml:space="preserve">two </w:t>
      </w:r>
      <w:r w:rsidRPr="00104DE0">
        <w:rPr>
          <w:rFonts w:asciiTheme="minorHAnsi" w:hAnsiTheme="minorHAnsi" w:cstheme="minorHAnsi"/>
          <w:color w:val="000000" w:themeColor="text1"/>
        </w:rPr>
        <w:t>Expert Groups undertook a</w:t>
      </w:r>
      <w:r w:rsidR="003161EE">
        <w:rPr>
          <w:rFonts w:asciiTheme="minorHAnsi" w:hAnsiTheme="minorHAnsi" w:cstheme="minorHAnsi"/>
          <w:color w:val="000000" w:themeColor="text1"/>
        </w:rPr>
        <w:t> </w:t>
      </w:r>
      <w:r w:rsidRPr="00104DE0">
        <w:rPr>
          <w:rFonts w:asciiTheme="minorHAnsi" w:hAnsiTheme="minorHAnsi" w:cstheme="minorHAnsi"/>
          <w:color w:val="000000" w:themeColor="text1"/>
        </w:rPr>
        <w:t>very wide range of work, including a</w:t>
      </w:r>
      <w:r w:rsidR="003161EE">
        <w:rPr>
          <w:rFonts w:asciiTheme="minorHAnsi" w:hAnsiTheme="minorHAnsi" w:cstheme="minorHAnsi"/>
          <w:color w:val="000000" w:themeColor="text1"/>
        </w:rPr>
        <w:t> </w:t>
      </w:r>
      <w:r w:rsidRPr="00104DE0">
        <w:rPr>
          <w:rFonts w:asciiTheme="minorHAnsi" w:hAnsiTheme="minorHAnsi" w:cstheme="minorHAnsi"/>
          <w:color w:val="000000" w:themeColor="text1"/>
        </w:rPr>
        <w:t>detailed provision-by-provision analysis, and held comprehensive discussions</w:t>
      </w:r>
      <w:r w:rsidR="008D25EC">
        <w:rPr>
          <w:rFonts w:asciiTheme="minorHAnsi" w:hAnsiTheme="minorHAnsi" w:cstheme="minorHAnsi"/>
          <w:color w:val="000000" w:themeColor="text1"/>
        </w:rPr>
        <w:t>,</w:t>
      </w:r>
      <w:r w:rsidRPr="00104DE0">
        <w:rPr>
          <w:rFonts w:asciiTheme="minorHAnsi" w:hAnsiTheme="minorHAnsi" w:cstheme="minorHAnsi"/>
          <w:color w:val="000000" w:themeColor="text1"/>
        </w:rPr>
        <w:t xml:space="preserve"> </w:t>
      </w:r>
      <w:r w:rsidR="008D25EC">
        <w:rPr>
          <w:rFonts w:asciiTheme="minorHAnsi" w:hAnsiTheme="minorHAnsi" w:cstheme="minorHAnsi"/>
          <w:color w:val="000000" w:themeColor="text1"/>
        </w:rPr>
        <w:t>with contributions from across the ITU</w:t>
      </w:r>
      <w:r w:rsidRPr="00104DE0">
        <w:rPr>
          <w:rFonts w:asciiTheme="minorHAnsi" w:hAnsiTheme="minorHAnsi" w:cstheme="minorHAnsi"/>
          <w:color w:val="000000" w:themeColor="text1"/>
        </w:rPr>
        <w:t xml:space="preserve">. </w:t>
      </w:r>
    </w:p>
    <w:p w14:paraId="304C9FCF" w14:textId="7DF7DF47" w:rsidR="0039632A" w:rsidRPr="00104DE0" w:rsidRDefault="00241B5A" w:rsidP="00B61EF3">
      <w:pPr>
        <w:pStyle w:val="Normal1"/>
        <w:numPr>
          <w:ilvl w:val="0"/>
          <w:numId w:val="13"/>
        </w:numPr>
        <w:tabs>
          <w:tab w:val="left" w:pos="1418"/>
        </w:tabs>
        <w:spacing w:before="160" w:line="276" w:lineRule="auto"/>
        <w:ind w:left="360"/>
        <w:rPr>
          <w:rFonts w:asciiTheme="minorHAnsi" w:hAnsiTheme="minorHAnsi" w:cstheme="minorHAnsi"/>
          <w:color w:val="000000" w:themeColor="text1"/>
        </w:rPr>
      </w:pPr>
      <w:r w:rsidRPr="00104DE0">
        <w:rPr>
          <w:rFonts w:asciiTheme="minorHAnsi" w:hAnsiTheme="minorHAnsi" w:cstheme="minorHAnsi"/>
          <w:color w:val="000000" w:themeColor="text1"/>
        </w:rPr>
        <w:t>We believe it is important to</w:t>
      </w:r>
      <w:r w:rsidR="00772982" w:rsidRPr="00104DE0">
        <w:rPr>
          <w:rFonts w:asciiTheme="minorHAnsi" w:hAnsiTheme="minorHAnsi" w:cstheme="minorHAnsi"/>
          <w:color w:val="000000" w:themeColor="text1"/>
        </w:rPr>
        <w:t xml:space="preserve"> make full use of the findings from the previous </w:t>
      </w:r>
      <w:r w:rsidR="00104DE0">
        <w:rPr>
          <w:rFonts w:asciiTheme="minorHAnsi" w:hAnsiTheme="minorHAnsi" w:cstheme="minorHAnsi"/>
          <w:color w:val="000000" w:themeColor="text1"/>
        </w:rPr>
        <w:t xml:space="preserve">two </w:t>
      </w:r>
      <w:r w:rsidR="00772982" w:rsidRPr="00104DE0">
        <w:rPr>
          <w:rFonts w:asciiTheme="minorHAnsi" w:hAnsiTheme="minorHAnsi" w:cstheme="minorHAnsi"/>
          <w:color w:val="000000" w:themeColor="text1"/>
        </w:rPr>
        <w:t xml:space="preserve">Expert Groups so we can </w:t>
      </w:r>
      <w:r w:rsidR="008D25EC">
        <w:rPr>
          <w:rFonts w:asciiTheme="minorHAnsi" w:hAnsiTheme="minorHAnsi" w:cstheme="minorHAnsi"/>
          <w:color w:val="000000" w:themeColor="text1"/>
        </w:rPr>
        <w:t>use</w:t>
      </w:r>
      <w:r w:rsidR="00772982" w:rsidRPr="00104DE0">
        <w:rPr>
          <w:rFonts w:asciiTheme="minorHAnsi" w:hAnsiTheme="minorHAnsi" w:cstheme="minorHAnsi"/>
          <w:color w:val="000000" w:themeColor="text1"/>
        </w:rPr>
        <w:t xml:space="preserve"> this </w:t>
      </w:r>
      <w:r w:rsidRPr="00104DE0">
        <w:rPr>
          <w:rFonts w:asciiTheme="minorHAnsi" w:hAnsiTheme="minorHAnsi" w:cstheme="minorHAnsi"/>
          <w:color w:val="000000" w:themeColor="text1"/>
        </w:rPr>
        <w:t>knowledge</w:t>
      </w:r>
      <w:r w:rsidR="00772982" w:rsidRPr="00104DE0">
        <w:rPr>
          <w:rFonts w:asciiTheme="minorHAnsi" w:hAnsiTheme="minorHAnsi" w:cstheme="minorHAnsi"/>
          <w:color w:val="000000" w:themeColor="text1"/>
        </w:rPr>
        <w:t xml:space="preserve"> and further our understanding. </w:t>
      </w:r>
      <w:r w:rsidRPr="00104DE0">
        <w:rPr>
          <w:rFonts w:asciiTheme="minorHAnsi" w:hAnsiTheme="minorHAnsi" w:cstheme="minorHAnsi"/>
          <w:color w:val="000000" w:themeColor="text1"/>
        </w:rPr>
        <w:t xml:space="preserve">This contribution considers the work of the previous two Expert Groups and highlights relevant areas </w:t>
      </w:r>
      <w:r w:rsidR="00104DE0">
        <w:rPr>
          <w:rFonts w:asciiTheme="minorHAnsi" w:hAnsiTheme="minorHAnsi" w:cstheme="minorHAnsi"/>
          <w:color w:val="000000" w:themeColor="text1"/>
        </w:rPr>
        <w:t>for</w:t>
      </w:r>
      <w:r w:rsidRPr="00104DE0">
        <w:rPr>
          <w:rFonts w:asciiTheme="minorHAnsi" w:hAnsiTheme="minorHAnsi" w:cstheme="minorHAnsi"/>
          <w:color w:val="000000" w:themeColor="text1"/>
        </w:rPr>
        <w:t xml:space="preserve"> this current review </w:t>
      </w:r>
      <w:r w:rsidR="00104DE0">
        <w:rPr>
          <w:rFonts w:asciiTheme="minorHAnsi" w:hAnsiTheme="minorHAnsi" w:cstheme="minorHAnsi"/>
          <w:color w:val="000000" w:themeColor="text1"/>
        </w:rPr>
        <w:t>to take into consideration</w:t>
      </w:r>
      <w:r w:rsidRPr="00104DE0">
        <w:rPr>
          <w:rFonts w:asciiTheme="minorHAnsi" w:hAnsiTheme="minorHAnsi" w:cstheme="minorHAnsi"/>
          <w:color w:val="000000" w:themeColor="text1"/>
        </w:rPr>
        <w:t>.</w:t>
      </w:r>
    </w:p>
    <w:p w14:paraId="5EC0C6F5" w14:textId="77777777" w:rsidR="00553825" w:rsidRPr="00104DE0" w:rsidRDefault="00553825" w:rsidP="00B61EF3">
      <w:pPr>
        <w:pStyle w:val="Normal1"/>
        <w:tabs>
          <w:tab w:val="left" w:pos="1418"/>
        </w:tabs>
        <w:spacing w:before="160" w:line="276" w:lineRule="auto"/>
        <w:rPr>
          <w:rFonts w:asciiTheme="minorHAnsi" w:hAnsiTheme="minorHAnsi" w:cstheme="minorHAnsi"/>
          <w:b/>
          <w:color w:val="000000" w:themeColor="text1"/>
        </w:rPr>
      </w:pPr>
    </w:p>
    <w:p w14:paraId="3FE4FFEA" w14:textId="0422422D" w:rsidR="00CD1188" w:rsidRPr="00104DE0" w:rsidRDefault="00104DE0" w:rsidP="00B61EF3">
      <w:pPr>
        <w:pStyle w:val="Normal1"/>
        <w:tabs>
          <w:tab w:val="left" w:pos="1418"/>
        </w:tabs>
        <w:spacing w:before="160" w:line="276" w:lineRule="auto"/>
        <w:rPr>
          <w:rFonts w:asciiTheme="minorHAnsi" w:hAnsiTheme="minorHAnsi" w:cstheme="minorHAnsi"/>
          <w:b/>
          <w:color w:val="000000" w:themeColor="text1"/>
        </w:rPr>
      </w:pPr>
      <w:r w:rsidRPr="00104DE0">
        <w:rPr>
          <w:rFonts w:asciiTheme="minorHAnsi" w:hAnsiTheme="minorHAnsi" w:cstheme="minorHAnsi"/>
          <w:b/>
          <w:color w:val="000000" w:themeColor="text1"/>
        </w:rPr>
        <w:t>The</w:t>
      </w:r>
      <w:r w:rsidR="00987D32" w:rsidRPr="00104DE0">
        <w:rPr>
          <w:rFonts w:asciiTheme="minorHAnsi" w:hAnsiTheme="minorHAnsi" w:cstheme="minorHAnsi"/>
          <w:b/>
          <w:color w:val="000000" w:themeColor="text1"/>
        </w:rPr>
        <w:t xml:space="preserve"> first Expert Group </w:t>
      </w:r>
      <w:r w:rsidR="00385CA9" w:rsidRPr="00104DE0">
        <w:rPr>
          <w:rFonts w:asciiTheme="minorHAnsi" w:hAnsiTheme="minorHAnsi" w:cstheme="minorHAnsi"/>
          <w:b/>
          <w:color w:val="000000" w:themeColor="text1"/>
        </w:rPr>
        <w:t>(2016 – 2018)</w:t>
      </w:r>
    </w:p>
    <w:p w14:paraId="75CDE336" w14:textId="23DC4900" w:rsidR="00385CA9" w:rsidRPr="00104DE0" w:rsidRDefault="004677EB" w:rsidP="00B61EF3">
      <w:pPr>
        <w:pStyle w:val="ListParagraph"/>
        <w:keepNext/>
        <w:numPr>
          <w:ilvl w:val="0"/>
          <w:numId w:val="13"/>
        </w:numPr>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ind w:left="360"/>
        <w:jc w:val="both"/>
        <w:textAlignment w:val="auto"/>
        <w:rPr>
          <w:rFonts w:asciiTheme="minorHAnsi" w:eastAsia="SimSun" w:hAnsiTheme="minorHAnsi" w:cstheme="minorHAnsi"/>
          <w:color w:val="000000" w:themeColor="text1"/>
          <w:szCs w:val="24"/>
          <w:lang w:val="en-US" w:eastAsia="zh-CN"/>
        </w:rPr>
      </w:pPr>
      <w:r w:rsidRPr="00104DE0">
        <w:rPr>
          <w:rFonts w:asciiTheme="minorHAnsi" w:eastAsia="SimSun" w:hAnsiTheme="minorHAnsi" w:cstheme="minorHAnsi"/>
          <w:color w:val="000000" w:themeColor="text1"/>
          <w:szCs w:val="24"/>
          <w:lang w:val="en-US" w:eastAsia="zh-CN"/>
        </w:rPr>
        <w:t>The first Expert Group met between 2016</w:t>
      </w:r>
      <w:r w:rsidR="00B01B3D">
        <w:rPr>
          <w:rFonts w:asciiTheme="minorHAnsi" w:eastAsia="SimSun" w:hAnsiTheme="minorHAnsi" w:cstheme="minorHAnsi"/>
          <w:color w:val="000000" w:themeColor="text1"/>
          <w:szCs w:val="24"/>
          <w:lang w:val="en-US" w:eastAsia="zh-CN"/>
        </w:rPr>
        <w:t xml:space="preserve"> – 20</w:t>
      </w:r>
      <w:r w:rsidRPr="00104DE0">
        <w:rPr>
          <w:rFonts w:asciiTheme="minorHAnsi" w:eastAsia="SimSun" w:hAnsiTheme="minorHAnsi" w:cstheme="minorHAnsi"/>
          <w:color w:val="000000" w:themeColor="text1"/>
          <w:szCs w:val="24"/>
          <w:lang w:val="en-US" w:eastAsia="zh-CN"/>
        </w:rPr>
        <w:t>18</w:t>
      </w:r>
      <w:r w:rsidR="00241B5A" w:rsidRPr="00104DE0">
        <w:rPr>
          <w:rFonts w:asciiTheme="minorHAnsi" w:eastAsia="SimSun" w:hAnsiTheme="minorHAnsi" w:cstheme="minorHAnsi"/>
          <w:color w:val="000000" w:themeColor="text1"/>
          <w:szCs w:val="24"/>
          <w:lang w:val="en-US" w:eastAsia="zh-CN"/>
        </w:rPr>
        <w:t xml:space="preserve">. Its Terms of Reference are set out at </w:t>
      </w:r>
      <w:hyperlink w:anchor="AnnexA" w:history="1">
        <w:r w:rsidR="00241B5A" w:rsidRPr="007917E7">
          <w:rPr>
            <w:rStyle w:val="Hyperlink"/>
            <w:rFonts w:asciiTheme="minorHAnsi" w:eastAsia="SimSun" w:hAnsiTheme="minorHAnsi" w:cstheme="minorHAnsi"/>
            <w:szCs w:val="24"/>
            <w:lang w:val="en-US" w:eastAsia="zh-CN"/>
          </w:rPr>
          <w:t>Annex A</w:t>
        </w:r>
      </w:hyperlink>
      <w:r w:rsidR="00241B5A" w:rsidRPr="00104DE0">
        <w:rPr>
          <w:rFonts w:asciiTheme="minorHAnsi" w:eastAsia="SimSun" w:hAnsiTheme="minorHAnsi" w:cstheme="minorHAnsi"/>
          <w:color w:val="000000" w:themeColor="text1"/>
          <w:szCs w:val="24"/>
          <w:lang w:val="en-US" w:eastAsia="zh-CN"/>
        </w:rPr>
        <w:t xml:space="preserve">. It agreed </w:t>
      </w:r>
      <w:r w:rsidR="00087B26" w:rsidRPr="00104DE0">
        <w:rPr>
          <w:rFonts w:asciiTheme="minorHAnsi" w:hAnsiTheme="minorHAnsi" w:cstheme="minorHAnsi"/>
          <w:color w:val="000000" w:themeColor="text1"/>
          <w:szCs w:val="24"/>
        </w:rPr>
        <w:t>a</w:t>
      </w:r>
      <w:r w:rsidR="003161EE">
        <w:rPr>
          <w:rFonts w:asciiTheme="minorHAnsi" w:hAnsiTheme="minorHAnsi" w:cstheme="minorHAnsi"/>
          <w:color w:val="000000" w:themeColor="text1"/>
          <w:szCs w:val="24"/>
        </w:rPr>
        <w:t> </w:t>
      </w:r>
      <w:r w:rsidR="00087B26" w:rsidRPr="00104DE0">
        <w:rPr>
          <w:rFonts w:asciiTheme="minorHAnsi" w:hAnsiTheme="minorHAnsi" w:cstheme="minorHAnsi"/>
          <w:color w:val="000000" w:themeColor="text1"/>
          <w:szCs w:val="24"/>
        </w:rPr>
        <w:t>final report</w:t>
      </w:r>
      <w:r w:rsidR="00104DE0">
        <w:rPr>
          <w:rFonts w:asciiTheme="minorHAnsi" w:hAnsiTheme="minorHAnsi" w:cstheme="minorHAnsi"/>
          <w:color w:val="000000" w:themeColor="text1"/>
          <w:szCs w:val="24"/>
        </w:rPr>
        <w:t xml:space="preserve"> </w:t>
      </w:r>
      <w:r w:rsidRPr="00104DE0">
        <w:rPr>
          <w:rFonts w:asciiTheme="minorHAnsi" w:hAnsiTheme="minorHAnsi" w:cstheme="minorHAnsi"/>
          <w:color w:val="000000" w:themeColor="text1"/>
          <w:szCs w:val="24"/>
        </w:rPr>
        <w:t xml:space="preserve">which </w:t>
      </w:r>
      <w:r w:rsidR="00087B26" w:rsidRPr="00104DE0">
        <w:rPr>
          <w:rFonts w:asciiTheme="minorHAnsi" w:hAnsiTheme="minorHAnsi" w:cstheme="minorHAnsi"/>
          <w:color w:val="000000" w:themeColor="text1"/>
          <w:szCs w:val="24"/>
        </w:rPr>
        <w:t>show</w:t>
      </w:r>
      <w:r w:rsidRPr="00104DE0">
        <w:rPr>
          <w:rFonts w:asciiTheme="minorHAnsi" w:hAnsiTheme="minorHAnsi" w:cstheme="minorHAnsi"/>
          <w:color w:val="000000" w:themeColor="text1"/>
          <w:szCs w:val="24"/>
        </w:rPr>
        <w:t>ed</w:t>
      </w:r>
      <w:r w:rsidR="00087B26" w:rsidRPr="00104DE0">
        <w:rPr>
          <w:rFonts w:asciiTheme="minorHAnsi" w:hAnsiTheme="minorHAnsi" w:cstheme="minorHAnsi"/>
          <w:color w:val="000000" w:themeColor="text1"/>
          <w:szCs w:val="24"/>
        </w:rPr>
        <w:t xml:space="preserve"> that</w:t>
      </w:r>
      <w:r w:rsidR="003418D2" w:rsidRPr="00104DE0">
        <w:rPr>
          <w:rFonts w:asciiTheme="minorHAnsi" w:hAnsiTheme="minorHAnsi" w:cstheme="minorHAnsi"/>
          <w:color w:val="000000" w:themeColor="text1"/>
          <w:szCs w:val="24"/>
        </w:rPr>
        <w:t xml:space="preserve">: </w:t>
      </w:r>
    </w:p>
    <w:p w14:paraId="48F756B6" w14:textId="15B4DBBB" w:rsidR="004677EB" w:rsidRPr="00104DE0" w:rsidRDefault="00241B5A" w:rsidP="00B61EF3">
      <w:pPr>
        <w:pStyle w:val="Normal1"/>
        <w:numPr>
          <w:ilvl w:val="0"/>
          <w:numId w:val="15"/>
        </w:numPr>
        <w:tabs>
          <w:tab w:val="clear" w:pos="567"/>
          <w:tab w:val="left" w:pos="709"/>
          <w:tab w:val="left" w:pos="1418"/>
        </w:tabs>
        <w:spacing w:before="160" w:line="276" w:lineRule="auto"/>
        <w:ind w:hanging="294"/>
        <w:rPr>
          <w:rFonts w:asciiTheme="minorHAnsi" w:hAnsiTheme="minorHAnsi" w:cstheme="minorHAnsi"/>
          <w:color w:val="000000" w:themeColor="text1"/>
        </w:rPr>
      </w:pPr>
      <w:r w:rsidRPr="00104DE0">
        <w:rPr>
          <w:rFonts w:asciiTheme="minorHAnsi" w:eastAsia="SimSun" w:hAnsiTheme="minorHAnsi" w:cstheme="minorHAnsi"/>
          <w:color w:val="000000" w:themeColor="text1"/>
          <w:lang w:val="en-US" w:eastAsia="zh-CN"/>
        </w:rPr>
        <w:t>t</w:t>
      </w:r>
      <w:r w:rsidR="004677EB" w:rsidRPr="00104DE0">
        <w:rPr>
          <w:rFonts w:asciiTheme="minorHAnsi" w:eastAsia="SimSun" w:hAnsiTheme="minorHAnsi" w:cstheme="minorHAnsi"/>
          <w:color w:val="000000" w:themeColor="text1"/>
          <w:lang w:val="en-US" w:eastAsia="zh-CN"/>
        </w:rPr>
        <w:t>here were two sets of divergent views on the applicability of the 2012 ITRs in a</w:t>
      </w:r>
      <w:r w:rsidR="003161EE">
        <w:rPr>
          <w:rFonts w:asciiTheme="minorHAnsi" w:eastAsia="SimSun" w:hAnsiTheme="minorHAnsi" w:cstheme="minorHAnsi"/>
          <w:color w:val="000000" w:themeColor="text1"/>
          <w:lang w:val="en-US" w:eastAsia="zh-CN"/>
        </w:rPr>
        <w:t> </w:t>
      </w:r>
      <w:r w:rsidR="004677EB" w:rsidRPr="00104DE0">
        <w:rPr>
          <w:rFonts w:asciiTheme="minorHAnsi" w:eastAsia="SimSun" w:hAnsiTheme="minorHAnsi" w:cstheme="minorHAnsi"/>
          <w:color w:val="000000" w:themeColor="text1"/>
          <w:lang w:val="en-US" w:eastAsia="zh-CN"/>
        </w:rPr>
        <w:t>rapidly evolving international telecommunication environment</w:t>
      </w:r>
      <w:r w:rsidR="003161EE">
        <w:rPr>
          <w:rFonts w:asciiTheme="minorHAnsi" w:eastAsia="SimSun" w:hAnsiTheme="minorHAnsi" w:cstheme="minorHAnsi"/>
          <w:color w:val="000000" w:themeColor="text1"/>
          <w:lang w:val="en-US" w:eastAsia="zh-CN"/>
        </w:rPr>
        <w:t>,</w:t>
      </w:r>
    </w:p>
    <w:p w14:paraId="769276B1" w14:textId="1B778A24" w:rsidR="00385CA9" w:rsidRPr="00104DE0" w:rsidRDefault="00385CA9" w:rsidP="00B61EF3">
      <w:pPr>
        <w:pStyle w:val="Normal1"/>
        <w:numPr>
          <w:ilvl w:val="0"/>
          <w:numId w:val="15"/>
        </w:numPr>
        <w:tabs>
          <w:tab w:val="clear" w:pos="567"/>
          <w:tab w:val="left" w:pos="709"/>
          <w:tab w:val="left" w:pos="1418"/>
        </w:tabs>
        <w:spacing w:before="160" w:line="276" w:lineRule="auto"/>
        <w:ind w:hanging="294"/>
        <w:rPr>
          <w:rFonts w:asciiTheme="minorHAnsi" w:hAnsiTheme="minorHAnsi" w:cstheme="minorHAnsi"/>
          <w:color w:val="000000" w:themeColor="text1"/>
        </w:rPr>
      </w:pPr>
      <w:r w:rsidRPr="00104DE0">
        <w:rPr>
          <w:rFonts w:asciiTheme="minorHAnsi" w:hAnsiTheme="minorHAnsi" w:cstheme="minorHAnsi"/>
          <w:color w:val="000000" w:themeColor="text1"/>
        </w:rPr>
        <w:t>the Group did not find any examples of any issues or “real-world” difficulties that have arisen from differences between the 2012 and the 1988 texts</w:t>
      </w:r>
      <w:r w:rsidR="003161EE">
        <w:rPr>
          <w:rFonts w:asciiTheme="minorHAnsi" w:hAnsiTheme="minorHAnsi" w:cstheme="minorHAnsi"/>
          <w:color w:val="000000" w:themeColor="text1"/>
        </w:rPr>
        <w:t>,</w:t>
      </w:r>
    </w:p>
    <w:p w14:paraId="6BE049AD" w14:textId="53FB44F8" w:rsidR="00385CA9" w:rsidRPr="00104DE0" w:rsidRDefault="00385CA9" w:rsidP="00B61EF3">
      <w:pPr>
        <w:pStyle w:val="Normal1"/>
        <w:numPr>
          <w:ilvl w:val="0"/>
          <w:numId w:val="15"/>
        </w:numPr>
        <w:tabs>
          <w:tab w:val="clear" w:pos="567"/>
          <w:tab w:val="left" w:pos="709"/>
          <w:tab w:val="left" w:pos="1418"/>
        </w:tabs>
        <w:spacing w:before="160" w:line="276" w:lineRule="auto"/>
        <w:ind w:hanging="294"/>
        <w:rPr>
          <w:rFonts w:asciiTheme="minorHAnsi" w:hAnsiTheme="minorHAnsi" w:cstheme="minorHAnsi"/>
          <w:color w:val="000000" w:themeColor="text1"/>
        </w:rPr>
      </w:pPr>
      <w:r w:rsidRPr="00104DE0">
        <w:rPr>
          <w:rFonts w:asciiTheme="minorHAnsi" w:hAnsiTheme="minorHAnsi" w:cstheme="minorHAnsi"/>
          <w:color w:val="000000" w:themeColor="text1"/>
        </w:rPr>
        <w:t>the Group found that there could not be a</w:t>
      </w:r>
      <w:r w:rsidR="003161EE">
        <w:rPr>
          <w:rFonts w:asciiTheme="minorHAnsi" w:hAnsiTheme="minorHAnsi" w:cstheme="minorHAnsi"/>
          <w:color w:val="000000" w:themeColor="text1"/>
        </w:rPr>
        <w:t> </w:t>
      </w:r>
      <w:r w:rsidRPr="00104DE0">
        <w:rPr>
          <w:rFonts w:asciiTheme="minorHAnsi" w:hAnsiTheme="minorHAnsi" w:cstheme="minorHAnsi"/>
          <w:color w:val="000000" w:themeColor="text1"/>
        </w:rPr>
        <w:t>conflict between the 2012 and 1988 texts because the Vienna Convention would always make it clear which provisions apply</w:t>
      </w:r>
      <w:r w:rsidR="003161EE">
        <w:rPr>
          <w:rFonts w:asciiTheme="minorHAnsi" w:hAnsiTheme="minorHAnsi" w:cstheme="minorHAnsi"/>
          <w:color w:val="000000" w:themeColor="text1"/>
        </w:rPr>
        <w:t>,</w:t>
      </w:r>
    </w:p>
    <w:p w14:paraId="1C6AED0D" w14:textId="2C8812FB" w:rsidR="004677EB" w:rsidRPr="00104DE0" w:rsidRDefault="00385CA9" w:rsidP="00B61EF3">
      <w:pPr>
        <w:pStyle w:val="Normal1"/>
        <w:numPr>
          <w:ilvl w:val="0"/>
          <w:numId w:val="15"/>
        </w:numPr>
        <w:tabs>
          <w:tab w:val="clear" w:pos="567"/>
          <w:tab w:val="left" w:pos="709"/>
          <w:tab w:val="left" w:pos="1418"/>
        </w:tabs>
        <w:spacing w:before="160" w:line="276" w:lineRule="auto"/>
        <w:ind w:hanging="294"/>
        <w:rPr>
          <w:rFonts w:asciiTheme="minorHAnsi" w:hAnsiTheme="minorHAnsi" w:cstheme="minorHAnsi"/>
          <w:color w:val="000000" w:themeColor="text1"/>
        </w:rPr>
      </w:pPr>
      <w:r w:rsidRPr="00104DE0">
        <w:rPr>
          <w:rFonts w:asciiTheme="minorHAnsi" w:hAnsiTheme="minorHAnsi" w:cstheme="minorHAnsi"/>
          <w:color w:val="000000" w:themeColor="text1"/>
        </w:rPr>
        <w:t>the Group heard that a</w:t>
      </w:r>
      <w:r w:rsidR="003161EE">
        <w:rPr>
          <w:rFonts w:asciiTheme="minorHAnsi" w:hAnsiTheme="minorHAnsi" w:cstheme="minorHAnsi"/>
          <w:color w:val="000000" w:themeColor="text1"/>
        </w:rPr>
        <w:t> </w:t>
      </w:r>
      <w:r w:rsidRPr="00104DE0">
        <w:rPr>
          <w:rFonts w:asciiTheme="minorHAnsi" w:hAnsiTheme="minorHAnsi" w:cstheme="minorHAnsi"/>
          <w:color w:val="000000" w:themeColor="text1"/>
        </w:rPr>
        <w:t>very large proportion of operators no longer use the ITRs and instead rely on commercial arrangements.</w:t>
      </w:r>
    </w:p>
    <w:p w14:paraId="6921889B" w14:textId="60AADA0A" w:rsidR="00104DE0" w:rsidRDefault="00241B5A" w:rsidP="00B61EF3">
      <w:pPr>
        <w:pStyle w:val="Normal1"/>
        <w:numPr>
          <w:ilvl w:val="0"/>
          <w:numId w:val="13"/>
        </w:numPr>
        <w:tabs>
          <w:tab w:val="left" w:pos="1418"/>
        </w:tabs>
        <w:spacing w:before="160" w:line="276" w:lineRule="auto"/>
        <w:ind w:left="360"/>
        <w:rPr>
          <w:rFonts w:asciiTheme="minorHAnsi" w:hAnsiTheme="minorHAnsi" w:cstheme="minorHAnsi"/>
          <w:color w:val="000000" w:themeColor="text1"/>
        </w:rPr>
      </w:pPr>
      <w:r w:rsidRPr="00104DE0">
        <w:rPr>
          <w:rFonts w:asciiTheme="minorHAnsi" w:hAnsiTheme="minorHAnsi" w:cstheme="minorHAnsi"/>
          <w:color w:val="000000" w:themeColor="text1"/>
          <w:lang w:val="en-US"/>
        </w:rPr>
        <w:t>We</w:t>
      </w:r>
      <w:r w:rsidR="004677EB" w:rsidRPr="00104DE0">
        <w:rPr>
          <w:rFonts w:asciiTheme="minorHAnsi" w:hAnsiTheme="minorHAnsi" w:cstheme="minorHAnsi"/>
          <w:color w:val="000000" w:themeColor="text1"/>
          <w:lang w:val="en-US"/>
        </w:rPr>
        <w:t xml:space="preserve"> would draw attention </w:t>
      </w:r>
      <w:r w:rsidRPr="00104DE0">
        <w:rPr>
          <w:rFonts w:asciiTheme="minorHAnsi" w:hAnsiTheme="minorHAnsi" w:cstheme="minorHAnsi"/>
          <w:color w:val="000000" w:themeColor="text1"/>
          <w:lang w:val="en-US"/>
        </w:rPr>
        <w:t xml:space="preserve">in particular </w:t>
      </w:r>
      <w:r w:rsidR="004677EB" w:rsidRPr="00104DE0">
        <w:rPr>
          <w:rFonts w:asciiTheme="minorHAnsi" w:hAnsiTheme="minorHAnsi" w:cstheme="minorHAnsi"/>
          <w:color w:val="000000" w:themeColor="text1"/>
          <w:lang w:val="en-US"/>
        </w:rPr>
        <w:t xml:space="preserve">to contribution </w:t>
      </w:r>
      <w:r w:rsidR="004677EB" w:rsidRPr="00104DE0">
        <w:rPr>
          <w:rFonts w:asciiTheme="minorHAnsi" w:hAnsiTheme="minorHAnsi" w:cstheme="minorHAnsi"/>
          <w:color w:val="000000" w:themeColor="text1"/>
          <w:lang w:val="de-CH"/>
        </w:rPr>
        <w:t xml:space="preserve">EG-ITRs-4/7-E from Bell Mobility (Canada); KDDI, NTT DOCOMO Inc. (Japan); BT (United Kingdom); AT&amp;T, Verizon (United States of America). </w:t>
      </w:r>
      <w:r w:rsidR="004677EB" w:rsidRPr="00104DE0">
        <w:rPr>
          <w:rFonts w:asciiTheme="minorHAnsi" w:hAnsiTheme="minorHAnsi" w:cstheme="minorHAnsi"/>
          <w:color w:val="000000" w:themeColor="text1"/>
        </w:rPr>
        <w:t xml:space="preserve">This contribution stated: </w:t>
      </w:r>
    </w:p>
    <w:p w14:paraId="08B3A9F0" w14:textId="77777777" w:rsidR="004F3630" w:rsidRPr="004F3630" w:rsidRDefault="004F3630" w:rsidP="00B61EF3">
      <w:pPr>
        <w:pStyle w:val="Normal1"/>
        <w:tabs>
          <w:tab w:val="left" w:pos="1418"/>
        </w:tabs>
        <w:spacing w:before="160" w:line="276" w:lineRule="auto"/>
        <w:rPr>
          <w:rFonts w:asciiTheme="minorHAnsi" w:hAnsiTheme="minorHAnsi" w:cstheme="minorHAnsi"/>
          <w:color w:val="000000" w:themeColor="text1"/>
        </w:rPr>
      </w:pPr>
    </w:p>
    <w:p w14:paraId="28AB000D" w14:textId="78E00210" w:rsidR="004677EB" w:rsidRDefault="00104DE0" w:rsidP="00B61EF3">
      <w:pPr>
        <w:pStyle w:val="ListParagraph"/>
        <w:numPr>
          <w:ilvl w:val="0"/>
          <w:numId w:val="16"/>
        </w:num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theme="minorHAnsi"/>
          <w:color w:val="000000" w:themeColor="text1"/>
          <w:szCs w:val="24"/>
        </w:rPr>
      </w:pPr>
      <w:r w:rsidRPr="00104DE0">
        <w:rPr>
          <w:rFonts w:asciiTheme="minorHAnsi" w:hAnsiTheme="minorHAnsi" w:cstheme="minorHAnsi"/>
          <w:color w:val="000000" w:themeColor="text1"/>
          <w:szCs w:val="24"/>
        </w:rPr>
        <w:t>“</w:t>
      </w:r>
      <w:r w:rsidR="004677EB" w:rsidRPr="00104DE0">
        <w:rPr>
          <w:rFonts w:asciiTheme="minorHAnsi" w:hAnsiTheme="minorHAnsi" w:cstheme="minorHAnsi"/>
          <w:color w:val="000000" w:themeColor="text1"/>
          <w:szCs w:val="24"/>
        </w:rPr>
        <w:t>Together, our companies exchange traffic with other operators to provide international telecommunication services to more than 220 UN recognized countries and territories.  Based on our collective operational experience, the ITRs are no longer applicable to or relevant in today’s highly competitive international telecommunications market.  Rather, our companies exchange virtually all international traffic globally through commercially-negotiated agreements; any traffic settled under the ITRs is negligible.</w:t>
      </w:r>
      <w:r w:rsidRPr="00104DE0">
        <w:rPr>
          <w:rFonts w:asciiTheme="minorHAnsi" w:hAnsiTheme="minorHAnsi" w:cstheme="minorHAnsi"/>
          <w:color w:val="000000" w:themeColor="text1"/>
          <w:szCs w:val="24"/>
        </w:rPr>
        <w:t>”</w:t>
      </w:r>
      <w:r w:rsidR="004677EB" w:rsidRPr="00104DE0">
        <w:rPr>
          <w:rFonts w:asciiTheme="minorHAnsi" w:hAnsiTheme="minorHAnsi" w:cstheme="minorHAnsi"/>
          <w:color w:val="000000" w:themeColor="text1"/>
          <w:szCs w:val="24"/>
        </w:rPr>
        <w:t xml:space="preserve">  </w:t>
      </w:r>
    </w:p>
    <w:p w14:paraId="179E6DE9" w14:textId="77777777" w:rsidR="004F3630" w:rsidRPr="00104DE0" w:rsidRDefault="004F3630" w:rsidP="00B61EF3">
      <w:pPr>
        <w:pStyle w:val="ListParagraph"/>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theme="minorHAnsi"/>
          <w:color w:val="000000" w:themeColor="text1"/>
          <w:szCs w:val="24"/>
        </w:rPr>
      </w:pPr>
    </w:p>
    <w:p w14:paraId="64ED2C8E" w14:textId="513ED69B" w:rsidR="004F3630" w:rsidRDefault="00104DE0" w:rsidP="00B61EF3">
      <w:pPr>
        <w:pStyle w:val="ListParagraph"/>
        <w:numPr>
          <w:ilvl w:val="0"/>
          <w:numId w:val="16"/>
        </w:num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theme="minorHAnsi"/>
          <w:color w:val="000000" w:themeColor="text1"/>
          <w:szCs w:val="24"/>
        </w:rPr>
      </w:pPr>
      <w:r w:rsidRPr="00104DE0">
        <w:rPr>
          <w:rFonts w:asciiTheme="minorHAnsi" w:hAnsiTheme="minorHAnsi" w:cstheme="minorHAnsi"/>
          <w:color w:val="000000" w:themeColor="text1"/>
          <w:szCs w:val="24"/>
        </w:rPr>
        <w:t>“</w:t>
      </w:r>
      <w:r w:rsidR="004677EB" w:rsidRPr="00104DE0">
        <w:rPr>
          <w:rFonts w:asciiTheme="minorHAnsi" w:hAnsiTheme="minorHAnsi" w:cstheme="minorHAnsi"/>
          <w:color w:val="000000" w:themeColor="text1"/>
          <w:szCs w:val="24"/>
        </w:rPr>
        <w:t>The continued successful deployment and use of telecommunication infrastructure and services worldwide is mostly realized through policy frameworks that support ongoing innovation, market-based competition and private sector investment, and not through a</w:t>
      </w:r>
      <w:r w:rsidR="003161EE">
        <w:rPr>
          <w:rFonts w:asciiTheme="minorHAnsi" w:hAnsiTheme="minorHAnsi" w:cstheme="minorHAnsi"/>
          <w:color w:val="000000" w:themeColor="text1"/>
          <w:szCs w:val="24"/>
        </w:rPr>
        <w:t> </w:t>
      </w:r>
      <w:r w:rsidR="004677EB" w:rsidRPr="00104DE0">
        <w:rPr>
          <w:rFonts w:asciiTheme="minorHAnsi" w:hAnsiTheme="minorHAnsi" w:cstheme="minorHAnsi"/>
          <w:color w:val="000000" w:themeColor="text1"/>
          <w:szCs w:val="24"/>
        </w:rPr>
        <w:t>treaty instrument.</w:t>
      </w:r>
      <w:r w:rsidRPr="00104DE0">
        <w:rPr>
          <w:rFonts w:asciiTheme="minorHAnsi" w:hAnsiTheme="minorHAnsi" w:cstheme="minorHAnsi"/>
          <w:color w:val="000000" w:themeColor="text1"/>
          <w:szCs w:val="24"/>
        </w:rPr>
        <w:t>”</w:t>
      </w:r>
    </w:p>
    <w:p w14:paraId="7E8F1B1A" w14:textId="1E9DAA87" w:rsidR="00553825" w:rsidRPr="009946E3" w:rsidRDefault="004F3630" w:rsidP="00B61EF3">
      <w:pPr>
        <w:tabs>
          <w:tab w:val="clear" w:pos="567"/>
          <w:tab w:val="clear" w:pos="1134"/>
          <w:tab w:val="clear" w:pos="1701"/>
          <w:tab w:val="clear" w:pos="2268"/>
          <w:tab w:val="clear" w:pos="2835"/>
        </w:tabs>
        <w:overflowPunct/>
        <w:autoSpaceDE/>
        <w:autoSpaceDN/>
        <w:adjustRightInd/>
        <w:spacing w:before="0" w:after="200" w:line="276" w:lineRule="auto"/>
        <w:ind w:left="360"/>
        <w:textAlignment w:val="auto"/>
        <w:rPr>
          <w:rFonts w:asciiTheme="minorHAnsi" w:hAnsiTheme="minorHAnsi" w:cstheme="minorHAnsi"/>
          <w:b/>
          <w:color w:val="000000" w:themeColor="text1"/>
          <w:szCs w:val="24"/>
        </w:rPr>
      </w:pPr>
      <w:r w:rsidRPr="009946E3">
        <w:rPr>
          <w:rFonts w:asciiTheme="minorHAnsi" w:hAnsiTheme="minorHAnsi" w:cstheme="minorHAnsi"/>
          <w:color w:val="000000" w:themeColor="text1"/>
          <w:szCs w:val="24"/>
        </w:rPr>
        <w:t xml:space="preserve">This is particularly relevant as the Terms of Reference of our current review say that we should consider </w:t>
      </w:r>
      <w:r w:rsidR="009946E3">
        <w:rPr>
          <w:rFonts w:asciiTheme="minorHAnsi" w:hAnsiTheme="minorHAnsi" w:cstheme="minorHAnsi"/>
          <w:color w:val="000000" w:themeColor="text1"/>
          <w:szCs w:val="24"/>
        </w:rPr>
        <w:t>“</w:t>
      </w:r>
      <w:r w:rsidRPr="009946E3">
        <w:t>empirical data on the current use of the ITRs by operating agencies and/or administrations and the proportion of global telecommunication services which now rely on the ITRs</w:t>
      </w:r>
      <w:r w:rsidR="009946E3">
        <w:rPr>
          <w:rFonts w:asciiTheme="minorHAnsi" w:hAnsiTheme="minorHAnsi" w:cstheme="minorHAnsi"/>
          <w:color w:val="000000" w:themeColor="text1"/>
          <w:szCs w:val="24"/>
        </w:rPr>
        <w:t>”</w:t>
      </w:r>
      <w:r w:rsidRPr="009946E3">
        <w:rPr>
          <w:rFonts w:asciiTheme="minorHAnsi" w:hAnsiTheme="minorHAnsi" w:cstheme="minorHAnsi"/>
          <w:color w:val="000000" w:themeColor="text1"/>
          <w:szCs w:val="24"/>
        </w:rPr>
        <w:t>.</w:t>
      </w:r>
      <w:r w:rsidR="008D25EC" w:rsidRPr="009946E3">
        <w:rPr>
          <w:rFonts w:asciiTheme="minorHAnsi" w:hAnsiTheme="minorHAnsi" w:cstheme="minorHAnsi"/>
          <w:color w:val="000000" w:themeColor="text1"/>
          <w:szCs w:val="24"/>
        </w:rPr>
        <w:t xml:space="preserve"> Some members of the first Expert Group noted that according to their knowledge less than 1</w:t>
      </w:r>
      <w:r w:rsidR="00B01B3D">
        <w:rPr>
          <w:rFonts w:asciiTheme="minorHAnsi" w:hAnsiTheme="minorHAnsi" w:cstheme="minorHAnsi"/>
          <w:color w:val="000000" w:themeColor="text1"/>
          <w:szCs w:val="24"/>
        </w:rPr>
        <w:t> </w:t>
      </w:r>
      <w:r w:rsidR="008D25EC" w:rsidRPr="009946E3">
        <w:rPr>
          <w:rFonts w:asciiTheme="minorHAnsi" w:hAnsiTheme="minorHAnsi" w:cstheme="minorHAnsi"/>
          <w:color w:val="000000" w:themeColor="text1"/>
          <w:szCs w:val="24"/>
        </w:rPr>
        <w:t>% of global traffic flows continued to rely on the ITR-based accounting rate regime.</w:t>
      </w:r>
    </w:p>
    <w:p w14:paraId="16BF4020" w14:textId="4C120470" w:rsidR="00385CA9" w:rsidRPr="00104DE0" w:rsidRDefault="004F3630" w:rsidP="00B61EF3">
      <w:pPr>
        <w:tabs>
          <w:tab w:val="clear" w:pos="567"/>
          <w:tab w:val="clear" w:pos="1134"/>
          <w:tab w:val="clear" w:pos="1701"/>
          <w:tab w:val="clear" w:pos="2268"/>
          <w:tab w:val="clear" w:pos="2835"/>
        </w:tabs>
        <w:overflowPunct/>
        <w:autoSpaceDE/>
        <w:autoSpaceDN/>
        <w:adjustRightInd/>
        <w:spacing w:before="0" w:after="200" w:line="276" w:lineRule="auto"/>
        <w:textAlignment w:val="auto"/>
        <w:rPr>
          <w:rFonts w:asciiTheme="minorHAnsi" w:hAnsiTheme="minorHAnsi" w:cstheme="minorHAnsi"/>
          <w:color w:val="000000" w:themeColor="text1"/>
          <w:szCs w:val="24"/>
        </w:rPr>
      </w:pPr>
      <w:r>
        <w:rPr>
          <w:rFonts w:asciiTheme="minorHAnsi" w:hAnsiTheme="minorHAnsi" w:cstheme="minorHAnsi"/>
          <w:b/>
          <w:color w:val="000000" w:themeColor="text1"/>
          <w:szCs w:val="24"/>
        </w:rPr>
        <w:t>T</w:t>
      </w:r>
      <w:r w:rsidR="00385CA9" w:rsidRPr="00104DE0">
        <w:rPr>
          <w:rFonts w:asciiTheme="minorHAnsi" w:hAnsiTheme="minorHAnsi" w:cstheme="minorHAnsi"/>
          <w:b/>
          <w:color w:val="000000" w:themeColor="text1"/>
          <w:szCs w:val="24"/>
        </w:rPr>
        <w:t>he second Expert Group (2019 – 2022)</w:t>
      </w:r>
    </w:p>
    <w:p w14:paraId="0D75B6E3" w14:textId="4F773D3F" w:rsidR="00B61EF3" w:rsidRPr="00B61EF3" w:rsidRDefault="00BB7002" w:rsidP="00B61EF3">
      <w:pPr>
        <w:pStyle w:val="ListParagraph"/>
        <w:keepNext/>
        <w:numPr>
          <w:ilvl w:val="0"/>
          <w:numId w:val="13"/>
        </w:numPr>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ind w:left="360"/>
        <w:jc w:val="both"/>
        <w:textAlignment w:val="auto"/>
        <w:rPr>
          <w:rFonts w:asciiTheme="minorHAnsi" w:eastAsia="SimSun" w:hAnsiTheme="minorHAnsi" w:cstheme="minorHAnsi"/>
          <w:color w:val="000000" w:themeColor="text1"/>
          <w:szCs w:val="24"/>
          <w:lang w:val="en-US" w:eastAsia="zh-CN"/>
        </w:rPr>
      </w:pPr>
      <w:r w:rsidRPr="00104DE0">
        <w:rPr>
          <w:rFonts w:asciiTheme="minorHAnsi" w:eastAsia="SimSun" w:hAnsiTheme="minorHAnsi" w:cstheme="minorHAnsi"/>
          <w:color w:val="000000" w:themeColor="text1"/>
          <w:szCs w:val="24"/>
          <w:lang w:val="en-US" w:eastAsia="zh-CN"/>
        </w:rPr>
        <w:t xml:space="preserve">The second </w:t>
      </w:r>
      <w:r w:rsidR="004F3630" w:rsidRPr="004F3630">
        <w:rPr>
          <w:rFonts w:asciiTheme="minorHAnsi" w:eastAsia="SimSun" w:hAnsiTheme="minorHAnsi" w:cstheme="minorHAnsi"/>
          <w:color w:val="000000" w:themeColor="text1"/>
          <w:szCs w:val="24"/>
          <w:lang w:val="en-US" w:eastAsia="zh-CN"/>
        </w:rPr>
        <w:t>Expert Group met between 201</w:t>
      </w:r>
      <w:r w:rsidR="004F3630">
        <w:rPr>
          <w:rFonts w:asciiTheme="minorHAnsi" w:eastAsia="SimSun" w:hAnsiTheme="minorHAnsi" w:cstheme="minorHAnsi"/>
          <w:color w:val="000000" w:themeColor="text1"/>
          <w:szCs w:val="24"/>
          <w:lang w:val="en-US" w:eastAsia="zh-CN"/>
        </w:rPr>
        <w:t>9</w:t>
      </w:r>
      <w:r w:rsidR="00B01B3D">
        <w:rPr>
          <w:rFonts w:asciiTheme="minorHAnsi" w:eastAsia="SimSun" w:hAnsiTheme="minorHAnsi" w:cstheme="minorHAnsi"/>
          <w:color w:val="000000" w:themeColor="text1"/>
          <w:szCs w:val="24"/>
          <w:lang w:val="en-US" w:eastAsia="zh-CN"/>
        </w:rPr>
        <w:t xml:space="preserve"> – 20</w:t>
      </w:r>
      <w:r w:rsidR="004F3630">
        <w:rPr>
          <w:rFonts w:asciiTheme="minorHAnsi" w:eastAsia="SimSun" w:hAnsiTheme="minorHAnsi" w:cstheme="minorHAnsi"/>
          <w:color w:val="000000" w:themeColor="text1"/>
          <w:szCs w:val="24"/>
          <w:lang w:val="en-US" w:eastAsia="zh-CN"/>
        </w:rPr>
        <w:t>22</w:t>
      </w:r>
      <w:r w:rsidR="004F3630" w:rsidRPr="004F3630">
        <w:rPr>
          <w:rFonts w:asciiTheme="minorHAnsi" w:eastAsia="SimSun" w:hAnsiTheme="minorHAnsi" w:cstheme="minorHAnsi"/>
          <w:color w:val="000000" w:themeColor="text1"/>
          <w:szCs w:val="24"/>
          <w:lang w:val="en-US" w:eastAsia="zh-CN"/>
        </w:rPr>
        <w:t xml:space="preserve">. Its Terms of Reference are </w:t>
      </w:r>
      <w:r w:rsidR="004F3630">
        <w:rPr>
          <w:rFonts w:asciiTheme="minorHAnsi" w:eastAsia="SimSun" w:hAnsiTheme="minorHAnsi" w:cstheme="minorHAnsi"/>
          <w:color w:val="000000" w:themeColor="text1"/>
          <w:szCs w:val="24"/>
          <w:lang w:val="en-US" w:eastAsia="zh-CN"/>
        </w:rPr>
        <w:t xml:space="preserve">also </w:t>
      </w:r>
      <w:r w:rsidR="004F3630" w:rsidRPr="004F3630">
        <w:rPr>
          <w:rFonts w:asciiTheme="minorHAnsi" w:eastAsia="SimSun" w:hAnsiTheme="minorHAnsi" w:cstheme="minorHAnsi"/>
          <w:color w:val="000000" w:themeColor="text1"/>
          <w:szCs w:val="24"/>
          <w:lang w:val="en-US" w:eastAsia="zh-CN"/>
        </w:rPr>
        <w:t>set out at Annex A.</w:t>
      </w:r>
      <w:r w:rsidR="004F3630">
        <w:rPr>
          <w:rFonts w:asciiTheme="minorHAnsi" w:eastAsia="SimSun" w:hAnsiTheme="minorHAnsi" w:cstheme="minorHAnsi"/>
          <w:color w:val="000000" w:themeColor="text1"/>
          <w:szCs w:val="24"/>
          <w:lang w:val="en-US" w:eastAsia="zh-CN"/>
        </w:rPr>
        <w:t xml:space="preserve"> </w:t>
      </w:r>
      <w:r w:rsidR="00385CA9" w:rsidRPr="004F3630">
        <w:rPr>
          <w:rFonts w:asciiTheme="minorHAnsi" w:hAnsiTheme="minorHAnsi" w:cstheme="minorHAnsi"/>
          <w:color w:val="000000" w:themeColor="text1"/>
        </w:rPr>
        <w:t>The</w:t>
      </w:r>
      <w:r w:rsidR="000725E4">
        <w:rPr>
          <w:rFonts w:asciiTheme="minorHAnsi" w:hAnsiTheme="minorHAnsi" w:cstheme="minorHAnsi"/>
          <w:color w:val="000000" w:themeColor="text1"/>
        </w:rPr>
        <w:t xml:space="preserve"> Group undertook a</w:t>
      </w:r>
      <w:r w:rsidR="003161EE">
        <w:rPr>
          <w:rFonts w:asciiTheme="minorHAnsi" w:hAnsiTheme="minorHAnsi" w:cstheme="minorHAnsi"/>
          <w:color w:val="000000" w:themeColor="text1"/>
        </w:rPr>
        <w:t> </w:t>
      </w:r>
      <w:r w:rsidR="000725E4">
        <w:rPr>
          <w:rFonts w:asciiTheme="minorHAnsi" w:hAnsiTheme="minorHAnsi" w:cstheme="minorHAnsi"/>
          <w:color w:val="000000" w:themeColor="text1"/>
        </w:rPr>
        <w:t xml:space="preserve">wide-ranging and comprehensive review, including </w:t>
      </w:r>
      <w:r w:rsidR="00385CA9" w:rsidRPr="004F3630">
        <w:rPr>
          <w:rFonts w:asciiTheme="minorHAnsi" w:hAnsiTheme="minorHAnsi" w:cstheme="minorHAnsi"/>
          <w:color w:val="000000" w:themeColor="text1"/>
        </w:rPr>
        <w:t>around 40 contributions from Member States</w:t>
      </w:r>
      <w:r w:rsidR="000725E4">
        <w:rPr>
          <w:rFonts w:asciiTheme="minorHAnsi" w:hAnsiTheme="minorHAnsi" w:cstheme="minorHAnsi"/>
          <w:color w:val="000000" w:themeColor="text1"/>
        </w:rPr>
        <w:t xml:space="preserve"> and </w:t>
      </w:r>
      <w:r w:rsidR="00385CA9" w:rsidRPr="004F3630">
        <w:rPr>
          <w:rFonts w:asciiTheme="minorHAnsi" w:hAnsiTheme="minorHAnsi" w:cstheme="minorHAnsi"/>
          <w:color w:val="000000" w:themeColor="text1"/>
        </w:rPr>
        <w:t>Sector Members from all ITU regions</w:t>
      </w:r>
      <w:r w:rsidR="00B61EF3">
        <w:rPr>
          <w:rFonts w:asciiTheme="minorHAnsi" w:hAnsiTheme="minorHAnsi" w:cstheme="minorHAnsi"/>
          <w:color w:val="000000" w:themeColor="text1"/>
        </w:rPr>
        <w:t xml:space="preserve">. It produced an extensive report of 212 pages, including </w:t>
      </w:r>
      <w:r w:rsidR="004F3630">
        <w:rPr>
          <w:rFonts w:asciiTheme="minorHAnsi" w:hAnsiTheme="minorHAnsi" w:cstheme="minorHAnsi"/>
          <w:color w:val="000000" w:themeColor="text1"/>
        </w:rPr>
        <w:t>a</w:t>
      </w:r>
      <w:r w:rsidR="003161EE">
        <w:rPr>
          <w:rFonts w:asciiTheme="minorHAnsi" w:hAnsiTheme="minorHAnsi" w:cstheme="minorHAnsi"/>
          <w:color w:val="000000" w:themeColor="text1"/>
        </w:rPr>
        <w:t> </w:t>
      </w:r>
      <w:r w:rsidR="00B61EF3">
        <w:rPr>
          <w:rFonts w:asciiTheme="minorHAnsi" w:hAnsiTheme="minorHAnsi" w:cstheme="minorHAnsi"/>
          <w:color w:val="000000" w:themeColor="text1"/>
        </w:rPr>
        <w:t xml:space="preserve">detailed </w:t>
      </w:r>
      <w:r w:rsidR="00385CA9" w:rsidRPr="004F3630">
        <w:rPr>
          <w:rFonts w:asciiTheme="minorHAnsi" w:hAnsiTheme="minorHAnsi" w:cstheme="minorHAnsi"/>
          <w:color w:val="000000" w:themeColor="text1"/>
        </w:rPr>
        <w:t xml:space="preserve">provision-by-provision </w:t>
      </w:r>
      <w:r w:rsidR="00B61EF3">
        <w:rPr>
          <w:rFonts w:asciiTheme="minorHAnsi" w:hAnsiTheme="minorHAnsi" w:cstheme="minorHAnsi"/>
          <w:color w:val="000000" w:themeColor="text1"/>
        </w:rPr>
        <w:t>examination</w:t>
      </w:r>
      <w:r w:rsidR="00385CA9" w:rsidRPr="004F3630">
        <w:rPr>
          <w:rFonts w:asciiTheme="minorHAnsi" w:hAnsiTheme="minorHAnsi" w:cstheme="minorHAnsi"/>
          <w:color w:val="000000" w:themeColor="text1"/>
        </w:rPr>
        <w:t xml:space="preserve"> of the ITRs</w:t>
      </w:r>
      <w:r w:rsidR="004F3630">
        <w:rPr>
          <w:rFonts w:asciiTheme="minorHAnsi" w:hAnsiTheme="minorHAnsi" w:cstheme="minorHAnsi"/>
          <w:color w:val="000000" w:themeColor="text1"/>
        </w:rPr>
        <w:t xml:space="preserve">. </w:t>
      </w:r>
    </w:p>
    <w:p w14:paraId="2FEECFC3" w14:textId="77777777" w:rsidR="00B61EF3" w:rsidRPr="00B61EF3" w:rsidRDefault="00B61EF3" w:rsidP="00B61EF3">
      <w:pPr>
        <w:pStyle w:val="ListParagraph"/>
        <w:keepNext/>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ind w:left="360"/>
        <w:jc w:val="both"/>
        <w:textAlignment w:val="auto"/>
        <w:rPr>
          <w:rFonts w:asciiTheme="minorHAnsi" w:eastAsia="SimSun" w:hAnsiTheme="minorHAnsi" w:cstheme="minorHAnsi"/>
          <w:color w:val="000000" w:themeColor="text1"/>
          <w:szCs w:val="24"/>
          <w:lang w:val="en-US" w:eastAsia="zh-CN"/>
        </w:rPr>
      </w:pPr>
    </w:p>
    <w:p w14:paraId="114A7F49" w14:textId="74FD12F2" w:rsidR="004F3630" w:rsidRPr="004F3630" w:rsidRDefault="004F3630" w:rsidP="00B61EF3">
      <w:pPr>
        <w:pStyle w:val="ListParagraph"/>
        <w:keepNext/>
        <w:numPr>
          <w:ilvl w:val="0"/>
          <w:numId w:val="13"/>
        </w:numPr>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ind w:left="360"/>
        <w:jc w:val="both"/>
        <w:textAlignment w:val="auto"/>
        <w:rPr>
          <w:rFonts w:asciiTheme="minorHAnsi" w:eastAsia="SimSun" w:hAnsiTheme="minorHAnsi" w:cstheme="minorHAnsi"/>
          <w:color w:val="000000" w:themeColor="text1"/>
          <w:szCs w:val="24"/>
          <w:lang w:val="en-US" w:eastAsia="zh-CN"/>
        </w:rPr>
      </w:pPr>
      <w:r>
        <w:rPr>
          <w:rFonts w:asciiTheme="minorHAnsi" w:hAnsiTheme="minorHAnsi" w:cstheme="minorHAnsi"/>
          <w:color w:val="000000" w:themeColor="text1"/>
        </w:rPr>
        <w:t>T</w:t>
      </w:r>
      <w:r w:rsidR="00385CA9" w:rsidRPr="004F3630">
        <w:rPr>
          <w:rFonts w:asciiTheme="minorHAnsi" w:hAnsiTheme="minorHAnsi" w:cstheme="minorHAnsi"/>
          <w:color w:val="000000" w:themeColor="text1"/>
        </w:rPr>
        <w:t>he Group found that there was still a</w:t>
      </w:r>
      <w:r w:rsidR="003161EE">
        <w:rPr>
          <w:rFonts w:asciiTheme="minorHAnsi" w:hAnsiTheme="minorHAnsi" w:cstheme="minorHAnsi"/>
          <w:color w:val="000000" w:themeColor="text1"/>
        </w:rPr>
        <w:t> </w:t>
      </w:r>
      <w:r w:rsidR="00385CA9" w:rsidRPr="004F3630">
        <w:rPr>
          <w:rFonts w:asciiTheme="minorHAnsi" w:hAnsiTheme="minorHAnsi" w:cstheme="minorHAnsi"/>
          <w:color w:val="000000" w:themeColor="text1"/>
        </w:rPr>
        <w:t>range of views on the ITRs</w:t>
      </w:r>
      <w:r>
        <w:rPr>
          <w:rFonts w:asciiTheme="minorHAnsi" w:hAnsiTheme="minorHAnsi" w:cstheme="minorHAnsi"/>
          <w:color w:val="000000" w:themeColor="text1"/>
        </w:rPr>
        <w:t>:</w:t>
      </w:r>
    </w:p>
    <w:p w14:paraId="4BD6D84E" w14:textId="77777777" w:rsidR="004F3630" w:rsidRPr="004F3630" w:rsidRDefault="004F3630" w:rsidP="00B61EF3">
      <w:pPr>
        <w:pStyle w:val="ListParagraph"/>
        <w:keepNext/>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ind w:left="360"/>
        <w:jc w:val="both"/>
        <w:textAlignment w:val="auto"/>
        <w:rPr>
          <w:rFonts w:asciiTheme="minorHAnsi" w:eastAsia="SimSun" w:hAnsiTheme="minorHAnsi" w:cstheme="minorHAnsi"/>
          <w:color w:val="000000" w:themeColor="text1"/>
          <w:szCs w:val="24"/>
          <w:lang w:val="en-US" w:eastAsia="zh-CN"/>
        </w:rPr>
      </w:pPr>
    </w:p>
    <w:p w14:paraId="456692FA" w14:textId="0A10C668" w:rsidR="00B61EF3" w:rsidRPr="00B61EF3" w:rsidRDefault="004647F8" w:rsidP="00B61EF3">
      <w:pPr>
        <w:pStyle w:val="ListParagraph"/>
        <w:keepNext/>
        <w:numPr>
          <w:ilvl w:val="1"/>
          <w:numId w:val="13"/>
        </w:numPr>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jc w:val="both"/>
        <w:textAlignment w:val="auto"/>
        <w:rPr>
          <w:rFonts w:asciiTheme="minorHAnsi" w:eastAsia="SimSun" w:hAnsiTheme="minorHAnsi" w:cstheme="minorHAnsi"/>
          <w:color w:val="000000" w:themeColor="text1"/>
          <w:szCs w:val="24"/>
          <w:lang w:val="en-US" w:eastAsia="zh-CN"/>
        </w:rPr>
      </w:pPr>
      <w:r w:rsidRPr="004F3630">
        <w:rPr>
          <w:rFonts w:asciiTheme="minorHAnsi" w:hAnsiTheme="minorHAnsi" w:cstheme="minorHAnsi"/>
          <w:color w:val="000000" w:themeColor="text1"/>
          <w:lang w:val="en-US"/>
        </w:rPr>
        <w:t>Some members were of the opinion that the provisions continue to be relevant as they</w:t>
      </w:r>
      <w:r w:rsidR="00642F6C" w:rsidRPr="004F3630">
        <w:rPr>
          <w:rFonts w:asciiTheme="minorHAnsi" w:hAnsiTheme="minorHAnsi" w:cstheme="minorHAnsi"/>
          <w:color w:val="000000" w:themeColor="text1"/>
          <w:lang w:val="en-US"/>
        </w:rPr>
        <w:t xml:space="preserve"> </w:t>
      </w:r>
      <w:r w:rsidRPr="004F3630">
        <w:rPr>
          <w:rFonts w:asciiTheme="minorHAnsi" w:hAnsiTheme="minorHAnsi" w:cstheme="minorHAnsi"/>
          <w:color w:val="000000" w:themeColor="text1"/>
          <w:lang w:val="en-US"/>
        </w:rPr>
        <w:t xml:space="preserve">are applicable in fostering the provision and development of networks and services and flexible to accommodate new trends and emerging issues. </w:t>
      </w:r>
    </w:p>
    <w:p w14:paraId="187AA443" w14:textId="77777777" w:rsidR="00B61EF3" w:rsidRPr="00B61EF3" w:rsidRDefault="00B61EF3" w:rsidP="00B61EF3">
      <w:pPr>
        <w:pStyle w:val="ListParagraph"/>
        <w:keepNext/>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jc w:val="both"/>
        <w:textAlignment w:val="auto"/>
        <w:rPr>
          <w:rFonts w:asciiTheme="minorHAnsi" w:eastAsia="SimSun" w:hAnsiTheme="minorHAnsi" w:cstheme="minorHAnsi"/>
          <w:color w:val="000000" w:themeColor="text1"/>
          <w:szCs w:val="24"/>
          <w:lang w:val="en-US" w:eastAsia="zh-CN"/>
        </w:rPr>
      </w:pPr>
    </w:p>
    <w:p w14:paraId="24B9C506" w14:textId="0399FC09" w:rsidR="004647F8" w:rsidRPr="0037680B" w:rsidRDefault="004647F8" w:rsidP="00B61EF3">
      <w:pPr>
        <w:pStyle w:val="ListParagraph"/>
        <w:keepNext/>
        <w:numPr>
          <w:ilvl w:val="1"/>
          <w:numId w:val="13"/>
        </w:numPr>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jc w:val="both"/>
        <w:textAlignment w:val="auto"/>
        <w:rPr>
          <w:rFonts w:asciiTheme="minorHAnsi" w:eastAsia="SimSun" w:hAnsiTheme="minorHAnsi" w:cstheme="minorHAnsi"/>
          <w:color w:val="000000" w:themeColor="text1"/>
          <w:szCs w:val="24"/>
          <w:lang w:val="en-US" w:eastAsia="zh-CN"/>
        </w:rPr>
      </w:pPr>
      <w:r w:rsidRPr="00B61EF3">
        <w:rPr>
          <w:rFonts w:asciiTheme="minorHAnsi" w:hAnsiTheme="minorHAnsi" w:cstheme="minorHAnsi"/>
          <w:color w:val="000000" w:themeColor="text1"/>
          <w:lang w:val="en-US"/>
        </w:rPr>
        <w:t>Some members were of the opinion that the provisions of the ITRs are not relevant, as they are no longer applicable in fostering the provision and development of networks and services or flexible to accommodate new trends and emerging issues.</w:t>
      </w:r>
    </w:p>
    <w:p w14:paraId="6359F0E3" w14:textId="77777777" w:rsidR="0037680B" w:rsidRPr="0037680B" w:rsidRDefault="0037680B" w:rsidP="0037680B">
      <w:pPr>
        <w:pStyle w:val="ListParagraph"/>
        <w:rPr>
          <w:rFonts w:asciiTheme="minorHAnsi" w:eastAsia="SimSun" w:hAnsiTheme="minorHAnsi" w:cstheme="minorHAnsi"/>
          <w:color w:val="000000" w:themeColor="text1"/>
          <w:szCs w:val="24"/>
          <w:lang w:val="en-US" w:eastAsia="zh-CN"/>
        </w:rPr>
      </w:pPr>
    </w:p>
    <w:p w14:paraId="781BEA08" w14:textId="2C75712E" w:rsidR="00F15E4D" w:rsidRDefault="0037680B" w:rsidP="008D25EC">
      <w:pPr>
        <w:keepNext/>
        <w:shd w:val="clear" w:color="auto" w:fill="FFFFFF"/>
        <w:tabs>
          <w:tab w:val="clear" w:pos="567"/>
          <w:tab w:val="clear" w:pos="1134"/>
          <w:tab w:val="clear" w:pos="1701"/>
          <w:tab w:val="clear" w:pos="2268"/>
          <w:tab w:val="clear" w:pos="2835"/>
        </w:tabs>
        <w:overflowPunct/>
        <w:autoSpaceDE/>
        <w:autoSpaceDN/>
        <w:adjustRightInd/>
        <w:snapToGrid w:val="0"/>
        <w:spacing w:before="240" w:after="120" w:line="276" w:lineRule="auto"/>
        <w:ind w:firstLine="360"/>
        <w:jc w:val="both"/>
        <w:textAlignment w:val="auto"/>
        <w:rPr>
          <w:rFonts w:asciiTheme="minorHAnsi" w:eastAsia="SimSun" w:hAnsiTheme="minorHAnsi" w:cstheme="minorHAnsi"/>
          <w:color w:val="000000" w:themeColor="text1"/>
          <w:szCs w:val="24"/>
          <w:lang w:val="en-US" w:eastAsia="zh-CN"/>
        </w:rPr>
      </w:pPr>
      <w:r w:rsidRPr="0037680B">
        <w:rPr>
          <w:rFonts w:asciiTheme="minorHAnsi" w:eastAsia="SimSun" w:hAnsiTheme="minorHAnsi" w:cstheme="minorHAnsi"/>
          <w:color w:val="000000" w:themeColor="text1"/>
          <w:szCs w:val="24"/>
          <w:lang w:val="en-US" w:eastAsia="zh-CN"/>
        </w:rPr>
        <w:t>This divergence of views</w:t>
      </w:r>
      <w:r>
        <w:rPr>
          <w:rFonts w:asciiTheme="minorHAnsi" w:eastAsia="SimSun" w:hAnsiTheme="minorHAnsi" w:cstheme="minorHAnsi"/>
          <w:color w:val="000000" w:themeColor="text1"/>
          <w:szCs w:val="24"/>
          <w:lang w:val="en-US" w:eastAsia="zh-CN"/>
        </w:rPr>
        <w:t xml:space="preserve"> has remained consistent </w:t>
      </w:r>
      <w:r w:rsidR="00F15E4D">
        <w:rPr>
          <w:rFonts w:asciiTheme="minorHAnsi" w:eastAsia="SimSun" w:hAnsiTheme="minorHAnsi" w:cstheme="minorHAnsi"/>
          <w:color w:val="000000" w:themeColor="text1"/>
          <w:szCs w:val="24"/>
          <w:lang w:val="en-US" w:eastAsia="zh-CN"/>
        </w:rPr>
        <w:t>across the previous two Expert Groups.</w:t>
      </w:r>
    </w:p>
    <w:p w14:paraId="3083BCA4" w14:textId="77777777" w:rsidR="00B01B3D" w:rsidRPr="008D25EC" w:rsidRDefault="00B01B3D" w:rsidP="007917E7">
      <w:pPr>
        <w:keepNext/>
        <w:shd w:val="clear" w:color="auto" w:fill="FFFFFF"/>
        <w:tabs>
          <w:tab w:val="clear" w:pos="567"/>
          <w:tab w:val="clear" w:pos="1134"/>
          <w:tab w:val="clear" w:pos="1701"/>
          <w:tab w:val="clear" w:pos="2268"/>
          <w:tab w:val="clear" w:pos="2835"/>
        </w:tabs>
        <w:overflowPunct/>
        <w:autoSpaceDE/>
        <w:autoSpaceDN/>
        <w:adjustRightInd/>
        <w:snapToGrid w:val="0"/>
        <w:spacing w:after="120" w:line="276" w:lineRule="auto"/>
        <w:ind w:firstLine="360"/>
        <w:jc w:val="both"/>
        <w:textAlignment w:val="auto"/>
        <w:rPr>
          <w:rFonts w:asciiTheme="minorHAnsi" w:eastAsia="SimSun" w:hAnsiTheme="minorHAnsi" w:cstheme="minorHAnsi"/>
          <w:color w:val="000000" w:themeColor="text1"/>
          <w:szCs w:val="24"/>
          <w:lang w:val="en-US" w:eastAsia="zh-CN"/>
        </w:rPr>
      </w:pPr>
    </w:p>
    <w:p w14:paraId="50FEA075" w14:textId="7865E555" w:rsidR="00CB2DEC" w:rsidRPr="00104DE0" w:rsidRDefault="00CD4F35" w:rsidP="00B61EF3">
      <w:pPr>
        <w:pStyle w:val="Normal1"/>
        <w:tabs>
          <w:tab w:val="left" w:pos="1418"/>
        </w:tabs>
        <w:spacing w:before="160" w:line="276" w:lineRule="auto"/>
        <w:rPr>
          <w:rFonts w:asciiTheme="minorHAnsi" w:hAnsiTheme="minorHAnsi" w:cstheme="minorHAnsi"/>
          <w:b/>
          <w:color w:val="000000" w:themeColor="text1"/>
        </w:rPr>
      </w:pPr>
      <w:r w:rsidRPr="00104DE0">
        <w:rPr>
          <w:rFonts w:asciiTheme="minorHAnsi" w:hAnsiTheme="minorHAnsi" w:cstheme="minorHAnsi"/>
          <w:b/>
          <w:color w:val="000000" w:themeColor="text1"/>
        </w:rPr>
        <w:t>Conclusion</w:t>
      </w:r>
      <w:r w:rsidR="00CB2DEC" w:rsidRPr="00104DE0">
        <w:rPr>
          <w:rFonts w:asciiTheme="minorHAnsi" w:hAnsiTheme="minorHAnsi" w:cstheme="minorHAnsi"/>
          <w:b/>
          <w:color w:val="000000" w:themeColor="text1"/>
        </w:rPr>
        <w:t xml:space="preserve"> </w:t>
      </w:r>
    </w:p>
    <w:p w14:paraId="24D69ECA" w14:textId="4F1D5A73" w:rsidR="00CB2DEC" w:rsidRPr="00104DE0" w:rsidRDefault="00642F6C" w:rsidP="00B61EF3">
      <w:pPr>
        <w:pStyle w:val="Normal1"/>
        <w:numPr>
          <w:ilvl w:val="0"/>
          <w:numId w:val="13"/>
        </w:numPr>
        <w:tabs>
          <w:tab w:val="left" w:pos="1418"/>
        </w:tabs>
        <w:spacing w:before="160" w:line="276" w:lineRule="auto"/>
        <w:ind w:left="360"/>
        <w:rPr>
          <w:rFonts w:asciiTheme="minorHAnsi" w:hAnsiTheme="minorHAnsi" w:cstheme="minorHAnsi"/>
          <w:color w:val="000000" w:themeColor="text1"/>
        </w:rPr>
      </w:pPr>
      <w:r w:rsidRPr="00104DE0">
        <w:rPr>
          <w:rFonts w:asciiTheme="minorHAnsi" w:hAnsiTheme="minorHAnsi" w:cstheme="minorHAnsi"/>
          <w:color w:val="000000" w:themeColor="text1"/>
          <w:lang w:val="en-US"/>
        </w:rPr>
        <w:t>The previous two Expert Groups covered a</w:t>
      </w:r>
      <w:r w:rsidR="003161EE">
        <w:rPr>
          <w:rFonts w:asciiTheme="minorHAnsi" w:hAnsiTheme="minorHAnsi" w:cstheme="minorHAnsi"/>
          <w:color w:val="000000" w:themeColor="text1"/>
          <w:lang w:val="en-US"/>
        </w:rPr>
        <w:t> </w:t>
      </w:r>
      <w:r w:rsidRPr="00104DE0">
        <w:rPr>
          <w:rFonts w:asciiTheme="minorHAnsi" w:hAnsiTheme="minorHAnsi" w:cstheme="minorHAnsi"/>
          <w:color w:val="000000" w:themeColor="text1"/>
          <w:lang w:val="en-US"/>
        </w:rPr>
        <w:t>wide range of issues and a</w:t>
      </w:r>
      <w:r w:rsidR="003161EE">
        <w:rPr>
          <w:rFonts w:asciiTheme="minorHAnsi" w:hAnsiTheme="minorHAnsi" w:cstheme="minorHAnsi"/>
          <w:color w:val="000000" w:themeColor="text1"/>
          <w:lang w:val="en-US"/>
        </w:rPr>
        <w:t> </w:t>
      </w:r>
      <w:r w:rsidRPr="00104DE0">
        <w:rPr>
          <w:rFonts w:asciiTheme="minorHAnsi" w:hAnsiTheme="minorHAnsi" w:cstheme="minorHAnsi"/>
          <w:color w:val="000000" w:themeColor="text1"/>
          <w:lang w:val="en-US"/>
        </w:rPr>
        <w:t xml:space="preserve">range of inputs. These included legal analysis, considering new trends and emerging technology, the views of the directors of the </w:t>
      </w:r>
      <w:proofErr w:type="spellStart"/>
      <w:r w:rsidRPr="00104DE0">
        <w:rPr>
          <w:rFonts w:asciiTheme="minorHAnsi" w:hAnsiTheme="minorHAnsi" w:cstheme="minorHAnsi"/>
          <w:color w:val="000000" w:themeColor="text1"/>
          <w:lang w:val="en-US"/>
        </w:rPr>
        <w:t>Bureaux</w:t>
      </w:r>
      <w:proofErr w:type="spellEnd"/>
      <w:r w:rsidRPr="00104DE0">
        <w:rPr>
          <w:rFonts w:asciiTheme="minorHAnsi" w:hAnsiTheme="minorHAnsi" w:cstheme="minorHAnsi"/>
          <w:color w:val="000000" w:themeColor="text1"/>
          <w:lang w:val="en-US"/>
        </w:rPr>
        <w:t xml:space="preserve">, contributions from private sector operators and the diverse views of </w:t>
      </w:r>
      <w:r w:rsidR="007917E7" w:rsidRPr="00104DE0">
        <w:rPr>
          <w:rFonts w:asciiTheme="minorHAnsi" w:hAnsiTheme="minorHAnsi" w:cstheme="minorHAnsi"/>
          <w:color w:val="000000" w:themeColor="text1"/>
          <w:lang w:val="en-US"/>
        </w:rPr>
        <w:t>Member States</w:t>
      </w:r>
      <w:r w:rsidRPr="00104DE0">
        <w:rPr>
          <w:rFonts w:asciiTheme="minorHAnsi" w:hAnsiTheme="minorHAnsi" w:cstheme="minorHAnsi"/>
          <w:color w:val="000000" w:themeColor="text1"/>
          <w:lang w:val="en-US"/>
        </w:rPr>
        <w:t xml:space="preserve">. </w:t>
      </w:r>
      <w:r w:rsidR="008D25EC">
        <w:rPr>
          <w:rFonts w:asciiTheme="minorHAnsi" w:hAnsiTheme="minorHAnsi" w:cstheme="minorHAnsi"/>
          <w:color w:val="000000" w:themeColor="text1"/>
          <w:lang w:val="en-US"/>
        </w:rPr>
        <w:t>We should now take work into our consideration, as set out in our Terms of Reference, and include these findings in the report of the Group</w:t>
      </w:r>
      <w:r w:rsidR="00685F1A" w:rsidRPr="00104DE0">
        <w:rPr>
          <w:rFonts w:asciiTheme="minorHAnsi" w:hAnsiTheme="minorHAnsi" w:cstheme="minorHAnsi"/>
          <w:color w:val="000000" w:themeColor="text1"/>
          <w:lang w:val="en-US"/>
        </w:rPr>
        <w:t xml:space="preserve">. </w:t>
      </w:r>
    </w:p>
    <w:p w14:paraId="6B9DDC05" w14:textId="77777777" w:rsidR="007917E7" w:rsidRDefault="007917E7">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b/>
          <w:bCs/>
          <w:color w:val="000000" w:themeColor="text1"/>
          <w:sz w:val="28"/>
          <w:szCs w:val="28"/>
          <w:lang w:val="es-ES"/>
        </w:rPr>
      </w:pPr>
      <w:r>
        <w:rPr>
          <w:rFonts w:asciiTheme="minorHAnsi" w:hAnsiTheme="minorHAnsi" w:cstheme="minorHAnsi"/>
          <w:b/>
          <w:bCs/>
          <w:color w:val="000000" w:themeColor="text1"/>
          <w:sz w:val="28"/>
          <w:szCs w:val="28"/>
          <w:lang w:val="es-ES"/>
        </w:rPr>
        <w:br w:type="page"/>
      </w:r>
    </w:p>
    <w:p w14:paraId="447A0E97" w14:textId="39A78B75" w:rsidR="00241B5A" w:rsidRPr="004F3630" w:rsidRDefault="00241B5A" w:rsidP="007917E7">
      <w:pPr>
        <w:tabs>
          <w:tab w:val="clear" w:pos="567"/>
          <w:tab w:val="clear" w:pos="1134"/>
          <w:tab w:val="clear" w:pos="1701"/>
          <w:tab w:val="clear" w:pos="2268"/>
          <w:tab w:val="clear" w:pos="2835"/>
        </w:tabs>
        <w:overflowPunct/>
        <w:autoSpaceDE/>
        <w:autoSpaceDN/>
        <w:adjustRightInd/>
        <w:spacing w:before="0" w:line="276" w:lineRule="auto"/>
        <w:jc w:val="center"/>
        <w:textAlignment w:val="auto"/>
        <w:rPr>
          <w:rFonts w:asciiTheme="minorHAnsi" w:hAnsiTheme="minorHAnsi" w:cstheme="minorHAnsi"/>
          <w:b/>
          <w:bCs/>
          <w:color w:val="000000" w:themeColor="text1"/>
          <w:sz w:val="28"/>
          <w:szCs w:val="28"/>
          <w:lang w:val="es-ES"/>
        </w:rPr>
      </w:pPr>
      <w:bookmarkStart w:id="12" w:name="AnnexA"/>
      <w:r w:rsidRPr="004F3630">
        <w:rPr>
          <w:rFonts w:asciiTheme="minorHAnsi" w:hAnsiTheme="minorHAnsi" w:cstheme="minorHAnsi"/>
          <w:b/>
          <w:bCs/>
          <w:color w:val="000000" w:themeColor="text1"/>
          <w:sz w:val="28"/>
          <w:szCs w:val="28"/>
          <w:lang w:val="es-ES"/>
        </w:rPr>
        <w:t>ANNEX A</w:t>
      </w:r>
      <w:bookmarkEnd w:id="12"/>
    </w:p>
    <w:p w14:paraId="2A164C95" w14:textId="77777777" w:rsidR="00241B5A" w:rsidRPr="00104DE0" w:rsidRDefault="00241B5A" w:rsidP="00B61E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color w:val="000000" w:themeColor="text1"/>
          <w:szCs w:val="24"/>
          <w:lang w:val="es-ES"/>
        </w:rPr>
      </w:pPr>
    </w:p>
    <w:p w14:paraId="623CE3AF" w14:textId="1F8204B5" w:rsidR="00241B5A" w:rsidRPr="00F15E4D" w:rsidRDefault="00241B5A" w:rsidP="00B61E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b/>
          <w:bCs/>
          <w:color w:val="000000" w:themeColor="text1"/>
          <w:szCs w:val="24"/>
          <w:lang w:val="es-ES"/>
        </w:rPr>
      </w:pPr>
      <w:proofErr w:type="spellStart"/>
      <w:r w:rsidRPr="00F15E4D">
        <w:rPr>
          <w:rFonts w:asciiTheme="minorHAnsi" w:hAnsiTheme="minorHAnsi" w:cstheme="minorHAnsi"/>
          <w:b/>
          <w:bCs/>
          <w:color w:val="000000" w:themeColor="text1"/>
          <w:szCs w:val="24"/>
          <w:lang w:val="es-ES"/>
        </w:rPr>
        <w:t>Terms</w:t>
      </w:r>
      <w:proofErr w:type="spellEnd"/>
      <w:r w:rsidRPr="00F15E4D">
        <w:rPr>
          <w:rFonts w:asciiTheme="minorHAnsi" w:hAnsiTheme="minorHAnsi" w:cstheme="minorHAnsi"/>
          <w:b/>
          <w:bCs/>
          <w:color w:val="000000" w:themeColor="text1"/>
          <w:szCs w:val="24"/>
          <w:lang w:val="es-ES"/>
        </w:rPr>
        <w:t xml:space="preserve"> of Reference of the First Expert Group</w:t>
      </w:r>
    </w:p>
    <w:p w14:paraId="1BBF87E1" w14:textId="77777777" w:rsidR="00241B5A" w:rsidRPr="00F15E4D" w:rsidRDefault="00241B5A" w:rsidP="00B61E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color w:val="000000" w:themeColor="text1"/>
          <w:szCs w:val="24"/>
          <w:lang w:val="es-ES"/>
        </w:rPr>
      </w:pPr>
    </w:p>
    <w:p w14:paraId="1F2CC731" w14:textId="76422B38" w:rsidR="00F15E4D" w:rsidRPr="00F15E4D" w:rsidRDefault="00F15E4D" w:rsidP="00F15E4D">
      <w:pPr>
        <w:keepNext/>
        <w:tabs>
          <w:tab w:val="clear" w:pos="567"/>
          <w:tab w:val="clear" w:pos="1134"/>
          <w:tab w:val="clear" w:pos="1701"/>
          <w:tab w:val="clear" w:pos="2268"/>
          <w:tab w:val="clear" w:pos="2835"/>
        </w:tabs>
        <w:overflowPunct/>
        <w:autoSpaceDE/>
        <w:autoSpaceDN/>
        <w:adjustRightInd/>
        <w:snapToGrid w:val="0"/>
        <w:spacing w:after="120"/>
        <w:ind w:left="709"/>
        <w:jc w:val="both"/>
        <w:textAlignment w:val="auto"/>
        <w:rPr>
          <w:rFonts w:asciiTheme="minorHAnsi" w:eastAsia="SimSun" w:hAnsiTheme="minorHAnsi" w:cs="Arial"/>
          <w:szCs w:val="24"/>
          <w:lang w:val="en-US" w:eastAsia="zh-CN"/>
        </w:rPr>
      </w:pPr>
      <w:r w:rsidRPr="00F15E4D">
        <w:rPr>
          <w:rFonts w:asciiTheme="minorHAnsi" w:eastAsia="SimSun" w:hAnsiTheme="minorHAnsi" w:cs="Arial"/>
          <w:szCs w:val="24"/>
          <w:lang w:val="en-US" w:eastAsia="zh-CN"/>
        </w:rPr>
        <w:t>1.</w:t>
      </w:r>
      <w:r w:rsidRPr="00F15E4D">
        <w:rPr>
          <w:rFonts w:asciiTheme="minorHAnsi" w:eastAsia="SimSun" w:hAnsiTheme="minorHAnsi" w:cs="Arial"/>
          <w:szCs w:val="24"/>
          <w:lang w:val="en-US" w:eastAsia="zh-CN"/>
        </w:rPr>
        <w:tab/>
        <w:t xml:space="preserve">On the basis of contributions submitted by Member States, Sector Members and inputs from the Directors of the </w:t>
      </w:r>
      <w:proofErr w:type="spellStart"/>
      <w:r w:rsidRPr="00F15E4D">
        <w:rPr>
          <w:rFonts w:asciiTheme="minorHAnsi" w:eastAsia="SimSun" w:hAnsiTheme="minorHAnsi" w:cs="Arial"/>
          <w:szCs w:val="24"/>
          <w:lang w:val="en-US" w:eastAsia="zh-CN"/>
        </w:rPr>
        <w:t>Bureaux</w:t>
      </w:r>
      <w:proofErr w:type="spellEnd"/>
      <w:r w:rsidRPr="00F15E4D">
        <w:rPr>
          <w:rFonts w:asciiTheme="minorHAnsi" w:eastAsia="SimSun" w:hAnsiTheme="minorHAnsi" w:cs="Arial"/>
          <w:szCs w:val="24"/>
          <w:lang w:val="en-US" w:eastAsia="zh-CN"/>
        </w:rPr>
        <w:t xml:space="preserve"> if necessary, the EG-ITRs shall undertake a</w:t>
      </w:r>
      <w:r w:rsidR="003161EE">
        <w:rPr>
          <w:rFonts w:asciiTheme="minorHAnsi" w:eastAsia="SimSun" w:hAnsiTheme="minorHAnsi" w:cs="Arial"/>
          <w:szCs w:val="24"/>
          <w:lang w:val="en-US" w:eastAsia="zh-CN"/>
        </w:rPr>
        <w:t> </w:t>
      </w:r>
      <w:r w:rsidRPr="00F15E4D">
        <w:rPr>
          <w:rFonts w:asciiTheme="minorHAnsi" w:eastAsia="SimSun" w:hAnsiTheme="minorHAnsi" w:cs="Arial"/>
          <w:szCs w:val="24"/>
          <w:lang w:val="en-US" w:eastAsia="zh-CN"/>
        </w:rPr>
        <w:t xml:space="preserve">review </w:t>
      </w:r>
      <w:r w:rsidRPr="00F15E4D">
        <w:rPr>
          <w:rFonts w:asciiTheme="minorHAnsi" w:eastAsia="SimSun" w:hAnsiTheme="minorHAnsi" w:cs="Arial"/>
          <w:spacing w:val="4"/>
          <w:szCs w:val="24"/>
          <w:lang w:val="en-US" w:eastAsia="zh-CN"/>
        </w:rPr>
        <w:t>of the 2012 ITRs, taking into account new trends in telecommunications/ICT, emerging issues and obstacles that may arise from the implementation of the 2012 ITRs and</w:t>
      </w:r>
      <w:r w:rsidRPr="00F15E4D">
        <w:rPr>
          <w:rFonts w:asciiTheme="minorHAnsi" w:eastAsia="SimSun" w:hAnsiTheme="minorHAnsi" w:cs="Arial"/>
          <w:szCs w:val="24"/>
          <w:lang w:val="en-US" w:eastAsia="zh-CN"/>
        </w:rPr>
        <w:t xml:space="preserve"> WCIT-12 Resolutions and Recommendations.</w:t>
      </w:r>
    </w:p>
    <w:p w14:paraId="13E25D8C" w14:textId="77777777" w:rsidR="00F15E4D" w:rsidRPr="00F15E4D" w:rsidRDefault="00F15E4D" w:rsidP="00F15E4D">
      <w:pPr>
        <w:tabs>
          <w:tab w:val="clear" w:pos="567"/>
          <w:tab w:val="clear" w:pos="1134"/>
          <w:tab w:val="clear" w:pos="1701"/>
          <w:tab w:val="clear" w:pos="2268"/>
          <w:tab w:val="clear" w:pos="2835"/>
        </w:tabs>
        <w:overflowPunct/>
        <w:autoSpaceDE/>
        <w:autoSpaceDN/>
        <w:adjustRightInd/>
        <w:snapToGrid w:val="0"/>
        <w:spacing w:after="120"/>
        <w:ind w:left="1418" w:hanging="709"/>
        <w:jc w:val="both"/>
        <w:textAlignment w:val="auto"/>
        <w:rPr>
          <w:rFonts w:asciiTheme="minorHAnsi" w:eastAsia="SimSun" w:hAnsiTheme="minorHAnsi" w:cs="Arial"/>
          <w:szCs w:val="24"/>
          <w:lang w:val="en-US" w:eastAsia="zh-CN"/>
        </w:rPr>
      </w:pPr>
      <w:r w:rsidRPr="00F15E4D">
        <w:rPr>
          <w:rFonts w:asciiTheme="minorHAnsi" w:eastAsia="SimSun" w:hAnsiTheme="minorHAnsi" w:cs="Arial"/>
          <w:szCs w:val="24"/>
          <w:lang w:val="en-US" w:eastAsia="zh-CN"/>
        </w:rPr>
        <w:t>2.</w:t>
      </w:r>
      <w:r w:rsidRPr="00F15E4D">
        <w:rPr>
          <w:rFonts w:asciiTheme="minorHAnsi" w:eastAsia="SimSun" w:hAnsiTheme="minorHAnsi" w:cs="Arial"/>
          <w:szCs w:val="24"/>
          <w:lang w:val="en-US" w:eastAsia="zh-CN"/>
        </w:rPr>
        <w:tab/>
        <w:t>The review should include among others:</w:t>
      </w:r>
    </w:p>
    <w:p w14:paraId="6E2B86EB" w14:textId="6421E9AE" w:rsidR="00F15E4D" w:rsidRPr="00F15E4D" w:rsidRDefault="00F15E4D" w:rsidP="00F15E4D">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szCs w:val="24"/>
          <w:lang w:val="en-US" w:eastAsia="zh-CN"/>
        </w:rPr>
      </w:pPr>
      <w:r w:rsidRPr="00F15E4D">
        <w:rPr>
          <w:rFonts w:asciiTheme="minorHAnsi" w:eastAsia="SimSun" w:hAnsiTheme="minorHAnsi" w:cs="Arial"/>
          <w:szCs w:val="24"/>
          <w:lang w:val="en-US" w:eastAsia="zh-CN"/>
        </w:rPr>
        <w:t xml:space="preserve">a) </w:t>
      </w:r>
      <w:r w:rsidRPr="00F15E4D">
        <w:rPr>
          <w:rFonts w:asciiTheme="minorHAnsi" w:eastAsia="SimSun" w:hAnsiTheme="minorHAnsi" w:cs="Arial"/>
          <w:szCs w:val="24"/>
          <w:lang w:val="en-US" w:eastAsia="zh-CN"/>
        </w:rPr>
        <w:tab/>
        <w:t>An examination of the 2012 ITRs to determine its applicability in a</w:t>
      </w:r>
      <w:r w:rsidR="003161EE">
        <w:rPr>
          <w:rFonts w:asciiTheme="minorHAnsi" w:eastAsia="SimSun" w:hAnsiTheme="minorHAnsi" w:cs="Arial"/>
          <w:szCs w:val="24"/>
          <w:lang w:val="en-US" w:eastAsia="zh-CN"/>
        </w:rPr>
        <w:t> </w:t>
      </w:r>
      <w:r w:rsidRPr="00F15E4D">
        <w:rPr>
          <w:rFonts w:asciiTheme="minorHAnsi" w:eastAsia="SimSun" w:hAnsiTheme="minorHAnsi" w:cs="Arial"/>
          <w:szCs w:val="24"/>
          <w:lang w:val="en-US" w:eastAsia="zh-CN"/>
        </w:rPr>
        <w:t>rapidly evolving international telecommunication environment, taking into account technology, services and existing multilateral and international legal obligations as well as changes in the scope of domestic regulatory regimes;</w:t>
      </w:r>
    </w:p>
    <w:p w14:paraId="16E3D504" w14:textId="77777777" w:rsidR="00F15E4D" w:rsidRPr="00F15E4D" w:rsidRDefault="00F15E4D" w:rsidP="00F15E4D">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szCs w:val="24"/>
          <w:lang w:val="en-US" w:eastAsia="zh-CN"/>
        </w:rPr>
      </w:pPr>
      <w:r w:rsidRPr="00F15E4D">
        <w:rPr>
          <w:rFonts w:asciiTheme="minorHAnsi" w:eastAsia="SimSun" w:hAnsiTheme="minorHAnsi" w:cs="Arial"/>
          <w:szCs w:val="24"/>
          <w:lang w:val="en-US" w:eastAsia="zh-CN"/>
        </w:rPr>
        <w:t xml:space="preserve">b) </w:t>
      </w:r>
      <w:r w:rsidRPr="00F15E4D">
        <w:rPr>
          <w:rFonts w:asciiTheme="minorHAnsi" w:eastAsia="SimSun" w:hAnsiTheme="minorHAnsi" w:cs="Arial"/>
          <w:szCs w:val="24"/>
          <w:lang w:val="en-US" w:eastAsia="zh-CN"/>
        </w:rPr>
        <w:tab/>
        <w:t>Legal analyses of the 2012 ITRs;</w:t>
      </w:r>
    </w:p>
    <w:p w14:paraId="3D6FC6A8" w14:textId="77777777" w:rsidR="00F15E4D" w:rsidRPr="00F15E4D" w:rsidRDefault="00F15E4D" w:rsidP="00F15E4D">
      <w:pPr>
        <w:tabs>
          <w:tab w:val="clear" w:pos="567"/>
          <w:tab w:val="clear" w:pos="1134"/>
          <w:tab w:val="clear" w:pos="1701"/>
          <w:tab w:val="clear" w:pos="2268"/>
          <w:tab w:val="clear" w:pos="2835"/>
        </w:tabs>
        <w:overflowPunct/>
        <w:autoSpaceDE/>
        <w:autoSpaceDN/>
        <w:adjustRightInd/>
        <w:snapToGrid w:val="0"/>
        <w:spacing w:after="120"/>
        <w:ind w:left="1418" w:hanging="425"/>
        <w:jc w:val="both"/>
        <w:textAlignment w:val="auto"/>
        <w:rPr>
          <w:rFonts w:asciiTheme="minorHAnsi" w:eastAsia="SimSun" w:hAnsiTheme="minorHAnsi" w:cs="Arial"/>
          <w:szCs w:val="24"/>
          <w:lang w:val="en-US" w:eastAsia="zh-CN"/>
        </w:rPr>
      </w:pPr>
      <w:r w:rsidRPr="00F15E4D">
        <w:rPr>
          <w:rFonts w:asciiTheme="minorHAnsi" w:eastAsia="SimSun" w:hAnsiTheme="minorHAnsi" w:cs="Arial"/>
          <w:szCs w:val="24"/>
          <w:lang w:val="en-US" w:eastAsia="zh-CN"/>
        </w:rPr>
        <w:t xml:space="preserve">c) </w:t>
      </w:r>
      <w:r w:rsidRPr="00F15E4D">
        <w:rPr>
          <w:rFonts w:asciiTheme="minorHAnsi" w:eastAsia="SimSun" w:hAnsiTheme="minorHAnsi" w:cs="Arial"/>
          <w:szCs w:val="24"/>
          <w:lang w:val="en-US" w:eastAsia="zh-CN"/>
        </w:rPr>
        <w:tab/>
        <w:t>Analyses of any potential conflicts between the obligations of signatories to the 2012 ITRs and signatories to the 1988 ITRs with respect to implementation of the provisions of the 1988 and the 2012 ITRs.</w:t>
      </w:r>
    </w:p>
    <w:p w14:paraId="0424EA76" w14:textId="41B7F437" w:rsidR="00F15E4D" w:rsidRPr="00F15E4D" w:rsidRDefault="00F15E4D" w:rsidP="00F15E4D">
      <w:pPr>
        <w:tabs>
          <w:tab w:val="clear" w:pos="567"/>
          <w:tab w:val="clear" w:pos="1134"/>
          <w:tab w:val="clear" w:pos="1701"/>
          <w:tab w:val="clear" w:pos="2268"/>
          <w:tab w:val="clear" w:pos="2835"/>
        </w:tabs>
        <w:overflowPunct/>
        <w:autoSpaceDE/>
        <w:autoSpaceDN/>
        <w:adjustRightInd/>
        <w:snapToGrid w:val="0"/>
        <w:spacing w:after="120"/>
        <w:ind w:left="1418" w:hanging="709"/>
        <w:jc w:val="both"/>
        <w:textAlignment w:val="auto"/>
        <w:rPr>
          <w:rFonts w:asciiTheme="minorHAnsi" w:eastAsia="SimSun" w:hAnsiTheme="minorHAnsi" w:cs="Arial"/>
          <w:szCs w:val="24"/>
          <w:lang w:val="en-US" w:eastAsia="zh-CN"/>
        </w:rPr>
      </w:pPr>
      <w:r w:rsidRPr="00F15E4D">
        <w:rPr>
          <w:rFonts w:asciiTheme="minorHAnsi" w:eastAsia="SimSun" w:hAnsiTheme="minorHAnsi" w:cs="Arial"/>
          <w:szCs w:val="24"/>
          <w:lang w:val="en-US" w:eastAsia="zh-CN"/>
        </w:rPr>
        <w:t>3.</w:t>
      </w:r>
      <w:r w:rsidRPr="00F15E4D">
        <w:rPr>
          <w:rFonts w:asciiTheme="minorHAnsi" w:eastAsia="SimSun" w:hAnsiTheme="minorHAnsi" w:cs="Arial"/>
          <w:szCs w:val="24"/>
          <w:lang w:val="en-US" w:eastAsia="zh-CN"/>
        </w:rPr>
        <w:tab/>
        <w:t>The EG-ITRs will present a</w:t>
      </w:r>
      <w:r w:rsidR="003161EE">
        <w:rPr>
          <w:rFonts w:asciiTheme="minorHAnsi" w:eastAsia="SimSun" w:hAnsiTheme="minorHAnsi" w:cs="Arial"/>
          <w:szCs w:val="24"/>
          <w:lang w:val="en-US" w:eastAsia="zh-CN"/>
        </w:rPr>
        <w:t> </w:t>
      </w:r>
      <w:r w:rsidRPr="00F15E4D">
        <w:rPr>
          <w:rFonts w:asciiTheme="minorHAnsi" w:eastAsia="SimSun" w:hAnsiTheme="minorHAnsi" w:cs="Arial"/>
          <w:szCs w:val="24"/>
          <w:lang w:val="en-US" w:eastAsia="zh-CN"/>
        </w:rPr>
        <w:t>progress report to Council 2017 and a</w:t>
      </w:r>
      <w:r w:rsidR="003161EE">
        <w:rPr>
          <w:rFonts w:asciiTheme="minorHAnsi" w:eastAsia="SimSun" w:hAnsiTheme="minorHAnsi" w:cs="Arial"/>
          <w:szCs w:val="24"/>
          <w:lang w:val="en-US" w:eastAsia="zh-CN"/>
        </w:rPr>
        <w:t> </w:t>
      </w:r>
      <w:r w:rsidRPr="00F15E4D">
        <w:rPr>
          <w:rFonts w:asciiTheme="minorHAnsi" w:eastAsia="SimSun" w:hAnsiTheme="minorHAnsi" w:cs="Arial"/>
          <w:szCs w:val="24"/>
          <w:lang w:val="en-US" w:eastAsia="zh-CN"/>
        </w:rPr>
        <w:t>final report to Council 2018 for examination and submission to the 2018 Plenipotentiary Conference with the Council’s comments.</w:t>
      </w:r>
    </w:p>
    <w:p w14:paraId="494FDD19" w14:textId="77777777" w:rsidR="00241B5A" w:rsidRPr="00F15E4D" w:rsidRDefault="00241B5A" w:rsidP="00B61E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color w:val="000000" w:themeColor="text1"/>
          <w:szCs w:val="24"/>
          <w:lang w:val="es-ES"/>
        </w:rPr>
      </w:pPr>
    </w:p>
    <w:p w14:paraId="57707B32" w14:textId="2006BC23" w:rsidR="004F3630" w:rsidRPr="00F15E4D" w:rsidRDefault="004F3630" w:rsidP="00B61E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b/>
          <w:bCs/>
          <w:color w:val="000000" w:themeColor="text1"/>
          <w:szCs w:val="24"/>
          <w:lang w:val="es-ES"/>
        </w:rPr>
      </w:pPr>
      <w:proofErr w:type="spellStart"/>
      <w:r w:rsidRPr="00F15E4D">
        <w:rPr>
          <w:rFonts w:asciiTheme="minorHAnsi" w:hAnsiTheme="minorHAnsi" w:cstheme="minorHAnsi"/>
          <w:b/>
          <w:bCs/>
          <w:color w:val="000000" w:themeColor="text1"/>
          <w:szCs w:val="24"/>
          <w:lang w:val="es-ES"/>
        </w:rPr>
        <w:t>Terms</w:t>
      </w:r>
      <w:proofErr w:type="spellEnd"/>
      <w:r w:rsidRPr="00F15E4D">
        <w:rPr>
          <w:rFonts w:asciiTheme="minorHAnsi" w:hAnsiTheme="minorHAnsi" w:cstheme="minorHAnsi"/>
          <w:b/>
          <w:bCs/>
          <w:color w:val="000000" w:themeColor="text1"/>
          <w:szCs w:val="24"/>
          <w:lang w:val="es-ES"/>
        </w:rPr>
        <w:t xml:space="preserve"> of Reference of the </w:t>
      </w:r>
      <w:proofErr w:type="spellStart"/>
      <w:r w:rsidRPr="00F15E4D">
        <w:rPr>
          <w:rFonts w:asciiTheme="minorHAnsi" w:hAnsiTheme="minorHAnsi" w:cstheme="minorHAnsi"/>
          <w:b/>
          <w:bCs/>
          <w:color w:val="000000" w:themeColor="text1"/>
          <w:szCs w:val="24"/>
          <w:lang w:val="es-ES"/>
        </w:rPr>
        <w:t>Second</w:t>
      </w:r>
      <w:proofErr w:type="spellEnd"/>
      <w:r w:rsidRPr="00F15E4D">
        <w:rPr>
          <w:rFonts w:asciiTheme="minorHAnsi" w:hAnsiTheme="minorHAnsi" w:cstheme="minorHAnsi"/>
          <w:b/>
          <w:bCs/>
          <w:color w:val="000000" w:themeColor="text1"/>
          <w:szCs w:val="24"/>
          <w:lang w:val="es-ES"/>
        </w:rPr>
        <w:t xml:space="preserve"> Expert Group</w:t>
      </w:r>
    </w:p>
    <w:p w14:paraId="7FC54B00" w14:textId="77777777" w:rsidR="004F3630" w:rsidRPr="00F15E4D" w:rsidRDefault="004F3630" w:rsidP="00B61EF3">
      <w:pPr>
        <w:tabs>
          <w:tab w:val="clear" w:pos="567"/>
          <w:tab w:val="clear" w:pos="1134"/>
          <w:tab w:val="clear" w:pos="1701"/>
          <w:tab w:val="clear" w:pos="2268"/>
          <w:tab w:val="clear" w:pos="2835"/>
        </w:tabs>
        <w:overflowPunct/>
        <w:autoSpaceDE/>
        <w:autoSpaceDN/>
        <w:adjustRightInd/>
        <w:spacing w:before="0" w:line="276" w:lineRule="auto"/>
        <w:textAlignment w:val="auto"/>
        <w:rPr>
          <w:rFonts w:asciiTheme="minorHAnsi" w:hAnsiTheme="minorHAnsi" w:cstheme="minorHAnsi"/>
          <w:color w:val="000000" w:themeColor="text1"/>
          <w:szCs w:val="24"/>
          <w:lang w:val="es-ES"/>
        </w:rPr>
      </w:pPr>
    </w:p>
    <w:p w14:paraId="0219A308" w14:textId="06904773" w:rsidR="00B61EF3" w:rsidRPr="00F15E4D" w:rsidRDefault="00B61EF3" w:rsidP="00B61EF3">
      <w:pPr>
        <w:tabs>
          <w:tab w:val="clear" w:pos="567"/>
          <w:tab w:val="clear" w:pos="1134"/>
          <w:tab w:val="clear" w:pos="1701"/>
          <w:tab w:val="clear" w:pos="2268"/>
          <w:tab w:val="clear" w:pos="2835"/>
        </w:tabs>
        <w:overflowPunct/>
        <w:autoSpaceDE/>
        <w:autoSpaceDN/>
        <w:adjustRightInd/>
        <w:snapToGrid w:val="0"/>
        <w:spacing w:before="240" w:after="120"/>
        <w:ind w:left="720"/>
        <w:jc w:val="both"/>
        <w:textAlignment w:val="auto"/>
        <w:rPr>
          <w:rFonts w:eastAsia="Calibri" w:cs="Arial"/>
          <w:szCs w:val="24"/>
          <w:lang w:eastAsia="zh-CN"/>
        </w:rPr>
      </w:pPr>
      <w:r w:rsidRPr="00F15E4D">
        <w:rPr>
          <w:rFonts w:eastAsia="Calibri" w:cs="Arial"/>
          <w:szCs w:val="24"/>
          <w:lang w:eastAsia="zh-CN"/>
        </w:rPr>
        <w:t>1</w:t>
      </w:r>
      <w:r w:rsidRPr="00F15E4D">
        <w:rPr>
          <w:rFonts w:eastAsia="Calibri" w:cs="Arial"/>
          <w:szCs w:val="24"/>
          <w:lang w:eastAsia="zh-CN"/>
        </w:rPr>
        <w:tab/>
        <w:t>On the basis of contributions submitted by Member States, Sector Members and inputs from the Directors of the Bureaux if necessary, the EG-ITRs shall undertake a</w:t>
      </w:r>
      <w:r w:rsidR="003161EE">
        <w:rPr>
          <w:rFonts w:eastAsia="Calibri" w:cs="Arial"/>
          <w:szCs w:val="24"/>
          <w:lang w:eastAsia="zh-CN"/>
        </w:rPr>
        <w:t> </w:t>
      </w:r>
      <w:r w:rsidRPr="00F15E4D">
        <w:rPr>
          <w:rFonts w:eastAsia="Calibri" w:cs="Arial"/>
          <w:szCs w:val="24"/>
          <w:lang w:eastAsia="zh-CN"/>
        </w:rPr>
        <w:t>comprehensive review of the ITRs.</w:t>
      </w:r>
    </w:p>
    <w:p w14:paraId="2C901E48" w14:textId="0B3FDFFF" w:rsidR="00B61EF3" w:rsidRPr="00F15E4D" w:rsidRDefault="00B61EF3" w:rsidP="00B61EF3">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szCs w:val="24"/>
          <w:lang w:eastAsia="zh-CN"/>
        </w:rPr>
      </w:pPr>
      <w:r w:rsidRPr="00F15E4D">
        <w:rPr>
          <w:rFonts w:eastAsia="Calibri" w:cs="Arial"/>
          <w:szCs w:val="24"/>
          <w:lang w:eastAsia="zh-CN"/>
        </w:rPr>
        <w:t>2</w:t>
      </w:r>
      <w:r w:rsidRPr="00F15E4D">
        <w:rPr>
          <w:rFonts w:eastAsia="Calibri" w:cs="Arial"/>
          <w:szCs w:val="24"/>
          <w:lang w:eastAsia="zh-CN"/>
        </w:rPr>
        <w:tab/>
        <w:t>The EG-ITRs shall undertake a</w:t>
      </w:r>
      <w:r w:rsidR="003161EE">
        <w:rPr>
          <w:rFonts w:eastAsia="Calibri" w:cs="Arial"/>
          <w:szCs w:val="24"/>
          <w:lang w:eastAsia="zh-CN"/>
        </w:rPr>
        <w:t> </w:t>
      </w:r>
      <w:r w:rsidRPr="00F15E4D">
        <w:rPr>
          <w:rFonts w:eastAsia="Calibri" w:cs="Arial"/>
          <w:szCs w:val="24"/>
          <w:lang w:eastAsia="zh-CN"/>
        </w:rPr>
        <w:t>provision-by-provision examination of the ITRs, focusing on the 2012 ITRs, taking into account new trends in telecommunications/ICT and emerging issues in international telecommunications/ICT environment.</w:t>
      </w:r>
    </w:p>
    <w:p w14:paraId="2FE688BA" w14:textId="77777777" w:rsidR="00B61EF3" w:rsidRPr="00F15E4D" w:rsidRDefault="00B61EF3" w:rsidP="00B61EF3">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szCs w:val="24"/>
          <w:lang w:eastAsia="zh-CN"/>
        </w:rPr>
      </w:pPr>
      <w:r w:rsidRPr="00F15E4D">
        <w:rPr>
          <w:rFonts w:eastAsia="Calibri" w:cs="Arial"/>
          <w:szCs w:val="24"/>
          <w:lang w:eastAsia="zh-CN"/>
        </w:rPr>
        <w:t>3</w:t>
      </w:r>
      <w:r w:rsidRPr="00F15E4D">
        <w:rPr>
          <w:rFonts w:eastAsia="Calibri" w:cs="Arial"/>
          <w:szCs w:val="24"/>
          <w:lang w:eastAsia="zh-CN"/>
        </w:rPr>
        <w:tab/>
        <w:t>The review should include, among others:</w:t>
      </w:r>
    </w:p>
    <w:p w14:paraId="3A180683" w14:textId="77777777" w:rsidR="00B61EF3" w:rsidRPr="00F15E4D" w:rsidRDefault="00B61EF3" w:rsidP="00B61EF3">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szCs w:val="24"/>
          <w:lang w:eastAsia="zh-CN"/>
        </w:rPr>
      </w:pPr>
      <w:r w:rsidRPr="00F15E4D">
        <w:rPr>
          <w:rFonts w:eastAsia="Calibri" w:cs="Arial"/>
          <w:szCs w:val="24"/>
          <w:lang w:eastAsia="zh-CN"/>
        </w:rPr>
        <w:t>a)</w:t>
      </w:r>
      <w:r w:rsidRPr="00F15E4D">
        <w:rPr>
          <w:rFonts w:eastAsia="Calibri" w:cs="Arial"/>
          <w:szCs w:val="24"/>
          <w:lang w:eastAsia="zh-CN"/>
        </w:rPr>
        <w:tab/>
        <w:t>applicability of the provisions of the ITRs in fostering the provision and development of international telecommunication/ICT services and networks;</w:t>
      </w:r>
    </w:p>
    <w:p w14:paraId="46BE993F" w14:textId="77777777" w:rsidR="00B61EF3" w:rsidRPr="00F15E4D" w:rsidRDefault="00B61EF3" w:rsidP="00B61EF3">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eastAsia="Calibri" w:cs="Arial"/>
          <w:szCs w:val="24"/>
          <w:lang w:eastAsia="zh-CN"/>
        </w:rPr>
      </w:pPr>
      <w:r w:rsidRPr="00F15E4D">
        <w:rPr>
          <w:rFonts w:eastAsia="Calibri" w:cs="Arial"/>
          <w:szCs w:val="24"/>
          <w:lang w:eastAsia="zh-CN"/>
        </w:rPr>
        <w:t>b)</w:t>
      </w:r>
      <w:r w:rsidRPr="00F15E4D">
        <w:rPr>
          <w:rFonts w:eastAsia="Calibri" w:cs="Arial"/>
          <w:szCs w:val="24"/>
          <w:lang w:eastAsia="zh-CN"/>
        </w:rPr>
        <w:tab/>
        <w:t>flexibility of, or lack thereof, the provisions of the ITRs to accommodate new trends in telecommunications/ICT and emerging issues in international telecommunications/ICT environment;</w:t>
      </w:r>
    </w:p>
    <w:p w14:paraId="4A5413D0" w14:textId="27B9BC3F" w:rsidR="004F3630" w:rsidRPr="00F15E4D" w:rsidRDefault="00B61EF3" w:rsidP="00F15E4D">
      <w:pPr>
        <w:tabs>
          <w:tab w:val="clear" w:pos="567"/>
          <w:tab w:val="clear" w:pos="1134"/>
          <w:tab w:val="clear" w:pos="1701"/>
          <w:tab w:val="clear" w:pos="2268"/>
          <w:tab w:val="clear" w:pos="2835"/>
        </w:tabs>
        <w:overflowPunct/>
        <w:autoSpaceDE/>
        <w:autoSpaceDN/>
        <w:adjustRightInd/>
        <w:snapToGrid w:val="0"/>
        <w:spacing w:after="120"/>
        <w:ind w:left="720"/>
        <w:jc w:val="both"/>
        <w:textAlignment w:val="auto"/>
        <w:rPr>
          <w:rFonts w:asciiTheme="minorHAnsi" w:hAnsiTheme="minorHAnsi" w:cstheme="minorHAnsi"/>
          <w:color w:val="000000" w:themeColor="text1"/>
          <w:szCs w:val="24"/>
          <w:lang w:val="es-ES"/>
        </w:rPr>
      </w:pPr>
      <w:r w:rsidRPr="00F15E4D">
        <w:rPr>
          <w:rFonts w:eastAsia="Calibri" w:cs="Arial"/>
          <w:szCs w:val="24"/>
          <w:lang w:eastAsia="zh-CN"/>
        </w:rPr>
        <w:t>4</w:t>
      </w:r>
      <w:r w:rsidRPr="00F15E4D">
        <w:rPr>
          <w:rFonts w:eastAsia="Calibri" w:cs="Arial"/>
          <w:szCs w:val="24"/>
          <w:lang w:eastAsia="zh-CN"/>
        </w:rPr>
        <w:tab/>
        <w:t>The EG-ITRs will present a</w:t>
      </w:r>
      <w:r w:rsidR="003161EE">
        <w:rPr>
          <w:rFonts w:eastAsia="Calibri" w:cs="Arial"/>
          <w:szCs w:val="24"/>
          <w:lang w:eastAsia="zh-CN"/>
        </w:rPr>
        <w:t> </w:t>
      </w:r>
      <w:r w:rsidRPr="00F15E4D">
        <w:rPr>
          <w:rFonts w:eastAsia="Calibri" w:cs="Arial"/>
          <w:szCs w:val="24"/>
          <w:lang w:eastAsia="zh-CN"/>
        </w:rPr>
        <w:t>progress report reflecting all views on the ITRs review to Council 2020 and Council 2021, and a</w:t>
      </w:r>
      <w:r w:rsidR="003161EE">
        <w:rPr>
          <w:rFonts w:eastAsia="Calibri" w:cs="Arial"/>
          <w:szCs w:val="24"/>
          <w:lang w:eastAsia="zh-CN"/>
        </w:rPr>
        <w:t> </w:t>
      </w:r>
      <w:r w:rsidRPr="00F15E4D">
        <w:rPr>
          <w:rFonts w:eastAsia="Calibri" w:cs="Arial"/>
          <w:szCs w:val="24"/>
          <w:lang w:eastAsia="zh-CN"/>
        </w:rPr>
        <w:t>final report to Council 2022 for examination and submission to the 2022 Plenipotentiary Conference with the Council’s comments.</w:t>
      </w:r>
    </w:p>
    <w:sectPr w:rsidR="004F3630" w:rsidRPr="00F15E4D" w:rsidSect="00AD3606">
      <w:footerReference w:type="default" r:id="rId16"/>
      <w:headerReference w:type="first" r:id="rId17"/>
      <w:footerReference w:type="first" r:id="rId1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8BAD" w14:textId="77777777" w:rsidR="008B5BBD" w:rsidRDefault="008B5BBD">
      <w:r>
        <w:separator/>
      </w:r>
    </w:p>
  </w:endnote>
  <w:endnote w:type="continuationSeparator" w:id="0">
    <w:p w14:paraId="259F09B5" w14:textId="77777777" w:rsidR="008B5BBD" w:rsidRDefault="008B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3DF4BFF6" w:rsidR="00EE49E8" w:rsidRDefault="00EE49E8" w:rsidP="00EE49E8">
          <w:pPr>
            <w:pStyle w:val="Header"/>
            <w:jc w:val="left"/>
            <w:rPr>
              <w:noProof/>
            </w:rPr>
          </w:pPr>
        </w:p>
      </w:tc>
      <w:tc>
        <w:tcPr>
          <w:tcW w:w="8261" w:type="dxa"/>
        </w:tcPr>
        <w:p w14:paraId="2D49E76E" w14:textId="0B09AD09"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553825">
            <w:rPr>
              <w:bCs/>
            </w:rPr>
            <w:t>2</w:t>
          </w:r>
          <w:r w:rsidR="00A52C84" w:rsidRPr="00623AE3">
            <w:rPr>
              <w:bCs/>
            </w:rPr>
            <w:t>/</w:t>
          </w:r>
          <w:r w:rsidR="007917E7">
            <w:rPr>
              <w:bCs/>
            </w:rPr>
            <w:t>12</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52FED04C"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214A0A">
            <w:rPr>
              <w:bCs/>
            </w:rPr>
            <w:t>2</w:t>
          </w:r>
          <w:r w:rsidRPr="00623AE3">
            <w:rPr>
              <w:bCs/>
            </w:rPr>
            <w:t>/</w:t>
          </w:r>
          <w:r w:rsidR="007917E7">
            <w:rPr>
              <w:bCs/>
            </w:rPr>
            <w:t>12</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D4B4" w14:textId="77777777" w:rsidR="008B5BBD" w:rsidRDefault="008B5BBD">
      <w:r>
        <w:t>____________________</w:t>
      </w:r>
    </w:p>
  </w:footnote>
  <w:footnote w:type="continuationSeparator" w:id="0">
    <w:p w14:paraId="0195A90A" w14:textId="77777777" w:rsidR="008B5BBD" w:rsidRDefault="008B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3"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3"/>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7D13169F"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214A0A">
                            <w:rPr>
                              <w:sz w:val="20"/>
                            </w:rPr>
                            <w:t>Second</w:t>
                          </w:r>
                          <w:r w:rsidR="00130599" w:rsidRPr="00130599">
                            <w:rPr>
                              <w:sz w:val="20"/>
                            </w:rPr>
                            <w:t xml:space="preserve"> meeting </w:t>
                          </w:r>
                          <w:r w:rsidR="00214A0A">
                            <w:rPr>
                              <w:sz w:val="20"/>
                            </w:rPr>
                            <w:t>–</w:t>
                          </w:r>
                          <w:r w:rsidR="00130599" w:rsidRPr="00130599">
                            <w:rPr>
                              <w:sz w:val="20"/>
                            </w:rPr>
                            <w:t xml:space="preserve"> </w:t>
                          </w:r>
                          <w:r w:rsidR="00214A0A">
                            <w:rPr>
                              <w:sz w:val="20"/>
                            </w:rPr>
                            <w:t>29-30 January</w:t>
                          </w:r>
                          <w:r w:rsidR="00130599" w:rsidRPr="00130599">
                            <w:rPr>
                              <w:sz w:val="20"/>
                            </w:rPr>
                            <w:t xml:space="preserve">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" filled="f" stroked="f">
              <v:textbox style="mso-fit-shape-to-text:t">
                <w:txbxContent>
                  <w:p w14:paraId="0B44A3EE" w14:textId="7D13169F"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214A0A">
                      <w:rPr>
                        <w:sz w:val="20"/>
                      </w:rPr>
                      <w:t>Second</w:t>
                    </w:r>
                    <w:r w:rsidR="00130599" w:rsidRPr="00130599">
                      <w:rPr>
                        <w:sz w:val="20"/>
                      </w:rPr>
                      <w:t xml:space="preserve"> meeting </w:t>
                    </w:r>
                    <w:r w:rsidR="00214A0A">
                      <w:rPr>
                        <w:sz w:val="20"/>
                      </w:rPr>
                      <w:t>–</w:t>
                    </w:r>
                    <w:r w:rsidR="00130599" w:rsidRPr="00130599">
                      <w:rPr>
                        <w:sz w:val="20"/>
                      </w:rPr>
                      <w:t xml:space="preserve"> </w:t>
                    </w:r>
                    <w:r w:rsidR="00214A0A">
                      <w:rPr>
                        <w:sz w:val="20"/>
                      </w:rPr>
                      <w:t>29-30 January</w:t>
                    </w:r>
                    <w:r w:rsidR="00130599" w:rsidRPr="00130599">
                      <w:rPr>
                        <w:sz w:val="20"/>
                      </w:rPr>
                      <w:t xml:space="preserve"> 2023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54501"/>
    <w:multiLevelType w:val="hybridMultilevel"/>
    <w:tmpl w:val="FA64792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A695CF9"/>
    <w:multiLevelType w:val="hybridMultilevel"/>
    <w:tmpl w:val="76DC5EE0"/>
    <w:lvl w:ilvl="0" w:tplc="EE8617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80633C"/>
    <w:multiLevelType w:val="hybridMultilevel"/>
    <w:tmpl w:val="CDBA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0895"/>
    <w:multiLevelType w:val="hybridMultilevel"/>
    <w:tmpl w:val="DF2C600E"/>
    <w:lvl w:ilvl="0" w:tplc="FFFFFFFF">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33037"/>
    <w:multiLevelType w:val="hybridMultilevel"/>
    <w:tmpl w:val="985224FE"/>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85A4F"/>
    <w:multiLevelType w:val="hybridMultilevel"/>
    <w:tmpl w:val="0F7E998A"/>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3B6629"/>
    <w:multiLevelType w:val="hybridMultilevel"/>
    <w:tmpl w:val="DECCD14C"/>
    <w:lvl w:ilvl="0" w:tplc="F7C28D86">
      <w:start w:val="1"/>
      <w:numFmt w:val="lowerLetter"/>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D8D7C71"/>
    <w:multiLevelType w:val="hybridMultilevel"/>
    <w:tmpl w:val="95A2EB36"/>
    <w:lvl w:ilvl="0" w:tplc="3F82EBBE">
      <w:start w:val="1"/>
      <w:numFmt w:val="lowerLetter"/>
      <w:lvlText w:val="%1)"/>
      <w:lvlJc w:val="left"/>
      <w:pPr>
        <w:ind w:left="1440" w:hanging="720"/>
      </w:pPr>
      <w:rPr>
        <w:rFonts w:hint="default"/>
      </w:rPr>
    </w:lvl>
    <w:lvl w:ilvl="1" w:tplc="09242674">
      <w:start w:val="1"/>
      <w:numFmt w:val="decimal"/>
      <w:lvlText w:val="%2"/>
      <w:lvlJc w:val="left"/>
      <w:pPr>
        <w:ind w:left="2000" w:hanging="5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65734C9"/>
    <w:multiLevelType w:val="hybridMultilevel"/>
    <w:tmpl w:val="F03E3FE2"/>
    <w:lvl w:ilvl="0" w:tplc="FFFFFFFF">
      <w:start w:val="1"/>
      <w:numFmt w:val="decimal"/>
      <w:lvlText w:val="%1."/>
      <w:lvlJc w:val="left"/>
      <w:pPr>
        <w:ind w:left="720" w:hanging="360"/>
      </w:pPr>
      <w:rPr>
        <w:b w:val="0"/>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A211C98"/>
    <w:multiLevelType w:val="hybridMultilevel"/>
    <w:tmpl w:val="1E2847B2"/>
    <w:lvl w:ilvl="0" w:tplc="04090019">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559E4AD0"/>
    <w:multiLevelType w:val="hybridMultilevel"/>
    <w:tmpl w:val="E0723B12"/>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15:restartNumberingAfterBreak="0">
    <w:nsid w:val="58173A68"/>
    <w:multiLevelType w:val="hybridMultilevel"/>
    <w:tmpl w:val="B6CAEDE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8D121B"/>
    <w:multiLevelType w:val="hybridMultilevel"/>
    <w:tmpl w:val="892E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6A1AD8"/>
    <w:multiLevelType w:val="hybridMultilevel"/>
    <w:tmpl w:val="83F6E1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421BBE"/>
    <w:multiLevelType w:val="hybridMultilevel"/>
    <w:tmpl w:val="1EA865F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0025410"/>
    <w:multiLevelType w:val="hybridMultilevel"/>
    <w:tmpl w:val="68D657CA"/>
    <w:lvl w:ilvl="0" w:tplc="3F82EBBE">
      <w:start w:val="1"/>
      <w:numFmt w:val="lowerLetter"/>
      <w:lvlText w:val="%1)"/>
      <w:lvlJc w:val="left"/>
      <w:pPr>
        <w:ind w:left="144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CE25AE"/>
    <w:multiLevelType w:val="hybridMultilevel"/>
    <w:tmpl w:val="5B820EBA"/>
    <w:lvl w:ilvl="0" w:tplc="3F82EBBE">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717B21"/>
    <w:multiLevelType w:val="hybridMultilevel"/>
    <w:tmpl w:val="E374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8741148">
    <w:abstractNumId w:val="0"/>
  </w:num>
  <w:num w:numId="2" w16cid:durableId="445856661">
    <w:abstractNumId w:val="2"/>
  </w:num>
  <w:num w:numId="3" w16cid:durableId="1054892374">
    <w:abstractNumId w:val="9"/>
  </w:num>
  <w:num w:numId="4" w16cid:durableId="628049175">
    <w:abstractNumId w:val="3"/>
  </w:num>
  <w:num w:numId="5" w16cid:durableId="605774376">
    <w:abstractNumId w:val="2"/>
  </w:num>
  <w:num w:numId="6" w16cid:durableId="1913275801">
    <w:abstractNumId w:val="10"/>
  </w:num>
  <w:num w:numId="7" w16cid:durableId="451093174">
    <w:abstractNumId w:val="11"/>
  </w:num>
  <w:num w:numId="8" w16cid:durableId="636566605">
    <w:abstractNumId w:val="4"/>
  </w:num>
  <w:num w:numId="9" w16cid:durableId="898321930">
    <w:abstractNumId w:val="8"/>
  </w:num>
  <w:num w:numId="10" w16cid:durableId="1702394230">
    <w:abstractNumId w:val="7"/>
  </w:num>
  <w:num w:numId="11" w16cid:durableId="706369821">
    <w:abstractNumId w:val="16"/>
  </w:num>
  <w:num w:numId="12" w16cid:durableId="340394907">
    <w:abstractNumId w:val="17"/>
  </w:num>
  <w:num w:numId="13" w16cid:durableId="1475367993">
    <w:abstractNumId w:val="5"/>
  </w:num>
  <w:num w:numId="14" w16cid:durableId="1056778510">
    <w:abstractNumId w:val="15"/>
  </w:num>
  <w:num w:numId="15" w16cid:durableId="1037510787">
    <w:abstractNumId w:val="6"/>
  </w:num>
  <w:num w:numId="16" w16cid:durableId="227496839">
    <w:abstractNumId w:val="12"/>
  </w:num>
  <w:num w:numId="17" w16cid:durableId="1458452434">
    <w:abstractNumId w:val="14"/>
  </w:num>
  <w:num w:numId="18" w16cid:durableId="1322811144">
    <w:abstractNumId w:val="1"/>
  </w:num>
  <w:num w:numId="19" w16cid:durableId="121118397">
    <w:abstractNumId w:val="13"/>
  </w:num>
  <w:num w:numId="20" w16cid:durableId="118567920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CH" w:vendorID="64" w:dllVersion="0"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27B87"/>
    <w:rsid w:val="00063016"/>
    <w:rsid w:val="00066795"/>
    <w:rsid w:val="000725E4"/>
    <w:rsid w:val="00076AF6"/>
    <w:rsid w:val="00085CF2"/>
    <w:rsid w:val="00087B26"/>
    <w:rsid w:val="000B1705"/>
    <w:rsid w:val="000B503A"/>
    <w:rsid w:val="000D75B2"/>
    <w:rsid w:val="00104DE0"/>
    <w:rsid w:val="001121F5"/>
    <w:rsid w:val="00130599"/>
    <w:rsid w:val="001400DC"/>
    <w:rsid w:val="00140CE1"/>
    <w:rsid w:val="0017539C"/>
    <w:rsid w:val="00175AC2"/>
    <w:rsid w:val="0017609F"/>
    <w:rsid w:val="001A7D1D"/>
    <w:rsid w:val="001B51DD"/>
    <w:rsid w:val="001C628E"/>
    <w:rsid w:val="001E0F7B"/>
    <w:rsid w:val="002119FD"/>
    <w:rsid w:val="002130E0"/>
    <w:rsid w:val="00214A0A"/>
    <w:rsid w:val="00241B5A"/>
    <w:rsid w:val="00244F7F"/>
    <w:rsid w:val="00257973"/>
    <w:rsid w:val="00264425"/>
    <w:rsid w:val="00265875"/>
    <w:rsid w:val="0027303B"/>
    <w:rsid w:val="0028109B"/>
    <w:rsid w:val="00291CBF"/>
    <w:rsid w:val="00293B38"/>
    <w:rsid w:val="002A2188"/>
    <w:rsid w:val="002B1F58"/>
    <w:rsid w:val="002C1C7A"/>
    <w:rsid w:val="002C54E2"/>
    <w:rsid w:val="0030160F"/>
    <w:rsid w:val="003161EE"/>
    <w:rsid w:val="00320223"/>
    <w:rsid w:val="00322D0D"/>
    <w:rsid w:val="003418D2"/>
    <w:rsid w:val="00356AE8"/>
    <w:rsid w:val="003600D1"/>
    <w:rsid w:val="00361465"/>
    <w:rsid w:val="0037680B"/>
    <w:rsid w:val="00385CA9"/>
    <w:rsid w:val="003877F5"/>
    <w:rsid w:val="003942D4"/>
    <w:rsid w:val="00394372"/>
    <w:rsid w:val="003958A8"/>
    <w:rsid w:val="0039632A"/>
    <w:rsid w:val="003A442F"/>
    <w:rsid w:val="003C2533"/>
    <w:rsid w:val="003C433E"/>
    <w:rsid w:val="003D5A7F"/>
    <w:rsid w:val="003F4BE1"/>
    <w:rsid w:val="004016E2"/>
    <w:rsid w:val="0040435A"/>
    <w:rsid w:val="0040728D"/>
    <w:rsid w:val="00416A24"/>
    <w:rsid w:val="00431D9E"/>
    <w:rsid w:val="00433CE8"/>
    <w:rsid w:val="00434A5C"/>
    <w:rsid w:val="004544D9"/>
    <w:rsid w:val="004647F8"/>
    <w:rsid w:val="004677EB"/>
    <w:rsid w:val="00472BAD"/>
    <w:rsid w:val="00484009"/>
    <w:rsid w:val="00490E72"/>
    <w:rsid w:val="00491157"/>
    <w:rsid w:val="004921C8"/>
    <w:rsid w:val="00495B0B"/>
    <w:rsid w:val="004A1B8B"/>
    <w:rsid w:val="004D1851"/>
    <w:rsid w:val="004D599D"/>
    <w:rsid w:val="004D648B"/>
    <w:rsid w:val="004E2EA5"/>
    <w:rsid w:val="004E3AEB"/>
    <w:rsid w:val="004F3630"/>
    <w:rsid w:val="0050223C"/>
    <w:rsid w:val="0052249C"/>
    <w:rsid w:val="005243FF"/>
    <w:rsid w:val="00553825"/>
    <w:rsid w:val="00564FBC"/>
    <w:rsid w:val="005800BC"/>
    <w:rsid w:val="00582442"/>
    <w:rsid w:val="00582469"/>
    <w:rsid w:val="0059491B"/>
    <w:rsid w:val="005A335D"/>
    <w:rsid w:val="005B485F"/>
    <w:rsid w:val="005E2BD5"/>
    <w:rsid w:val="005F3269"/>
    <w:rsid w:val="00616C10"/>
    <w:rsid w:val="00623AE3"/>
    <w:rsid w:val="00636853"/>
    <w:rsid w:val="00642F6C"/>
    <w:rsid w:val="0064737F"/>
    <w:rsid w:val="006535F1"/>
    <w:rsid w:val="0065557D"/>
    <w:rsid w:val="00660D50"/>
    <w:rsid w:val="00662984"/>
    <w:rsid w:val="006716BB"/>
    <w:rsid w:val="00685F1A"/>
    <w:rsid w:val="00695E4A"/>
    <w:rsid w:val="006B1859"/>
    <w:rsid w:val="006B6680"/>
    <w:rsid w:val="006B6DCC"/>
    <w:rsid w:val="006C11BB"/>
    <w:rsid w:val="00702DEF"/>
    <w:rsid w:val="00706861"/>
    <w:rsid w:val="00745D44"/>
    <w:rsid w:val="0075051B"/>
    <w:rsid w:val="00772982"/>
    <w:rsid w:val="00775655"/>
    <w:rsid w:val="007917E7"/>
    <w:rsid w:val="00793188"/>
    <w:rsid w:val="00794D34"/>
    <w:rsid w:val="00794DFC"/>
    <w:rsid w:val="00813E5E"/>
    <w:rsid w:val="0083581B"/>
    <w:rsid w:val="00863874"/>
    <w:rsid w:val="00864283"/>
    <w:rsid w:val="00864AFF"/>
    <w:rsid w:val="00865925"/>
    <w:rsid w:val="0088630E"/>
    <w:rsid w:val="008B4A6A"/>
    <w:rsid w:val="008B4D3D"/>
    <w:rsid w:val="008B5BBD"/>
    <w:rsid w:val="008C7E27"/>
    <w:rsid w:val="008D25EC"/>
    <w:rsid w:val="008F3461"/>
    <w:rsid w:val="008F7448"/>
    <w:rsid w:val="0090147A"/>
    <w:rsid w:val="00911EC2"/>
    <w:rsid w:val="009173EF"/>
    <w:rsid w:val="00932906"/>
    <w:rsid w:val="00950BC7"/>
    <w:rsid w:val="00961B0B"/>
    <w:rsid w:val="00962D33"/>
    <w:rsid w:val="009729EE"/>
    <w:rsid w:val="00973227"/>
    <w:rsid w:val="00987D32"/>
    <w:rsid w:val="009946E3"/>
    <w:rsid w:val="009B38C3"/>
    <w:rsid w:val="009E1449"/>
    <w:rsid w:val="009E17BD"/>
    <w:rsid w:val="009E485A"/>
    <w:rsid w:val="00A028B5"/>
    <w:rsid w:val="00A04CEC"/>
    <w:rsid w:val="00A27F92"/>
    <w:rsid w:val="00A32257"/>
    <w:rsid w:val="00A36D20"/>
    <w:rsid w:val="00A377D7"/>
    <w:rsid w:val="00A514A4"/>
    <w:rsid w:val="00A52C84"/>
    <w:rsid w:val="00A55622"/>
    <w:rsid w:val="00A77CA6"/>
    <w:rsid w:val="00A83502"/>
    <w:rsid w:val="00AD15B3"/>
    <w:rsid w:val="00AD2EE8"/>
    <w:rsid w:val="00AD3606"/>
    <w:rsid w:val="00AD4A3D"/>
    <w:rsid w:val="00AF6E49"/>
    <w:rsid w:val="00B01B3D"/>
    <w:rsid w:val="00B04A67"/>
    <w:rsid w:val="00B0583C"/>
    <w:rsid w:val="00B40A81"/>
    <w:rsid w:val="00B4436B"/>
    <w:rsid w:val="00B44910"/>
    <w:rsid w:val="00B61EF3"/>
    <w:rsid w:val="00B65E6E"/>
    <w:rsid w:val="00B72267"/>
    <w:rsid w:val="00B76EB6"/>
    <w:rsid w:val="00B7737B"/>
    <w:rsid w:val="00B824C8"/>
    <w:rsid w:val="00B84B9D"/>
    <w:rsid w:val="00BA7A9C"/>
    <w:rsid w:val="00BB7002"/>
    <w:rsid w:val="00BC251A"/>
    <w:rsid w:val="00BD032B"/>
    <w:rsid w:val="00BE2640"/>
    <w:rsid w:val="00BF0749"/>
    <w:rsid w:val="00C01189"/>
    <w:rsid w:val="00C374DE"/>
    <w:rsid w:val="00C47AD4"/>
    <w:rsid w:val="00C52D81"/>
    <w:rsid w:val="00C55198"/>
    <w:rsid w:val="00CA54FE"/>
    <w:rsid w:val="00CA6393"/>
    <w:rsid w:val="00CB18FF"/>
    <w:rsid w:val="00CB2DEC"/>
    <w:rsid w:val="00CD0C08"/>
    <w:rsid w:val="00CD1188"/>
    <w:rsid w:val="00CD4F35"/>
    <w:rsid w:val="00CE03FB"/>
    <w:rsid w:val="00CE433C"/>
    <w:rsid w:val="00CF0161"/>
    <w:rsid w:val="00CF33F3"/>
    <w:rsid w:val="00D06183"/>
    <w:rsid w:val="00D22C42"/>
    <w:rsid w:val="00D464CC"/>
    <w:rsid w:val="00D65041"/>
    <w:rsid w:val="00D94123"/>
    <w:rsid w:val="00DB00D5"/>
    <w:rsid w:val="00DB1936"/>
    <w:rsid w:val="00DB384B"/>
    <w:rsid w:val="00DF0189"/>
    <w:rsid w:val="00E06FD5"/>
    <w:rsid w:val="00E10E80"/>
    <w:rsid w:val="00E124F0"/>
    <w:rsid w:val="00E20566"/>
    <w:rsid w:val="00E227F3"/>
    <w:rsid w:val="00E545C6"/>
    <w:rsid w:val="00E60F04"/>
    <w:rsid w:val="00E65B24"/>
    <w:rsid w:val="00E774B4"/>
    <w:rsid w:val="00E854E4"/>
    <w:rsid w:val="00E86DBF"/>
    <w:rsid w:val="00EB0D6F"/>
    <w:rsid w:val="00EB2232"/>
    <w:rsid w:val="00EC5337"/>
    <w:rsid w:val="00EE49E8"/>
    <w:rsid w:val="00F15E4D"/>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Normal1">
    <w:name w:val="Normal1"/>
    <w:rsid w:val="00CD1188"/>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paragraph" w:styleId="ListParagraph">
    <w:name w:val="List Paragraph"/>
    <w:basedOn w:val="Normal"/>
    <w:uiPriority w:val="34"/>
    <w:qFormat/>
    <w:rsid w:val="004677EB"/>
    <w:pPr>
      <w:ind w:left="720"/>
      <w:contextualSpacing/>
    </w:pPr>
  </w:style>
  <w:style w:type="character" w:styleId="UnresolvedMention">
    <w:name w:val="Unresolved Mention"/>
    <w:basedOn w:val="DefaultParagraphFont"/>
    <w:uiPriority w:val="99"/>
    <w:semiHidden/>
    <w:unhideWhenUsed/>
    <w:rsid w:val="00E20566"/>
    <w:rPr>
      <w:color w:val="605E5C"/>
      <w:shd w:val="clear" w:color="auto" w:fill="E1DFDD"/>
    </w:rPr>
  </w:style>
  <w:style w:type="character" w:styleId="CommentReference">
    <w:name w:val="annotation reference"/>
    <w:basedOn w:val="DefaultParagraphFont"/>
    <w:semiHidden/>
    <w:unhideWhenUsed/>
    <w:rsid w:val="00CD4F35"/>
    <w:rPr>
      <w:sz w:val="16"/>
      <w:szCs w:val="16"/>
    </w:rPr>
  </w:style>
  <w:style w:type="paragraph" w:styleId="CommentText">
    <w:name w:val="annotation text"/>
    <w:basedOn w:val="Normal"/>
    <w:link w:val="CommentTextChar"/>
    <w:unhideWhenUsed/>
    <w:rsid w:val="00CD4F35"/>
    <w:rPr>
      <w:sz w:val="20"/>
    </w:rPr>
  </w:style>
  <w:style w:type="character" w:customStyle="1" w:styleId="CommentTextChar">
    <w:name w:val="Comment Text Char"/>
    <w:basedOn w:val="DefaultParagraphFont"/>
    <w:link w:val="CommentText"/>
    <w:rsid w:val="00CD4F35"/>
    <w:rPr>
      <w:rFonts w:ascii="Calibri" w:hAnsi="Calibri"/>
      <w:lang w:val="en-GB" w:eastAsia="en-US"/>
    </w:rPr>
  </w:style>
  <w:style w:type="paragraph" w:styleId="CommentSubject">
    <w:name w:val="annotation subject"/>
    <w:basedOn w:val="CommentText"/>
    <w:next w:val="CommentText"/>
    <w:link w:val="CommentSubjectChar"/>
    <w:semiHidden/>
    <w:unhideWhenUsed/>
    <w:rsid w:val="00CD4F35"/>
    <w:rPr>
      <w:b/>
      <w:bCs/>
    </w:rPr>
  </w:style>
  <w:style w:type="character" w:customStyle="1" w:styleId="CommentSubjectChar">
    <w:name w:val="Comment Subject Char"/>
    <w:basedOn w:val="CommentTextChar"/>
    <w:link w:val="CommentSubject"/>
    <w:semiHidden/>
    <w:rsid w:val="00CD4F35"/>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2-PP-C-0035/e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8-CL-C-0026/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3-CL-C-0121/en" TargetMode="External"/><Relationship Id="rId5" Type="http://schemas.openxmlformats.org/officeDocument/2006/relationships/numbering" Target="numbering.xml"/><Relationship Id="rId15" Type="http://schemas.openxmlformats.org/officeDocument/2006/relationships/hyperlink" Target="https://www.itu.int/md/S20-EGITR2-C-0006/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18-CLEGITR4-C-0007/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A6171-6748-47C5-9F23-1049F7E919C2}">
  <ds:schemaRefs>
    <ds:schemaRef ds:uri="http://schemas.openxmlformats.org/officeDocument/2006/bibliography"/>
  </ds:schemaRefs>
</ds:datastoreItem>
</file>

<file path=customXml/itemProps2.xml><?xml version="1.0" encoding="utf-8"?>
<ds:datastoreItem xmlns:ds="http://schemas.openxmlformats.org/officeDocument/2006/customXml" ds:itemID="{8C40EF0E-7412-4A30-BCEE-409476A98595}">
  <ds:schemaRefs>
    <ds:schemaRef ds:uri="http://www.w3.org/XML/1998/namespace"/>
    <ds:schemaRef ds:uri="http://schemas.microsoft.com/office/2006/documentManagement/types"/>
    <ds:schemaRef ds:uri="http://purl.org/dc/elements/1.1/"/>
    <ds:schemaRef ds:uri="http://schemas.microsoft.com/sharepoint/v3"/>
    <ds:schemaRef ds:uri="http://schemas.microsoft.com/office/2006/metadata/properties"/>
    <ds:schemaRef ds:uri="http://schemas.openxmlformats.org/package/2006/metadata/core-properties"/>
    <ds:schemaRef ds:uri="http://purl.org/dc/dcmitype/"/>
    <ds:schemaRef ds:uri="http://purl.org/dc/terms/"/>
    <ds:schemaRef ds:uri="http://schemas.microsoft.com/office/infopath/2007/PartnerControls"/>
    <ds:schemaRef ds:uri="1aaea1ea-72e4-4374-b05e-72e2f16fb7ae"/>
  </ds:schemaRefs>
</ds:datastoreItem>
</file>

<file path=customXml/itemProps3.xml><?xml version="1.0" encoding="utf-8"?>
<ds:datastoreItem xmlns:ds="http://schemas.openxmlformats.org/officeDocument/2006/customXml" ds:itemID="{C11A7E1F-D120-4DEC-8703-FF9670F373C1}">
  <ds:schemaRefs>
    <ds:schemaRef ds:uri="http://schemas.microsoft.com/sharepoint/v3/contenttype/forms"/>
  </ds:schemaRefs>
</ds:datastoreItem>
</file>

<file path=customXml/itemProps4.xml><?xml version="1.0" encoding="utf-8"?>
<ds:datastoreItem xmlns:ds="http://schemas.openxmlformats.org/officeDocument/2006/customXml" ds:itemID="{604CDDB2-DE89-473D-8ACA-5E57CF7A3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Multi-country contribution on Findings of the previous two Expert Groups</dc:title>
  <dc:subject>Expert Group on the International Telecommunication Regulations</dc:subject>
  <dc:creator/>
  <cp:keywords>EG-ITRs, C24</cp:keywords>
  <dc:description/>
  <cp:lastModifiedBy/>
  <cp:revision>1</cp:revision>
  <dcterms:created xsi:type="dcterms:W3CDTF">2024-01-15T16:50:00Z</dcterms:created>
  <dcterms:modified xsi:type="dcterms:W3CDTF">2024-01-16T07:54:00Z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0x0101001E46BE2403204D4E844191C3480CD35B</vt:lpwstr>
  </property>
  <property fmtid="{D5CDD505-2E9C-101B-9397-08002B2CF9AE}" pid="3" name="MSIP_Label_ba62f585-b40f-4ab9-bafe-39150f03d124_Enabled">
    <vt:lpwstr>true</vt:lpwstr>
  </property>
  <property fmtid="{D5CDD505-2E9C-101B-9397-08002B2CF9AE}" pid="4" name="MSIP_Label_ba62f585-b40f-4ab9-bafe-39150f03d124_SetDate">
    <vt:lpwstr>2023-10-25T15:52:37Z</vt:lpwstr>
  </property>
  <property fmtid="{D5CDD505-2E9C-101B-9397-08002B2CF9AE}" pid="5" name="MSIP_Label_ba62f585-b40f-4ab9-bafe-39150f03d124_Method">
    <vt:lpwstr>Standard</vt:lpwstr>
  </property>
  <property fmtid="{D5CDD505-2E9C-101B-9397-08002B2CF9AE}" pid="6" name="MSIP_Label_ba62f585-b40f-4ab9-bafe-39150f03d124_Name">
    <vt:lpwstr>OFFICIAL</vt:lpwstr>
  </property>
  <property fmtid="{D5CDD505-2E9C-101B-9397-08002B2CF9AE}" pid="7" name="MSIP_Label_ba62f585-b40f-4ab9-bafe-39150f03d124_SiteId">
    <vt:lpwstr>cbac7005-02c1-43eb-b497-e6492d1b2dd8</vt:lpwstr>
  </property>
  <property fmtid="{D5CDD505-2E9C-101B-9397-08002B2CF9AE}" pid="8" name="MSIP_Label_ba62f585-b40f-4ab9-bafe-39150f03d124_ActionId">
    <vt:lpwstr>92529dd4-b6b2-4181-aa62-5d20092025d2</vt:lpwstr>
  </property>
  <property fmtid="{D5CDD505-2E9C-101B-9397-08002B2CF9AE}" pid="9" name="MSIP_Label_ba62f585-b40f-4ab9-bafe-39150f03d124_ContentBits">
    <vt:lpwstr>0</vt:lpwstr>
  </property>
</Properties>
</file>