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AD3606" w:rsidRPr="00632748" w14:paraId="0043AC80" w14:textId="77777777" w:rsidTr="00BD2095">
        <w:trPr>
          <w:cantSplit/>
          <w:trHeight w:val="23"/>
        </w:trPr>
        <w:tc>
          <w:tcPr>
            <w:tcW w:w="2977" w:type="dxa"/>
            <w:vMerge w:val="restart"/>
            <w:tcMar>
              <w:left w:w="0" w:type="dxa"/>
            </w:tcMar>
          </w:tcPr>
          <w:p w14:paraId="60A806D3" w14:textId="6316C87D" w:rsidR="00AD3606" w:rsidRPr="00345D34" w:rsidRDefault="00AD3606" w:rsidP="00345D34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6237" w:type="dxa"/>
          </w:tcPr>
          <w:p w14:paraId="291AB2A2" w14:textId="160CEBEB" w:rsidR="00AD3606" w:rsidRPr="00632748" w:rsidRDefault="008D0652" w:rsidP="00345D3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</w:t>
            </w:r>
            <w:r w:rsidR="00AD3606" w:rsidRPr="00632748">
              <w:rPr>
                <w:b/>
                <w:lang w:val="ru-RU"/>
              </w:rPr>
              <w:t xml:space="preserve"> </w:t>
            </w:r>
            <w:r w:rsidR="00AD3606" w:rsidRPr="00A52C84">
              <w:rPr>
                <w:b/>
                <w:lang w:val="fr-CH"/>
              </w:rPr>
              <w:t>C</w:t>
            </w:r>
            <w:r w:rsidR="00A52C84" w:rsidRPr="00A52C84">
              <w:rPr>
                <w:b/>
                <w:lang w:val="fr-CH"/>
              </w:rPr>
              <w:t>WG</w:t>
            </w:r>
            <w:r w:rsidR="00A52C84" w:rsidRPr="00632748">
              <w:rPr>
                <w:b/>
                <w:lang w:val="ru-RU"/>
              </w:rPr>
              <w:t>-</w:t>
            </w:r>
            <w:r w:rsidR="00636853">
              <w:rPr>
                <w:b/>
                <w:lang w:val="fr-CH"/>
              </w:rPr>
              <w:t>WSIS</w:t>
            </w:r>
            <w:r w:rsidR="00636853" w:rsidRPr="00632748">
              <w:rPr>
                <w:b/>
                <w:lang w:val="ru-RU"/>
              </w:rPr>
              <w:t>&amp;</w:t>
            </w:r>
            <w:r w:rsidR="00636853">
              <w:rPr>
                <w:b/>
                <w:lang w:val="fr-CH"/>
              </w:rPr>
              <w:t>SDG</w:t>
            </w:r>
            <w:r w:rsidR="00A52C84" w:rsidRPr="00632748">
              <w:rPr>
                <w:b/>
                <w:lang w:val="ru-RU"/>
              </w:rPr>
              <w:t>-</w:t>
            </w:r>
            <w:r w:rsidR="003F3796" w:rsidRPr="00632748">
              <w:rPr>
                <w:b/>
                <w:lang w:val="ru-RU"/>
              </w:rPr>
              <w:t>4</w:t>
            </w:r>
            <w:r w:rsidR="00754DFC" w:rsidRPr="00632748">
              <w:rPr>
                <w:b/>
                <w:lang w:val="ru-RU"/>
              </w:rPr>
              <w:t>1</w:t>
            </w:r>
            <w:r w:rsidR="00AD3606" w:rsidRPr="00632748">
              <w:rPr>
                <w:b/>
                <w:lang w:val="ru-RU"/>
              </w:rPr>
              <w:t>/</w:t>
            </w:r>
            <w:r w:rsidR="00632748">
              <w:rPr>
                <w:b/>
                <w:lang w:val="fr-CH"/>
              </w:rPr>
              <w:t>1</w:t>
            </w:r>
            <w:r w:rsidR="00293453">
              <w:rPr>
                <w:b/>
                <w:lang w:val="fr-CH"/>
              </w:rPr>
              <w:t>4</w:t>
            </w:r>
          </w:p>
        </w:tc>
      </w:tr>
      <w:tr w:rsidR="00AD3606" w:rsidRPr="00813E5E" w14:paraId="789B45BA" w14:textId="77777777" w:rsidTr="00BD2095">
        <w:trPr>
          <w:cantSplit/>
        </w:trPr>
        <w:tc>
          <w:tcPr>
            <w:tcW w:w="2977" w:type="dxa"/>
            <w:vMerge/>
          </w:tcPr>
          <w:p w14:paraId="3F3D4E17" w14:textId="77777777" w:rsidR="00AD3606" w:rsidRPr="00632748" w:rsidRDefault="00AD3606" w:rsidP="00345D34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6237" w:type="dxa"/>
          </w:tcPr>
          <w:p w14:paraId="2DE9ACEA" w14:textId="2D4294B3" w:rsidR="00AD3606" w:rsidRPr="00E85629" w:rsidRDefault="00632748" w:rsidP="00C857A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es-ES"/>
              </w:rPr>
              <w:t>1</w:t>
            </w:r>
            <w:r w:rsidR="00293453">
              <w:rPr>
                <w:b/>
                <w:lang w:val="es-ES"/>
              </w:rPr>
              <w:t>9</w:t>
            </w:r>
            <w:r>
              <w:rPr>
                <w:b/>
                <w:lang w:val="es-ES"/>
              </w:rPr>
              <w:t xml:space="preserve"> </w:t>
            </w:r>
            <w:r w:rsidR="00C857A2">
              <w:rPr>
                <w:b/>
                <w:lang w:val="ru-RU"/>
              </w:rPr>
              <w:t>сентября</w:t>
            </w:r>
            <w:r w:rsidR="00754DFC">
              <w:rPr>
                <w:b/>
              </w:rPr>
              <w:t xml:space="preserve"> 2024</w:t>
            </w:r>
          </w:p>
        </w:tc>
      </w:tr>
      <w:tr w:rsidR="00AD3606" w:rsidRPr="00813E5E" w14:paraId="58A84C4A" w14:textId="77777777" w:rsidTr="00BD2095">
        <w:trPr>
          <w:cantSplit/>
          <w:trHeight w:val="23"/>
        </w:trPr>
        <w:tc>
          <w:tcPr>
            <w:tcW w:w="2977" w:type="dxa"/>
            <w:vMerge/>
          </w:tcPr>
          <w:p w14:paraId="77CEDDAA" w14:textId="77777777" w:rsidR="00AD3606" w:rsidRPr="00813E5E" w:rsidRDefault="00AD3606" w:rsidP="00345D3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6237" w:type="dxa"/>
          </w:tcPr>
          <w:p w14:paraId="561AAE94" w14:textId="09041002" w:rsidR="00AD3606" w:rsidRPr="00BD2095" w:rsidRDefault="00BD2095" w:rsidP="00345D3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D2095">
              <w:rPr>
                <w:b/>
              </w:rPr>
              <w:t>English only/Russian version provided by the contributors</w:t>
            </w:r>
          </w:p>
        </w:tc>
      </w:tr>
      <w:tr w:rsidR="00472BAD" w:rsidRPr="00813E5E" w14:paraId="12C5EF5F" w14:textId="77777777" w:rsidTr="00BD2095">
        <w:trPr>
          <w:cantSplit/>
          <w:trHeight w:val="23"/>
        </w:trPr>
        <w:tc>
          <w:tcPr>
            <w:tcW w:w="2977" w:type="dxa"/>
          </w:tcPr>
          <w:p w14:paraId="4B839BA2" w14:textId="77777777" w:rsidR="00472BAD" w:rsidRPr="00813E5E" w:rsidRDefault="00472BAD" w:rsidP="00345D3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6237" w:type="dxa"/>
          </w:tcPr>
          <w:p w14:paraId="12F66D25" w14:textId="77777777" w:rsidR="00472BAD" w:rsidRDefault="00472BAD" w:rsidP="00345D3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293453" w14:paraId="27000B2A" w14:textId="77777777" w:rsidTr="00345D3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49606438" w:rsidR="00AD3606" w:rsidRPr="00F500F8" w:rsidRDefault="00293453" w:rsidP="00293453">
            <w:pPr>
              <w:pStyle w:val="Source"/>
              <w:framePr w:hSpace="0" w:wrap="auto" w:vAnchor="margin" w:hAnchor="text" w:xAlign="left" w:yAlign="inline"/>
              <w:rPr>
                <w:lang w:val="ru-RU"/>
              </w:rPr>
            </w:pPr>
            <w:bookmarkStart w:id="8" w:name="dsource" w:colFirst="0" w:colLast="0"/>
            <w:bookmarkEnd w:id="7"/>
            <w:r w:rsidRPr="00293453">
              <w:rPr>
                <w:lang w:val="ru-RU"/>
              </w:rPr>
              <w:t>Вклад Российской Федерации</w:t>
            </w:r>
          </w:p>
        </w:tc>
      </w:tr>
      <w:tr w:rsidR="00AD3606" w:rsidRPr="00293453" w14:paraId="2340750D" w14:textId="77777777" w:rsidTr="00345D3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7920E5E8" w:rsidR="00AD3606" w:rsidRPr="002716D6" w:rsidRDefault="00293453" w:rsidP="00345D34">
            <w:pPr>
              <w:pStyle w:val="Subtitle"/>
              <w:framePr w:hSpace="0" w:wrap="auto" w:xAlign="left" w:yAlign="inline"/>
              <w:rPr>
                <w:lang w:val="ru-RU"/>
              </w:rPr>
            </w:pPr>
            <w:bookmarkStart w:id="9" w:name="dtitle1" w:colFirst="0" w:colLast="0"/>
            <w:bookmarkEnd w:id="8"/>
            <w:r w:rsidRPr="00293453">
              <w:rPr>
                <w:lang w:val="ru-RU"/>
              </w:rPr>
              <w:t>Комментарию к отчету МСЭ по ВВУИО+20</w:t>
            </w:r>
          </w:p>
        </w:tc>
      </w:tr>
      <w:tr w:rsidR="00AD3606" w:rsidRPr="00293453" w14:paraId="1F564D2D" w14:textId="77777777" w:rsidTr="00345D34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6303B15B" w:rsidR="004D648B" w:rsidRPr="008D0652" w:rsidRDefault="008D0652" w:rsidP="00345D3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Цель</w:t>
            </w:r>
          </w:p>
          <w:p w14:paraId="7B62C026" w14:textId="75CBB576" w:rsidR="004D648B" w:rsidRPr="008D0652" w:rsidRDefault="00293453" w:rsidP="00345D34">
            <w:pPr>
              <w:spacing w:before="160"/>
              <w:jc w:val="both"/>
              <w:rPr>
                <w:szCs w:val="24"/>
                <w:lang w:val="ru-RU"/>
              </w:rPr>
            </w:pPr>
            <w:r w:rsidRPr="00293453">
              <w:rPr>
                <w:szCs w:val="24"/>
                <w:lang w:val="ru-RU"/>
              </w:rPr>
              <w:t>Документ, основанный на отчете секретариата «Всеобъемлющий отчет с подробным описанием мероприятий, действий и обязательств, которые Союз принимает в контексте реализации решений ВВУИО и Повестки дня на период до 2030 года» и в отсутствие документа CWG-WSIS&amp;SDG-41/INF/2 «Отчет ВВУИО+20 о вкладе МСЭ в реализацию и последующую деятельность по итогам ВВУИО и его роли в достижении ЦУР», рассматривает представленные материалы и содержит некоторые предложения для включения в «Проект отчета ВВУИО+20: Двадцать лет вклада МСЭ в реализацию и последующую деятельность по итогам ВВУИО и его роли в достижении ЦУР».</w:t>
            </w:r>
          </w:p>
          <w:p w14:paraId="16727A07" w14:textId="40561015" w:rsidR="004D648B" w:rsidRPr="002716D6" w:rsidRDefault="008D0652" w:rsidP="00345D3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Необходимое</w:t>
            </w:r>
            <w:r w:rsidRPr="002716D6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действие</w:t>
            </w:r>
          </w:p>
          <w:p w14:paraId="3399834F" w14:textId="77777777" w:rsidR="00293453" w:rsidRDefault="00293453">
            <w:pPr>
              <w:rPr>
                <w:szCs w:val="24"/>
                <w:lang w:val="fr-CH"/>
              </w:rPr>
            </w:pPr>
            <w:r w:rsidRPr="00293453">
              <w:rPr>
                <w:szCs w:val="24"/>
                <w:lang w:val="ru-RU"/>
              </w:rPr>
              <w:t xml:space="preserve">Рабочей группе Совета по ВВУИО и ЦУР предлагается </w:t>
            </w:r>
            <w:r w:rsidRPr="00293453">
              <w:rPr>
                <w:b/>
                <w:bCs/>
                <w:szCs w:val="24"/>
                <w:lang w:val="ru-RU"/>
              </w:rPr>
              <w:t>рассмотреть</w:t>
            </w:r>
            <w:r w:rsidRPr="00293453">
              <w:rPr>
                <w:szCs w:val="24"/>
                <w:lang w:val="ru-RU"/>
              </w:rPr>
              <w:t xml:space="preserve"> настоящий документ и дать соответствующие рекомендации секретариату, при необходимости.</w:t>
            </w:r>
          </w:p>
          <w:p w14:paraId="3D745C81" w14:textId="1CFD119D" w:rsidR="00B26F85" w:rsidRPr="00293453" w:rsidRDefault="00B26F85">
            <w:pPr>
              <w:rPr>
                <w:lang w:val="ru-RU"/>
              </w:rPr>
            </w:pPr>
            <w:r w:rsidRPr="00293453">
              <w:rPr>
                <w:lang w:val="ru-RU"/>
              </w:rPr>
              <w:t>_______________</w:t>
            </w:r>
          </w:p>
          <w:p w14:paraId="00DEE14C" w14:textId="56E70AE3" w:rsidR="00AD3606" w:rsidRPr="008D0652" w:rsidRDefault="008D0652" w:rsidP="00345D3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Ссылки</w:t>
            </w:r>
          </w:p>
          <w:p w14:paraId="0175CD6C" w14:textId="63269AD2" w:rsidR="00AD3606" w:rsidRPr="00293453" w:rsidRDefault="00293453" w:rsidP="00293453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>
              <w:r w:rsidRPr="00293453">
                <w:rPr>
                  <w:rStyle w:val="Hyperlink"/>
                  <w:i/>
                  <w:iCs/>
                  <w:sz w:val="22"/>
                  <w:szCs w:val="22"/>
                </w:rPr>
                <w:t>CWG-WSIS&amp;SDG website</w:t>
              </w:r>
            </w:hyperlink>
            <w:r w:rsidRPr="00293453">
              <w:rPr>
                <w:sz w:val="22"/>
                <w:szCs w:val="22"/>
                <w:u w:val="single"/>
              </w:rPr>
              <w:t xml:space="preserve">; </w:t>
            </w:r>
            <w:r w:rsidRPr="00293453">
              <w:rPr>
                <w:i/>
                <w:sz w:val="22"/>
                <w:szCs w:val="22"/>
                <w:u w:val="single"/>
              </w:rPr>
              <w:t>Council</w:t>
            </w:r>
            <w:r w:rsidRPr="00293453">
              <w:rPr>
                <w:sz w:val="22"/>
                <w:szCs w:val="22"/>
                <w:u w:val="single"/>
              </w:rPr>
              <w:t xml:space="preserve"> </w:t>
            </w:r>
            <w:hyperlink r:id="rId12">
              <w:r w:rsidRPr="00293453">
                <w:rPr>
                  <w:rStyle w:val="Hyperlink"/>
                  <w:i/>
                  <w:iCs/>
                  <w:sz w:val="22"/>
                  <w:szCs w:val="22"/>
                </w:rPr>
                <w:t>Resolution 1334 (Modified 2023)</w:t>
              </w:r>
            </w:hyperlink>
            <w:r w:rsidRPr="00293453">
              <w:rPr>
                <w:sz w:val="22"/>
                <w:szCs w:val="22"/>
                <w:u w:val="single"/>
              </w:rPr>
              <w:t xml:space="preserve">;  </w:t>
            </w:r>
            <w:r w:rsidRPr="00293453">
              <w:rPr>
                <w:i/>
                <w:sz w:val="22"/>
                <w:szCs w:val="22"/>
                <w:u w:val="single"/>
              </w:rPr>
              <w:t>Council</w:t>
            </w:r>
            <w:r w:rsidRPr="00293453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hyperlink r:id="rId13">
              <w:r w:rsidRPr="00293453">
                <w:rPr>
                  <w:rStyle w:val="Hyperlink"/>
                  <w:i/>
                  <w:iCs/>
                  <w:sz w:val="22"/>
                  <w:szCs w:val="22"/>
                </w:rPr>
                <w:t>Resolution 1332 (Modified 2024)</w:t>
              </w:r>
            </w:hyperlink>
            <w:r w:rsidRPr="00293453">
              <w:rPr>
                <w:i/>
                <w:iCs/>
                <w:sz w:val="22"/>
                <w:szCs w:val="22"/>
              </w:rPr>
              <w:t xml:space="preserve">; </w:t>
            </w:r>
            <w:hyperlink r:id="rId14">
              <w:r w:rsidRPr="00293453">
                <w:rPr>
                  <w:rStyle w:val="Hyperlink"/>
                  <w:i/>
                  <w:iCs/>
                  <w:sz w:val="22"/>
                  <w:szCs w:val="22"/>
                </w:rPr>
                <w:t>Connect 2030 Agenda</w:t>
              </w:r>
            </w:hyperlink>
            <w:r w:rsidRPr="00293453">
              <w:rPr>
                <w:i/>
                <w:iCs/>
                <w:sz w:val="22"/>
                <w:szCs w:val="22"/>
                <w:u w:val="single"/>
              </w:rPr>
              <w:t>, the 2024 State of Broadband report, PP Resolution 200 (Busan, 2014);</w:t>
            </w:r>
            <w:r w:rsidRPr="00293453">
              <w:rPr>
                <w:i/>
                <w:iCs/>
                <w:sz w:val="22"/>
                <w:szCs w:val="22"/>
                <w:u w:val="single"/>
                <w:lang w:val="en-US"/>
              </w:rPr>
              <w:t xml:space="preserve"> </w:t>
            </w:r>
            <w:r w:rsidRPr="00293453">
              <w:rPr>
                <w:i/>
                <w:iCs/>
                <w:sz w:val="22"/>
                <w:szCs w:val="22"/>
                <w:u w:val="single"/>
                <w:lang w:val="ru-RU"/>
              </w:rPr>
              <w:t>Документ</w:t>
            </w:r>
            <w:r w:rsidRPr="00293453">
              <w:rPr>
                <w:sz w:val="22"/>
                <w:szCs w:val="22"/>
                <w:u w:val="single"/>
              </w:rPr>
              <w:t xml:space="preserve"> </w:t>
            </w:r>
            <w:hyperlink r:id="rId15">
              <w:r w:rsidRPr="00293453">
                <w:rPr>
                  <w:rStyle w:val="Hyperlink"/>
                  <w:i/>
                  <w:iCs/>
                  <w:sz w:val="22"/>
                  <w:szCs w:val="22"/>
                </w:rPr>
                <w:t>CWG-WSIS&amp;SDG-41/4;</w:t>
              </w:r>
            </w:hyperlink>
            <w:r w:rsidRPr="00293453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293453">
              <w:rPr>
                <w:sz w:val="22"/>
                <w:szCs w:val="22"/>
                <w:u w:val="single"/>
              </w:rPr>
              <w:t xml:space="preserve"> </w:t>
            </w:r>
            <w:r w:rsidRPr="00293453">
              <w:rPr>
                <w:sz w:val="22"/>
                <w:szCs w:val="22"/>
                <w:u w:val="single"/>
                <w:lang w:val="ru-RU"/>
              </w:rPr>
              <w:t>Документ</w:t>
            </w:r>
            <w:r w:rsidRPr="00293453">
              <w:rPr>
                <w:sz w:val="22"/>
                <w:szCs w:val="22"/>
                <w:u w:val="single"/>
              </w:rPr>
              <w:t xml:space="preserve"> </w:t>
            </w:r>
            <w:hyperlink r:id="rId16">
              <w:r w:rsidRPr="00293453">
                <w:rPr>
                  <w:rStyle w:val="Hyperlink"/>
                  <w:i/>
                  <w:iCs/>
                  <w:sz w:val="22"/>
                  <w:szCs w:val="22"/>
                </w:rPr>
                <w:t>CWG-WSIS&amp;SDG-41/12</w:t>
              </w:r>
            </w:hyperlink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0"/>
    <w:p w14:paraId="0B9A4802" w14:textId="77777777" w:rsidR="00293453" w:rsidRPr="00293453" w:rsidRDefault="00293453" w:rsidP="00293453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contextualSpacing/>
        <w:jc w:val="both"/>
        <w:rPr>
          <w:b/>
          <w:szCs w:val="24"/>
          <w:lang w:val="ru-RU"/>
        </w:rPr>
      </w:pPr>
      <w:r w:rsidRPr="00293453">
        <w:rPr>
          <w:b/>
          <w:szCs w:val="24"/>
          <w:lang w:val="ru-RU"/>
        </w:rPr>
        <w:lastRenderedPageBreak/>
        <w:t>Общая информация</w:t>
      </w:r>
    </w:p>
    <w:p w14:paraId="38C91BFD" w14:textId="77777777" w:rsidR="00293453" w:rsidRPr="00293453" w:rsidRDefault="00293453" w:rsidP="00293453">
      <w:pPr>
        <w:suppressAutoHyphens/>
        <w:overflowPunct/>
        <w:autoSpaceDE/>
        <w:autoSpaceDN/>
        <w:adjustRightInd/>
        <w:ind w:left="36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>Резолюция Совета 1334 (</w:t>
      </w:r>
      <w:proofErr w:type="spellStart"/>
      <w:r w:rsidRPr="00293453">
        <w:rPr>
          <w:szCs w:val="24"/>
          <w:lang w:val="ru-RU"/>
        </w:rPr>
        <w:t>Mod</w:t>
      </w:r>
      <w:proofErr w:type="spellEnd"/>
      <w:r w:rsidRPr="00293453">
        <w:rPr>
          <w:szCs w:val="24"/>
          <w:lang w:val="ru-RU"/>
        </w:rPr>
        <w:t xml:space="preserve"> 2023) </w:t>
      </w:r>
      <w:r w:rsidRPr="00293453">
        <w:rPr>
          <w:i/>
          <w:szCs w:val="24"/>
          <w:lang w:val="ru-RU"/>
        </w:rPr>
        <w:t>поручает РГС ВВУИО&amp;ЦУР</w:t>
      </w:r>
    </w:p>
    <w:p w14:paraId="164399A5" w14:textId="77777777" w:rsidR="00293453" w:rsidRPr="00293453" w:rsidRDefault="00293453" w:rsidP="00293453">
      <w:pPr>
        <w:suppressAutoHyphens/>
        <w:overflowPunct/>
        <w:autoSpaceDE/>
        <w:autoSpaceDN/>
        <w:adjustRightInd/>
        <w:rPr>
          <w:i/>
          <w:szCs w:val="24"/>
          <w:lang w:val="ru-RU" w:eastAsia="zh-CN"/>
        </w:rPr>
      </w:pPr>
      <w:r w:rsidRPr="00293453">
        <w:rPr>
          <w:i/>
          <w:szCs w:val="24"/>
          <w:lang w:val="ru-RU" w:bidi="ru-RU"/>
        </w:rPr>
        <w:t>1</w:t>
      </w:r>
      <w:r w:rsidRPr="00293453">
        <w:rPr>
          <w:i/>
          <w:szCs w:val="24"/>
          <w:lang w:val="ru-RU" w:bidi="ru-RU"/>
        </w:rPr>
        <w:tab/>
        <w:t>следить за деятельностью и обсуждать деятельность Генерального секретаря и Директоров Бюро в связи с выполнением настоящей Резолюции;</w:t>
      </w:r>
    </w:p>
    <w:p w14:paraId="3A6A1586" w14:textId="77777777" w:rsidR="00293453" w:rsidRPr="00293453" w:rsidRDefault="00293453" w:rsidP="00293453">
      <w:pPr>
        <w:suppressAutoHyphens/>
        <w:overflowPunct/>
        <w:autoSpaceDE/>
        <w:autoSpaceDN/>
        <w:adjustRightInd/>
        <w:rPr>
          <w:i/>
          <w:szCs w:val="24"/>
          <w:lang w:val="ru-RU" w:bidi="ru-RU"/>
        </w:rPr>
      </w:pPr>
      <w:r w:rsidRPr="00293453">
        <w:rPr>
          <w:i/>
          <w:szCs w:val="24"/>
          <w:lang w:val="ru-RU" w:bidi="ru-RU"/>
        </w:rPr>
        <w:t>2</w:t>
      </w:r>
      <w:r w:rsidRPr="00293453">
        <w:rPr>
          <w:i/>
          <w:szCs w:val="24"/>
          <w:lang w:val="ru-RU" w:bidi="ru-RU"/>
        </w:rPr>
        <w:tab/>
      </w:r>
      <w:r w:rsidRPr="00293453">
        <w:rPr>
          <w:i/>
          <w:szCs w:val="24"/>
          <w:lang w:val="ru-RU"/>
        </w:rPr>
        <w:t>рассматривать вклады МСЭ в разработку различных вариантов тем, касающихся существа ВВУИО+20 и последующей деятельности, с помощью Целевой группы ВВУИО</w:t>
      </w:r>
      <w:r w:rsidRPr="00293453">
        <w:rPr>
          <w:rFonts w:eastAsia="SimSun"/>
          <w:i/>
          <w:szCs w:val="24"/>
          <w:lang w:val="ru-RU" w:eastAsia="zh-CN"/>
        </w:rPr>
        <w:t>&amp;ЦУР</w:t>
      </w:r>
      <w:r w:rsidRPr="00293453">
        <w:rPr>
          <w:i/>
          <w:szCs w:val="24"/>
          <w:lang w:val="ru-RU" w:bidi="ru-RU"/>
        </w:rPr>
        <w:t>;</w:t>
      </w:r>
    </w:p>
    <w:p w14:paraId="33D1EC01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before="24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>Резолюция Совета 1332 (</w:t>
      </w:r>
      <w:proofErr w:type="spellStart"/>
      <w:r w:rsidRPr="00293453">
        <w:rPr>
          <w:szCs w:val="24"/>
          <w:lang w:val="ru-RU"/>
        </w:rPr>
        <w:t>Mod</w:t>
      </w:r>
      <w:proofErr w:type="spellEnd"/>
      <w:r w:rsidRPr="00293453">
        <w:rPr>
          <w:szCs w:val="24"/>
          <w:lang w:val="ru-RU"/>
        </w:rPr>
        <w:t xml:space="preserve"> 2024);</w:t>
      </w:r>
    </w:p>
    <w:p w14:paraId="1757C366" w14:textId="3CDA6C8D" w:rsidR="00293453" w:rsidRPr="00293453" w:rsidRDefault="00293453" w:rsidP="00293453">
      <w:pPr>
        <w:suppressAutoHyphens/>
        <w:overflowPunct/>
        <w:autoSpaceDE/>
        <w:autoSpaceDN/>
        <w:adjustRightInd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ab/>
      </w:r>
      <w:r w:rsidRPr="00293453">
        <w:rPr>
          <w:i/>
          <w:szCs w:val="24"/>
          <w:lang w:val="ru-RU"/>
        </w:rPr>
        <w:t>поручает Генеральному секретарю</w:t>
      </w:r>
    </w:p>
    <w:p w14:paraId="1CEFDC26" w14:textId="77777777" w:rsidR="00293453" w:rsidRPr="00293453" w:rsidRDefault="00293453" w:rsidP="00293453">
      <w:pPr>
        <w:suppressAutoHyphens/>
        <w:overflowPunct/>
        <w:autoSpaceDE/>
        <w:autoSpaceDN/>
        <w:adjustRightInd/>
        <w:rPr>
          <w:i/>
          <w:szCs w:val="24"/>
          <w:lang w:val="ru-RU" w:eastAsia="zh-CN"/>
        </w:rPr>
      </w:pPr>
      <w:r w:rsidRPr="00293453">
        <w:rPr>
          <w:i/>
          <w:szCs w:val="24"/>
          <w:lang w:val="ru-RU" w:eastAsia="zh-CN"/>
        </w:rPr>
        <w:t>1</w:t>
      </w:r>
      <w:r w:rsidRPr="00293453">
        <w:rPr>
          <w:i/>
          <w:szCs w:val="24"/>
          <w:lang w:val="ru-RU" w:eastAsia="zh-CN"/>
        </w:rPr>
        <w:tab/>
        <w:t>регулярно обновлять в рамках мандата МСЭ дорожные карты деятельности Союза по выполнению решений ВВУИО, которые подлежат представлению Совету через РГС</w:t>
      </w:r>
      <w:r w:rsidRPr="00293453">
        <w:rPr>
          <w:i/>
          <w:szCs w:val="24"/>
          <w:lang w:val="ru-RU" w:eastAsia="zh-CN"/>
        </w:rPr>
        <w:noBreakHyphen/>
        <w:t>ВВУИО&amp;ЦУР, учитывая Повестку дня в области устойчивого развития на период до 2030 года, а также Повестку дня "Соединим к 2030 году";</w:t>
      </w:r>
    </w:p>
    <w:p w14:paraId="38DD6B35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before="80"/>
        <w:rPr>
          <w:i/>
          <w:szCs w:val="24"/>
          <w:lang w:val="ru-RU" w:eastAsia="zh-CN"/>
        </w:rPr>
      </w:pPr>
      <w:r w:rsidRPr="00293453">
        <w:rPr>
          <w:i/>
          <w:szCs w:val="24"/>
          <w:lang w:val="ru-RU" w:eastAsia="zh-CN"/>
        </w:rPr>
        <w:t>…</w:t>
      </w:r>
    </w:p>
    <w:p w14:paraId="21669C15" w14:textId="77777777" w:rsidR="00293453" w:rsidRPr="00293453" w:rsidRDefault="00293453" w:rsidP="00293453">
      <w:pPr>
        <w:suppressAutoHyphens/>
        <w:overflowPunct/>
        <w:autoSpaceDE/>
        <w:autoSpaceDN/>
        <w:adjustRightInd/>
        <w:rPr>
          <w:i/>
          <w:szCs w:val="24"/>
          <w:lang w:val="ru-RU" w:eastAsia="zh-CN"/>
        </w:rPr>
      </w:pPr>
      <w:r w:rsidRPr="00293453">
        <w:rPr>
          <w:i/>
          <w:szCs w:val="24"/>
          <w:lang w:val="ru-RU" w:eastAsia="zh-CN"/>
        </w:rPr>
        <w:t>6</w:t>
      </w:r>
      <w:r w:rsidRPr="00293453">
        <w:rPr>
          <w:i/>
          <w:szCs w:val="24"/>
          <w:lang w:val="ru-RU" w:eastAsia="zh-CN"/>
        </w:rPr>
        <w:tab/>
        <w:t>ежегодно представлять Экономическому и Социальному Совету через Комиссию по науке и технике в целях развития отчет о ходе выполнения направлений деятельности ВВУИО, по которым МСЭ является содействующей организацией, и представлять этот отчет РГС</w:t>
      </w:r>
      <w:r w:rsidRPr="00293453">
        <w:rPr>
          <w:i/>
          <w:szCs w:val="24"/>
          <w:lang w:val="ru-RU" w:eastAsia="zh-CN"/>
        </w:rPr>
        <w:noBreakHyphen/>
        <w:t>ВВУИО&amp;ЦУР;</w:t>
      </w:r>
    </w:p>
    <w:p w14:paraId="787EA492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before="80"/>
        <w:rPr>
          <w:i/>
          <w:szCs w:val="24"/>
          <w:lang w:val="ru-RU" w:eastAsia="zh-CN"/>
        </w:rPr>
      </w:pPr>
      <w:r w:rsidRPr="00293453">
        <w:rPr>
          <w:i/>
          <w:szCs w:val="24"/>
          <w:lang w:val="ru-RU" w:eastAsia="zh-CN"/>
        </w:rPr>
        <w:t>…</w:t>
      </w:r>
    </w:p>
    <w:p w14:paraId="2D7C782A" w14:textId="77777777" w:rsidR="00293453" w:rsidRPr="00293453" w:rsidRDefault="00293453" w:rsidP="00293453">
      <w:pPr>
        <w:suppressAutoHyphens/>
        <w:overflowPunct/>
        <w:autoSpaceDE/>
        <w:autoSpaceDN/>
        <w:adjustRightInd/>
        <w:jc w:val="both"/>
        <w:rPr>
          <w:i/>
          <w:szCs w:val="24"/>
          <w:lang w:val="ru-RU" w:eastAsia="zh-CN"/>
        </w:rPr>
      </w:pPr>
      <w:r w:rsidRPr="00293453">
        <w:rPr>
          <w:i/>
          <w:szCs w:val="24"/>
          <w:lang w:val="ru-RU" w:eastAsia="zh-CN"/>
        </w:rPr>
        <w:t>9</w:t>
      </w:r>
      <w:r w:rsidRPr="00293453">
        <w:rPr>
          <w:i/>
          <w:szCs w:val="24"/>
          <w:lang w:val="ru-RU" w:eastAsia="zh-CN"/>
        </w:rPr>
        <w:tab/>
        <w:t>продолжать представлять Совету МСЭ и РГС-ВВУИО&amp;ЦУР для рассмотрения и принятия решения всестороннюю и своевременную информацию с подробным перечислением видов деятельности, мер и обязательств, которые Союз осуществляет в отношении этих процессов.</w:t>
      </w:r>
    </w:p>
    <w:p w14:paraId="6B1D4207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before="240"/>
        <w:jc w:val="both"/>
        <w:rPr>
          <w:i/>
          <w:szCs w:val="24"/>
          <w:lang w:val="ru-RU" w:eastAsia="zh-CN"/>
        </w:rPr>
      </w:pPr>
      <w:r w:rsidRPr="00293453">
        <w:rPr>
          <w:i/>
          <w:szCs w:val="24"/>
          <w:lang w:val="ru-RU" w:eastAsia="zh-CN"/>
        </w:rPr>
        <w:tab/>
        <w:t>поручает Генеральному секретарю и директорам Бюро:</w:t>
      </w:r>
    </w:p>
    <w:p w14:paraId="5C7B0180" w14:textId="77777777" w:rsidR="00293453" w:rsidRPr="00293453" w:rsidRDefault="00293453" w:rsidP="00293453">
      <w:pPr>
        <w:suppressAutoHyphens/>
        <w:overflowPunct/>
        <w:autoSpaceDE/>
        <w:autoSpaceDN/>
        <w:adjustRightInd/>
        <w:rPr>
          <w:i/>
          <w:szCs w:val="24"/>
          <w:lang w:val="ru-RU" w:eastAsia="zh-CN"/>
        </w:rPr>
      </w:pPr>
      <w:r w:rsidRPr="00293453">
        <w:rPr>
          <w:i/>
          <w:szCs w:val="24"/>
          <w:lang w:val="ru-RU" w:eastAsia="zh-CN"/>
        </w:rPr>
        <w:t>4</w:t>
      </w:r>
      <w:r w:rsidRPr="00293453">
        <w:rPr>
          <w:i/>
          <w:szCs w:val="24"/>
          <w:lang w:val="ru-RU" w:eastAsia="zh-CN"/>
        </w:rPr>
        <w:tab/>
        <w:t>регулярно обновлять дорожную карту деятельности МСЭ в рамках его мандата и отразить возможность использования формата ВВУИО в целях содействия в выполнении Повестки дня в области устойчивого развития на период до 2030 года, учитывая при этом Повестку дня "Соединим к 2030 году"; эта дорожная карта подлежит представлению Совету через РГС-ВВУИО&amp;ЦУР;</w:t>
      </w:r>
    </w:p>
    <w:p w14:paraId="62AAC75C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before="24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ab/>
        <w:t xml:space="preserve">Некоторую информацию о вышеупомянутых требованиях можно найти в отчете секретариата «Всеобъемлющий отчет с подробным описанием мероприятий, действий и обязательств, которые Союз предпринимает в контексте реализации ВВУИО и Повестки дня на период до 2030 года» (документ CWG-WSIS&amp;SDG-41/4). Однако в этом документе перечислены только мероприятия и ссылки на веб-сайты, где сложно получить новую и обновленную конкретную информацию о реальных достижениях и проблемах. Например, издание дорожных карт направлений действий ВВУИО 2024 года МСЭ по направлениям деятельности ВВУИО C2 (Информационно-коммуникационная инфраструктура), C4 (Создание потенциала), C5 (Укрепление доверия и безопасности при использовании ИКТ) и C6 (Благоприятная среда) —поддерживаемых и реализуемых только МСЭ, вскоре будет доступно в Интернете, но не для этого заседания. Кроме того, </w:t>
      </w:r>
      <w:r w:rsidRPr="00293453">
        <w:rPr>
          <w:szCs w:val="24"/>
          <w:lang w:val="ru-RU"/>
        </w:rPr>
        <w:lastRenderedPageBreak/>
        <w:t xml:space="preserve">предыдущее обновление дорожных карт направлений действий ВВУИО (2023) не включает информацию по AL C2. </w:t>
      </w:r>
    </w:p>
    <w:p w14:paraId="4CAF1107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ab/>
        <w:t xml:space="preserve">На веб-странице Повестки дня Connect 2030 есть только список обновленных целей и задач без какой-либо информации о реализации. Приложение к Резолюции ПК 200 (Пусан, 2014 г.) «Соединим к 2020 г.: глобальные цели и задачи в области электросвязи/информационно-коммуникационных технологий» включает конкретные цифры, которые должны быть достигнуты к 2020 году. До сих пор нет никакой информации об их реализации. Напротив, в отчете </w:t>
      </w:r>
      <w:r w:rsidRPr="00293453">
        <w:rPr>
          <w:color w:val="444444"/>
          <w:szCs w:val="24"/>
          <w:shd w:val="clear" w:color="auto" w:fill="FFFFFF"/>
          <w:lang w:val="ru-RU"/>
        </w:rPr>
        <w:t>"</w:t>
      </w:r>
      <w:hyperlink r:id="rId17">
        <w:r w:rsidRPr="00293453">
          <w:rPr>
            <w:color w:val="3789BD"/>
            <w:szCs w:val="24"/>
            <w:shd w:val="clear" w:color="auto" w:fill="FFFFFF"/>
            <w:lang w:val="ru-RU"/>
          </w:rPr>
          <w:t>Состояние широкополосной связи в 2024 году: использование ИИ для обеспечения универсальной возможности установления соединений</w:t>
        </w:r>
      </w:hyperlink>
      <w:r w:rsidRPr="00293453">
        <w:rPr>
          <w:szCs w:val="24"/>
          <w:lang w:val="ru-RU"/>
        </w:rPr>
        <w:t>” Комиссии по широкополосной связи МСЭ/ЮНЕСКО есть конкретная информация по каждому из 7-и Целевых показателей. В отчете также определены проблемы на пути достижения большинства Целевых показателей к 2025 году.</w:t>
      </w:r>
    </w:p>
    <w:p w14:paraId="732D1600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ab/>
        <w:t>К сожалению, документ CWG-WSIS&amp;SDG-41/INF/2 «Отчет ВВУИО+20 о вкладе МСЭ в реализацию и последующую деятельность по итогам ВВУИО и его роли в достижении ЦУР» не был опубликован до крайнего срока для представления вкладов членами РГС, и его отсутствие не позволяет участникам тщательно рассмотреть и подготовить соответствующие комментарии и предложения для обсуждения на заседании РГС.</w:t>
      </w:r>
    </w:p>
    <w:p w14:paraId="23B203C0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ab/>
        <w:t>Отчет МСЭ ВВУИО+20 должен содержать информацию о реализации каждого направления деятельности, входящего в сферу ответственности МСЭ, включая обзор подробной реализации и проблем в ходе их реализации и новых возникающих проблем, а также информацию о достижениях 10 целей Женевского Плана Действий. Важно внести предложения по концепции ВВУИО после 2025 года, прежде всего, для содействия реализации Повестки дня в области устойчивого развития на период до 2030 года.</w:t>
      </w:r>
    </w:p>
    <w:p w14:paraId="7F469910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ab/>
        <w:t>Он также должен включать материалы Партнерства по измерению ИКТ в целях развития и Аналитической базы данных ВВУИО для отражения достижений и проблем направлений деятельности.</w:t>
      </w:r>
    </w:p>
    <w:p w14:paraId="526B037B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ab/>
        <w:t>Как уже упоминалось на предыдущих заседаниях, итоги ВВУИО+10 могут оказаться полезными при составлении отчета ВВУИО+20 о вкладе МСЭ в реализацию и последующую деятельность по итогам ВВУИО и его роли в достижении ЦУР, поскольку проблемы и концепция ВВУИО во многих случаях по-прежнему актуальны.</w:t>
      </w:r>
    </w:p>
    <w:p w14:paraId="103654AA" w14:textId="77777777" w:rsidR="00293453" w:rsidRPr="00293453" w:rsidRDefault="00293453" w:rsidP="00293453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360" w:after="120"/>
        <w:jc w:val="both"/>
        <w:rPr>
          <w:b/>
          <w:szCs w:val="24"/>
          <w:lang w:val="ru-RU"/>
        </w:rPr>
      </w:pPr>
      <w:r w:rsidRPr="00293453">
        <w:rPr>
          <w:b/>
          <w:szCs w:val="24"/>
          <w:lang w:val="ru-RU"/>
        </w:rPr>
        <w:t>Предложения</w:t>
      </w:r>
    </w:p>
    <w:p w14:paraId="0F5AA9BE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>2.1. Включить в отчет информацию о реализации каждого направления деятельности в рамках ответственности МСЭ, включая обзор подробной реализации и проблем в ходе реализации направлений деятельности и новых возникающих проблем, а также информацию о выполнении 10 Целей Женевского плана действий.</w:t>
      </w:r>
    </w:p>
    <w:p w14:paraId="242EA967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>2.2. Подготовить концепцию ВВУИО+20 для ВВУИО после 2025 года, включая приоритетные области, которые необходимо рассмотреть для достижения ЦУР.</w:t>
      </w:r>
    </w:p>
    <w:p w14:paraId="2D25A3EB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>2.3 Включить в отчет информацию о реализации целевых показателей Комиссии МСЭ/ЮНЕСКО по широкополосной связи.</w:t>
      </w:r>
    </w:p>
    <w:p w14:paraId="180E3D80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lastRenderedPageBreak/>
        <w:t>2.4 Опубликовать отчет ВВУИО+20 о вкладе МСЭ в реализацию и последующую деятельность по итогам WSIS и его роли в достижении ЦУР в качестве вклада за месяц до следующего заседания РГС ВВУИО&amp;ЦУР.</w:t>
      </w:r>
    </w:p>
    <w:p w14:paraId="755A03C8" w14:textId="77777777" w:rsidR="00293453" w:rsidRPr="00293453" w:rsidRDefault="00293453" w:rsidP="00293453">
      <w:pPr>
        <w:suppressAutoHyphens/>
        <w:overflowPunct/>
        <w:autoSpaceDE/>
        <w:autoSpaceDN/>
        <w:adjustRightInd/>
        <w:spacing w:after="120"/>
        <w:jc w:val="both"/>
        <w:rPr>
          <w:szCs w:val="24"/>
          <w:lang w:val="ru-RU"/>
        </w:rPr>
      </w:pPr>
      <w:r w:rsidRPr="00293453">
        <w:rPr>
          <w:szCs w:val="24"/>
          <w:lang w:val="ru-RU"/>
        </w:rPr>
        <w:t>2.5 Включить отчет Комиссии по широкополосной связи «"</w:t>
      </w:r>
      <w:hyperlink r:id="rId18">
        <w:r w:rsidRPr="00293453">
          <w:rPr>
            <w:szCs w:val="24"/>
            <w:lang w:val="ru-RU"/>
          </w:rPr>
          <w:t>Состояние широкополосной связи в 2024 году: использование ИИ для обеспечения универсальной возможности установления соединений</w:t>
        </w:r>
      </w:hyperlink>
      <w:r w:rsidRPr="00293453">
        <w:rPr>
          <w:szCs w:val="24"/>
          <w:lang w:val="ru-RU"/>
        </w:rPr>
        <w:t>» в качестве информационного документа данного заседания.</w:t>
      </w:r>
    </w:p>
    <w:p w14:paraId="22877A9E" w14:textId="6BAE285E" w:rsidR="00632748" w:rsidRPr="00632748" w:rsidRDefault="00632748" w:rsidP="00293453">
      <w:pPr>
        <w:spacing w:before="600"/>
        <w:jc w:val="center"/>
      </w:pPr>
      <w:r>
        <w:t>______________</w:t>
      </w:r>
    </w:p>
    <w:sectPr w:rsidR="00632748" w:rsidRPr="00632748" w:rsidSect="00AD3606">
      <w:head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BB95" w14:textId="77777777" w:rsidR="00611F95" w:rsidRDefault="00611F95">
      <w:r>
        <w:separator/>
      </w:r>
    </w:p>
  </w:endnote>
  <w:endnote w:type="continuationSeparator" w:id="0">
    <w:p w14:paraId="688994A0" w14:textId="77777777" w:rsidR="00611F95" w:rsidRDefault="0061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FE3F" w14:textId="77777777" w:rsidR="00611F95" w:rsidRDefault="00611F95">
      <w:r>
        <w:t>____________________</w:t>
      </w:r>
    </w:p>
  </w:footnote>
  <w:footnote w:type="continuationSeparator" w:id="0">
    <w:p w14:paraId="23474392" w14:textId="77777777" w:rsidR="00611F95" w:rsidRDefault="0061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D90DFD" w:rsidRPr="00784011" w14:paraId="16854AB1" w14:textId="77777777" w:rsidTr="00F74694">
      <w:trPr>
        <w:trHeight w:val="1304"/>
        <w:jc w:val="center"/>
      </w:trPr>
      <w:tc>
        <w:tcPr>
          <w:tcW w:w="6546" w:type="dxa"/>
        </w:tcPr>
        <w:p w14:paraId="5A0667DC" w14:textId="77777777" w:rsidR="00D90DFD" w:rsidRPr="009621F8" w:rsidRDefault="00D90DFD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A820C6E" wp14:editId="0A238A8B">
                    <wp:simplePos x="0" y="0"/>
                    <wp:positionH relativeFrom="column">
                      <wp:posOffset>542437</wp:posOffset>
                    </wp:positionH>
                    <wp:positionV relativeFrom="paragraph">
                      <wp:posOffset>-7034</wp:posOffset>
                    </wp:positionV>
                    <wp:extent cx="4157003" cy="471170"/>
                    <wp:effectExtent l="0" t="0" r="0" b="1270"/>
                    <wp:wrapNone/>
                    <wp:docPr id="1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57003" cy="471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96B4D6" w14:textId="77777777" w:rsidR="00D90DFD" w:rsidRPr="008D0652" w:rsidRDefault="00D90DFD" w:rsidP="00130599">
                                <w:pPr>
                                  <w:spacing w:before="0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Рабочая</w:t>
                                </w:r>
                                <w:r w:rsidRPr="008D0652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группа</w:t>
                                </w:r>
                                <w:r w:rsidRPr="008D0652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Совета</w:t>
                                </w:r>
                                <w:r w:rsidRPr="008D0652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  <w:lang w:val="ru-RU"/>
                                  </w:rPr>
                                  <w:t>по ВВУИО и ЦУР</w:t>
                                </w:r>
                                <w:r w:rsidRPr="008D0652">
                                  <w:rPr>
                                    <w:lang w:val="ru-RU"/>
                                  </w:rPr>
                                  <w:br/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Сорок первое собрание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 xml:space="preserve"> -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 xml:space="preserve"> 2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 xml:space="preserve"> 3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октября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 xml:space="preserve"> (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первая половина дня</w:t>
                                </w:r>
                                <w:r w:rsidRPr="008D0652">
                                  <w:rPr>
                                    <w:sz w:val="20"/>
                                    <w:lang w:val="ru-RU"/>
                                  </w:rPr>
                                  <w:t>) 2024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 xml:space="preserve">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820C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.7pt;margin-top:-.55pt;width:327.3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" filled="f" stroked="f">
                    <v:textbox style="mso-fit-shape-to-text:t">
                      <w:txbxContent>
                        <w:p w14:paraId="3E96B4D6" w14:textId="77777777" w:rsidR="00D90DFD" w:rsidRPr="008D0652" w:rsidRDefault="00D90DFD" w:rsidP="00130599">
                          <w:pPr>
                            <w:spacing w:before="0"/>
                            <w:rPr>
                              <w:lang w:val="ru-RU"/>
                            </w:rPr>
                          </w:pP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Рабочая</w:t>
                          </w:r>
                          <w:r w:rsidRPr="008D0652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группа</w:t>
                          </w:r>
                          <w:r w:rsidRPr="008D0652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Совета</w:t>
                          </w:r>
                          <w:r w:rsidRPr="008D0652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  <w:lang w:val="ru-RU"/>
                            </w:rPr>
                            <w:t>по ВВУИО и ЦУР</w:t>
                          </w:r>
                          <w:r w:rsidRPr="008D0652">
                            <w:rPr>
                              <w:lang w:val="ru-RU"/>
                            </w:rPr>
                            <w:br/>
                          </w:r>
                          <w:r>
                            <w:rPr>
                              <w:sz w:val="20"/>
                              <w:lang w:val="ru-RU"/>
                            </w:rPr>
                            <w:t>Сорок первое собрание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 xml:space="preserve"> -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с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 xml:space="preserve"> 2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по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 xml:space="preserve"> 3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октября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 xml:space="preserve"> (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первая половина дня</w:t>
                          </w:r>
                          <w:r w:rsidRPr="008D0652">
                            <w:rPr>
                              <w:sz w:val="20"/>
                              <w:lang w:val="ru-RU"/>
                            </w:rPr>
                            <w:t>) 2024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 xml:space="preserve"> 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0869AEA" wp14:editId="16F1C120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16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B5A76E" id="Rectangle 2" o:spid="_x0000_s1026" style="position:absolute;margin-left:44.9pt;margin-top:5pt;width:130.15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>
            <w:rPr>
              <w:noProof/>
              <w:lang w:val="ru-RU" w:eastAsia="ru-RU"/>
            </w:rPr>
            <w:drawing>
              <wp:inline distT="0" distB="0" distL="0" distR="0" wp14:anchorId="538AB25B" wp14:editId="0AE91CB6">
                <wp:extent cx="2250000" cy="622800"/>
                <wp:effectExtent l="0" t="0" r="0" b="0"/>
                <wp:docPr id="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2CB398A" w14:textId="77777777" w:rsidR="00D90DFD" w:rsidRDefault="00D90DFD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96B3C14" w14:textId="77777777" w:rsidR="00D90DFD" w:rsidRDefault="00D90DFD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1EC6FAE" w14:textId="77777777" w:rsidR="00D90DFD" w:rsidRPr="00784011" w:rsidRDefault="00D90DFD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128F321C" w14:textId="77777777" w:rsidR="00D90DFD" w:rsidRDefault="00D90DFD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FF28D1" wp14:editId="76CDA454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8CF63" id="Rectangle 5" o:spid="_x0000_s1026" style="position:absolute;margin-left:1.15pt;margin-top:43.75pt;width:7.3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E48C4"/>
    <w:multiLevelType w:val="multilevel"/>
    <w:tmpl w:val="B730657C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91641181">
    <w:abstractNumId w:val="0"/>
  </w:num>
  <w:num w:numId="2" w16cid:durableId="111347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27B"/>
    <w:rsid w:val="00063016"/>
    <w:rsid w:val="00066795"/>
    <w:rsid w:val="00076AF6"/>
    <w:rsid w:val="00085CF2"/>
    <w:rsid w:val="000A0DB6"/>
    <w:rsid w:val="000B1705"/>
    <w:rsid w:val="000C485F"/>
    <w:rsid w:val="000D75B2"/>
    <w:rsid w:val="001121F5"/>
    <w:rsid w:val="00130599"/>
    <w:rsid w:val="001400DC"/>
    <w:rsid w:val="00140CE1"/>
    <w:rsid w:val="00170DBF"/>
    <w:rsid w:val="0017539C"/>
    <w:rsid w:val="00175AC2"/>
    <w:rsid w:val="0017609F"/>
    <w:rsid w:val="001A1ACC"/>
    <w:rsid w:val="001A7D1D"/>
    <w:rsid w:val="001B51DD"/>
    <w:rsid w:val="001C628E"/>
    <w:rsid w:val="001E0865"/>
    <w:rsid w:val="001E0F7B"/>
    <w:rsid w:val="001E0FBE"/>
    <w:rsid w:val="002119FD"/>
    <w:rsid w:val="002130E0"/>
    <w:rsid w:val="00217D7E"/>
    <w:rsid w:val="00244F7F"/>
    <w:rsid w:val="00264425"/>
    <w:rsid w:val="00265875"/>
    <w:rsid w:val="002716D6"/>
    <w:rsid w:val="0027303B"/>
    <w:rsid w:val="0028109B"/>
    <w:rsid w:val="00293453"/>
    <w:rsid w:val="00293B38"/>
    <w:rsid w:val="002A1E51"/>
    <w:rsid w:val="002A2188"/>
    <w:rsid w:val="002B1F58"/>
    <w:rsid w:val="002C1C7A"/>
    <w:rsid w:val="002C54E2"/>
    <w:rsid w:val="002D113A"/>
    <w:rsid w:val="0030160F"/>
    <w:rsid w:val="00320223"/>
    <w:rsid w:val="00322D0D"/>
    <w:rsid w:val="00345D34"/>
    <w:rsid w:val="00361465"/>
    <w:rsid w:val="0037030D"/>
    <w:rsid w:val="003877F5"/>
    <w:rsid w:val="003931BD"/>
    <w:rsid w:val="003942D4"/>
    <w:rsid w:val="003958A8"/>
    <w:rsid w:val="003C2533"/>
    <w:rsid w:val="003D5A7F"/>
    <w:rsid w:val="003F3796"/>
    <w:rsid w:val="004016E2"/>
    <w:rsid w:val="0040435A"/>
    <w:rsid w:val="00416A24"/>
    <w:rsid w:val="00423AB7"/>
    <w:rsid w:val="00425E43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4F0295"/>
    <w:rsid w:val="0050223C"/>
    <w:rsid w:val="005243FF"/>
    <w:rsid w:val="00564FBC"/>
    <w:rsid w:val="005800BC"/>
    <w:rsid w:val="00582442"/>
    <w:rsid w:val="00590C4A"/>
    <w:rsid w:val="005A335D"/>
    <w:rsid w:val="005B721E"/>
    <w:rsid w:val="005E2BD5"/>
    <w:rsid w:val="005F3269"/>
    <w:rsid w:val="005F72E6"/>
    <w:rsid w:val="006069C6"/>
    <w:rsid w:val="00611F95"/>
    <w:rsid w:val="00612B46"/>
    <w:rsid w:val="00623AE3"/>
    <w:rsid w:val="00632748"/>
    <w:rsid w:val="00636853"/>
    <w:rsid w:val="0064737F"/>
    <w:rsid w:val="006535F1"/>
    <w:rsid w:val="0065557D"/>
    <w:rsid w:val="006561A2"/>
    <w:rsid w:val="00660D50"/>
    <w:rsid w:val="00662984"/>
    <w:rsid w:val="006716BB"/>
    <w:rsid w:val="006B1859"/>
    <w:rsid w:val="006B6680"/>
    <w:rsid w:val="006B6DCC"/>
    <w:rsid w:val="00702DEF"/>
    <w:rsid w:val="00706861"/>
    <w:rsid w:val="007243BF"/>
    <w:rsid w:val="00732B9B"/>
    <w:rsid w:val="0075051B"/>
    <w:rsid w:val="00754DFC"/>
    <w:rsid w:val="00775009"/>
    <w:rsid w:val="00775655"/>
    <w:rsid w:val="00793188"/>
    <w:rsid w:val="00794D34"/>
    <w:rsid w:val="00794DFC"/>
    <w:rsid w:val="007C4BD9"/>
    <w:rsid w:val="007F06DC"/>
    <w:rsid w:val="00813E5E"/>
    <w:rsid w:val="0083581B"/>
    <w:rsid w:val="00836BD9"/>
    <w:rsid w:val="0084448B"/>
    <w:rsid w:val="0085074D"/>
    <w:rsid w:val="00863874"/>
    <w:rsid w:val="00864AFF"/>
    <w:rsid w:val="00865925"/>
    <w:rsid w:val="008A0A74"/>
    <w:rsid w:val="008B4A6A"/>
    <w:rsid w:val="008C7E27"/>
    <w:rsid w:val="008D0652"/>
    <w:rsid w:val="008F7448"/>
    <w:rsid w:val="0090147A"/>
    <w:rsid w:val="009173EF"/>
    <w:rsid w:val="00932906"/>
    <w:rsid w:val="009566DF"/>
    <w:rsid w:val="00961B0B"/>
    <w:rsid w:val="00962D33"/>
    <w:rsid w:val="009A4CCB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656BE"/>
    <w:rsid w:val="00A66EE0"/>
    <w:rsid w:val="00A74405"/>
    <w:rsid w:val="00A75575"/>
    <w:rsid w:val="00A83502"/>
    <w:rsid w:val="00AD15B3"/>
    <w:rsid w:val="00AD1E0C"/>
    <w:rsid w:val="00AD3606"/>
    <w:rsid w:val="00AD4A3D"/>
    <w:rsid w:val="00AF6E49"/>
    <w:rsid w:val="00B04A67"/>
    <w:rsid w:val="00B0583C"/>
    <w:rsid w:val="00B26F85"/>
    <w:rsid w:val="00B340A1"/>
    <w:rsid w:val="00B40A81"/>
    <w:rsid w:val="00B4436B"/>
    <w:rsid w:val="00B44910"/>
    <w:rsid w:val="00B61D4C"/>
    <w:rsid w:val="00B72267"/>
    <w:rsid w:val="00B76EB6"/>
    <w:rsid w:val="00B7737B"/>
    <w:rsid w:val="00B824C8"/>
    <w:rsid w:val="00B84B9D"/>
    <w:rsid w:val="00BC251A"/>
    <w:rsid w:val="00BD032B"/>
    <w:rsid w:val="00BD2095"/>
    <w:rsid w:val="00BE2640"/>
    <w:rsid w:val="00BE4EB8"/>
    <w:rsid w:val="00C01189"/>
    <w:rsid w:val="00C35E70"/>
    <w:rsid w:val="00C374DE"/>
    <w:rsid w:val="00C467D2"/>
    <w:rsid w:val="00C47AD4"/>
    <w:rsid w:val="00C52D81"/>
    <w:rsid w:val="00C55198"/>
    <w:rsid w:val="00C57BDC"/>
    <w:rsid w:val="00C655D9"/>
    <w:rsid w:val="00C857A2"/>
    <w:rsid w:val="00C924D6"/>
    <w:rsid w:val="00CA20C6"/>
    <w:rsid w:val="00CA6393"/>
    <w:rsid w:val="00CB18FF"/>
    <w:rsid w:val="00CD0C08"/>
    <w:rsid w:val="00CE03FB"/>
    <w:rsid w:val="00CE433C"/>
    <w:rsid w:val="00CF0161"/>
    <w:rsid w:val="00CF33F3"/>
    <w:rsid w:val="00D00E17"/>
    <w:rsid w:val="00D06183"/>
    <w:rsid w:val="00D22C42"/>
    <w:rsid w:val="00D464CC"/>
    <w:rsid w:val="00D53AB1"/>
    <w:rsid w:val="00D65041"/>
    <w:rsid w:val="00D90DFD"/>
    <w:rsid w:val="00DA4BEE"/>
    <w:rsid w:val="00DB00D5"/>
    <w:rsid w:val="00DB1936"/>
    <w:rsid w:val="00DB384B"/>
    <w:rsid w:val="00DD76FF"/>
    <w:rsid w:val="00DF0189"/>
    <w:rsid w:val="00E06FD5"/>
    <w:rsid w:val="00E10E80"/>
    <w:rsid w:val="00E124F0"/>
    <w:rsid w:val="00E17F82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EE4FFF"/>
    <w:rsid w:val="00EF5C6C"/>
    <w:rsid w:val="00F16BAB"/>
    <w:rsid w:val="00F2150A"/>
    <w:rsid w:val="00F231D8"/>
    <w:rsid w:val="00F3315E"/>
    <w:rsid w:val="00F44C00"/>
    <w:rsid w:val="00F45D2C"/>
    <w:rsid w:val="00F46C5F"/>
    <w:rsid w:val="00F500F8"/>
    <w:rsid w:val="00F6249E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E63E59"/>
  <w15:docId w15:val="{EF5D9A83-03BF-410E-AF6F-F347E043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59"/>
    <w:qFormat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931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31BD"/>
    <w:rPr>
      <w:rFonts w:ascii="Tahoma" w:hAnsi="Tahoma" w:cs="Tahoma"/>
      <w:sz w:val="16"/>
      <w:szCs w:val="16"/>
      <w:lang w:val="en-GB" w:eastAsia="en-US"/>
    </w:rPr>
  </w:style>
  <w:style w:type="table" w:customStyle="1" w:styleId="11">
    <w:name w:val="Сетка таблицы11"/>
    <w:basedOn w:val="TableNormal"/>
    <w:next w:val="TableGrid"/>
    <w:uiPriority w:val="39"/>
    <w:rsid w:val="007F06DC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63274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20/en" TargetMode="External"/><Relationship Id="rId18" Type="http://schemas.openxmlformats.org/officeDocument/2006/relationships/hyperlink" Target="https://www.broadbandcommission.org/publication/state-of-broadband-2024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C-0120/en" TargetMode="External"/><Relationship Id="rId17" Type="http://schemas.openxmlformats.org/officeDocument/2006/relationships/hyperlink" Target="https://www.broadbandcommission.org/publication/state-of-broadband-202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WSIS41-C-0001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wsis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WGWSIS41-C-0001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highlights-report-activities/connect203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CC915-2590-4062-83DD-A11CFF0F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D9E6C-8437-4483-836F-068126ABF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46DD9-A4D6-458A-ADD1-187D676F06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382E3-3569-42ED-A3D8-0263A86BDE4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1aaea1ea-72e4-4374-b05e-72e2f16fb7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921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ITU'S participation to SDG digital</vt:lpstr>
      <vt:lpstr/>
    </vt:vector>
  </TitlesOfParts>
  <Company>ITU</Company>
  <LinksUpToDate>false</LinksUpToDate>
  <CharactersWithSpaces>7511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for the ITU WSIS+20 report</dc:title>
  <dc:subject>Council Working Group on WSIS and the SDGs</dc:subject>
  <cp:keywords>CWG-WSIS&amp;SDG</cp:keywords>
  <cp:revision>3</cp:revision>
  <dcterms:created xsi:type="dcterms:W3CDTF">2024-09-19T18:13:00Z</dcterms:created>
  <dcterms:modified xsi:type="dcterms:W3CDTF">2024-09-19T18:18:00Z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0x0101001E46BE2403204D4E844191C3480CD35B</vt:lpwstr>
  </property>
</Properties>
</file>