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2410"/>
        <w:gridCol w:w="6804"/>
      </w:tblGrid>
      <w:tr w:rsidR="00AD3606" w:rsidRPr="00EB7352" w14:paraId="0043AC80" w14:textId="77777777" w:rsidTr="00AF28E8">
        <w:trPr>
          <w:cantSplit/>
          <w:trHeight w:val="23"/>
        </w:trPr>
        <w:tc>
          <w:tcPr>
            <w:tcW w:w="2410" w:type="dxa"/>
            <w:vMerge w:val="restart"/>
            <w:tcMar>
              <w:left w:w="0" w:type="dxa"/>
            </w:tcMar>
          </w:tcPr>
          <w:p w14:paraId="60A806D3" w14:textId="6316C87D" w:rsidR="00AD3606" w:rsidRPr="00EB7352"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6804" w:type="dxa"/>
          </w:tcPr>
          <w:p w14:paraId="291AB2A2" w14:textId="5AA8172B" w:rsidR="00AD3606" w:rsidRPr="00EB7352" w:rsidRDefault="00AD3606" w:rsidP="00472BAD">
            <w:pPr>
              <w:tabs>
                <w:tab w:val="left" w:pos="851"/>
              </w:tabs>
              <w:spacing w:before="0" w:line="240" w:lineRule="atLeast"/>
              <w:jc w:val="right"/>
              <w:rPr>
                <w:b/>
              </w:rPr>
            </w:pPr>
            <w:r w:rsidRPr="00EB7352">
              <w:rPr>
                <w:b/>
              </w:rPr>
              <w:t>Document C</w:t>
            </w:r>
            <w:r w:rsidR="00A52C84" w:rsidRPr="00EB7352">
              <w:rPr>
                <w:b/>
              </w:rPr>
              <w:t>WG-</w:t>
            </w:r>
            <w:r w:rsidR="00636853" w:rsidRPr="00EB7352">
              <w:rPr>
                <w:b/>
              </w:rPr>
              <w:t>WSIS&amp;SDG</w:t>
            </w:r>
            <w:r w:rsidR="00A52C84" w:rsidRPr="00EB7352">
              <w:rPr>
                <w:b/>
              </w:rPr>
              <w:t>-</w:t>
            </w:r>
            <w:r w:rsidR="003F3796" w:rsidRPr="00EB7352">
              <w:rPr>
                <w:b/>
              </w:rPr>
              <w:t>4</w:t>
            </w:r>
            <w:r w:rsidR="00754DFC" w:rsidRPr="00EB7352">
              <w:rPr>
                <w:b/>
              </w:rPr>
              <w:t>1</w:t>
            </w:r>
            <w:r w:rsidRPr="00EB7352">
              <w:rPr>
                <w:b/>
              </w:rPr>
              <w:t>/</w:t>
            </w:r>
            <w:r w:rsidR="00E47D38" w:rsidRPr="00EB7352">
              <w:rPr>
                <w:b/>
              </w:rPr>
              <w:t>13</w:t>
            </w:r>
          </w:p>
        </w:tc>
      </w:tr>
      <w:tr w:rsidR="00AD3606" w:rsidRPr="00EB7352" w14:paraId="789B45BA" w14:textId="77777777" w:rsidTr="00AF28E8">
        <w:trPr>
          <w:cantSplit/>
        </w:trPr>
        <w:tc>
          <w:tcPr>
            <w:tcW w:w="2410" w:type="dxa"/>
            <w:vMerge/>
          </w:tcPr>
          <w:p w14:paraId="3F3D4E17" w14:textId="77777777" w:rsidR="00AD3606" w:rsidRPr="00EB7352" w:rsidRDefault="00AD3606" w:rsidP="00AD3606">
            <w:pPr>
              <w:tabs>
                <w:tab w:val="left" w:pos="851"/>
              </w:tabs>
              <w:spacing w:line="240" w:lineRule="atLeast"/>
              <w:rPr>
                <w:b/>
              </w:rPr>
            </w:pPr>
            <w:bookmarkStart w:id="6" w:name="ddate" w:colFirst="1" w:colLast="1"/>
            <w:bookmarkEnd w:id="0"/>
            <w:bookmarkEnd w:id="1"/>
          </w:p>
        </w:tc>
        <w:tc>
          <w:tcPr>
            <w:tcW w:w="6804" w:type="dxa"/>
          </w:tcPr>
          <w:p w14:paraId="2DE9ACEA" w14:textId="376A7C7F" w:rsidR="00AD3606" w:rsidRPr="00EB7352" w:rsidRDefault="0065350D" w:rsidP="00AD3606">
            <w:pPr>
              <w:tabs>
                <w:tab w:val="left" w:pos="851"/>
              </w:tabs>
              <w:spacing w:before="0"/>
              <w:jc w:val="right"/>
              <w:rPr>
                <w:b/>
              </w:rPr>
            </w:pPr>
            <w:r w:rsidRPr="00EB7352">
              <w:rPr>
                <w:b/>
              </w:rPr>
              <w:t>18 September</w:t>
            </w:r>
            <w:r w:rsidR="00754DFC" w:rsidRPr="00EB7352">
              <w:rPr>
                <w:b/>
              </w:rPr>
              <w:t xml:space="preserve"> 2024</w:t>
            </w:r>
          </w:p>
        </w:tc>
      </w:tr>
      <w:tr w:rsidR="00AD3606" w:rsidRPr="00EB7352" w14:paraId="58A84C4A" w14:textId="77777777" w:rsidTr="00AF28E8">
        <w:trPr>
          <w:cantSplit/>
          <w:trHeight w:val="23"/>
        </w:trPr>
        <w:tc>
          <w:tcPr>
            <w:tcW w:w="2410" w:type="dxa"/>
            <w:vMerge/>
          </w:tcPr>
          <w:p w14:paraId="77CEDDAA" w14:textId="77777777" w:rsidR="00AD3606" w:rsidRPr="00EB7352" w:rsidRDefault="00AD3606" w:rsidP="00AD3606">
            <w:pPr>
              <w:tabs>
                <w:tab w:val="left" w:pos="851"/>
              </w:tabs>
              <w:spacing w:line="240" w:lineRule="atLeast"/>
              <w:rPr>
                <w:b/>
              </w:rPr>
            </w:pPr>
            <w:bookmarkStart w:id="7" w:name="dorlang" w:colFirst="1" w:colLast="1"/>
            <w:bookmarkEnd w:id="6"/>
          </w:p>
        </w:tc>
        <w:tc>
          <w:tcPr>
            <w:tcW w:w="6804" w:type="dxa"/>
          </w:tcPr>
          <w:p w14:paraId="561AAE94" w14:textId="5D4B850C" w:rsidR="00AD3606" w:rsidRPr="00EB7352" w:rsidRDefault="0065350D" w:rsidP="008513C3">
            <w:pPr>
              <w:tabs>
                <w:tab w:val="left" w:pos="851"/>
              </w:tabs>
              <w:spacing w:before="0" w:line="240" w:lineRule="atLeast"/>
              <w:jc w:val="right"/>
              <w:rPr>
                <w:b/>
              </w:rPr>
            </w:pPr>
            <w:r w:rsidRPr="00EB7352">
              <w:rPr>
                <w:b/>
              </w:rPr>
              <w:t>English only</w:t>
            </w:r>
          </w:p>
        </w:tc>
      </w:tr>
      <w:tr w:rsidR="00472BAD" w:rsidRPr="00EB7352" w14:paraId="12C5EF5F" w14:textId="77777777" w:rsidTr="00AF28E8">
        <w:trPr>
          <w:cantSplit/>
          <w:trHeight w:val="23"/>
        </w:trPr>
        <w:tc>
          <w:tcPr>
            <w:tcW w:w="2410" w:type="dxa"/>
          </w:tcPr>
          <w:p w14:paraId="4B839BA2" w14:textId="77777777" w:rsidR="00472BAD" w:rsidRPr="00EB7352" w:rsidRDefault="00472BAD" w:rsidP="00AD3606">
            <w:pPr>
              <w:tabs>
                <w:tab w:val="left" w:pos="851"/>
              </w:tabs>
              <w:spacing w:line="240" w:lineRule="atLeast"/>
              <w:rPr>
                <w:b/>
              </w:rPr>
            </w:pPr>
          </w:p>
        </w:tc>
        <w:tc>
          <w:tcPr>
            <w:tcW w:w="6804" w:type="dxa"/>
          </w:tcPr>
          <w:p w14:paraId="12F66D25" w14:textId="77777777" w:rsidR="00472BAD" w:rsidRPr="00EB7352" w:rsidRDefault="00472BAD" w:rsidP="00AD3606">
            <w:pPr>
              <w:tabs>
                <w:tab w:val="left" w:pos="851"/>
              </w:tabs>
              <w:spacing w:before="0" w:line="240" w:lineRule="atLeast"/>
              <w:jc w:val="right"/>
              <w:rPr>
                <w:b/>
              </w:rPr>
            </w:pPr>
          </w:p>
        </w:tc>
      </w:tr>
      <w:tr w:rsidR="00AD3606" w:rsidRPr="00EB7352" w14:paraId="27000B2A" w14:textId="77777777" w:rsidTr="00AD3606">
        <w:trPr>
          <w:cantSplit/>
        </w:trPr>
        <w:tc>
          <w:tcPr>
            <w:tcW w:w="9214" w:type="dxa"/>
            <w:gridSpan w:val="2"/>
            <w:tcMar>
              <w:left w:w="0" w:type="dxa"/>
            </w:tcMar>
          </w:tcPr>
          <w:p w14:paraId="4E7CDB90" w14:textId="411AF2AD" w:rsidR="00AD3606" w:rsidRPr="00EB7352" w:rsidRDefault="003931BD" w:rsidP="00FA1FFA">
            <w:pPr>
              <w:pStyle w:val="Source"/>
              <w:framePr w:hSpace="0" w:wrap="auto" w:vAnchor="margin" w:hAnchor="text" w:xAlign="left" w:yAlign="inline"/>
            </w:pPr>
            <w:bookmarkStart w:id="8" w:name="dsource" w:colFirst="0" w:colLast="0"/>
            <w:bookmarkEnd w:id="7"/>
            <w:r w:rsidRPr="00EB7352">
              <w:t xml:space="preserve">Contribution </w:t>
            </w:r>
            <w:r w:rsidR="008513C3" w:rsidRPr="00EB7352">
              <w:t>from Armenia (Republic of)</w:t>
            </w:r>
            <w:r w:rsidR="00FA1FFA" w:rsidRPr="00EB7352">
              <w:t xml:space="preserve">, </w:t>
            </w:r>
            <w:r w:rsidR="00FA1FFA" w:rsidRPr="00EB7352">
              <w:rPr>
                <w:bCs/>
              </w:rPr>
              <w:t>Belarus (Republic of)</w:t>
            </w:r>
            <w:r w:rsidR="008A48EB">
              <w:rPr>
                <w:bCs/>
              </w:rPr>
              <w:t>,</w:t>
            </w:r>
            <w:r w:rsidR="008513C3" w:rsidRPr="00EB7352">
              <w:t xml:space="preserve"> the Russian Federation</w:t>
            </w:r>
            <w:r w:rsidR="00743A1A">
              <w:t xml:space="preserve">, </w:t>
            </w:r>
            <w:r w:rsidR="008A48EB" w:rsidRPr="008A48EB">
              <w:t>Tajikistan (Republic of)</w:t>
            </w:r>
            <w:r w:rsidR="00743A1A">
              <w:t xml:space="preserve"> and </w:t>
            </w:r>
            <w:r w:rsidR="00743A1A" w:rsidRPr="00743A1A">
              <w:t>Uzbekistan (Republic of)</w:t>
            </w:r>
          </w:p>
        </w:tc>
      </w:tr>
      <w:tr w:rsidR="00AD3606" w:rsidRPr="00EB7352" w14:paraId="2340750D" w14:textId="77777777" w:rsidTr="00AD3606">
        <w:trPr>
          <w:cantSplit/>
        </w:trPr>
        <w:tc>
          <w:tcPr>
            <w:tcW w:w="9214" w:type="dxa"/>
            <w:gridSpan w:val="2"/>
            <w:tcMar>
              <w:left w:w="0" w:type="dxa"/>
            </w:tcMar>
          </w:tcPr>
          <w:p w14:paraId="47B91AA8" w14:textId="4096AC4D" w:rsidR="00AD3606" w:rsidRPr="00EB7352" w:rsidRDefault="00AF28E8" w:rsidP="002E153D">
            <w:pPr>
              <w:pStyle w:val="Subtitle"/>
              <w:framePr w:hSpace="0" w:wrap="auto" w:xAlign="left" w:yAlign="inline"/>
            </w:pPr>
            <w:bookmarkStart w:id="9" w:name="dtitle1" w:colFirst="0" w:colLast="0"/>
            <w:bookmarkEnd w:id="8"/>
            <w:r w:rsidRPr="00EB7352">
              <w:t>ITU’S PARTICIPATION TO SDG DIGITAL</w:t>
            </w:r>
          </w:p>
        </w:tc>
      </w:tr>
      <w:tr w:rsidR="00AD3606" w:rsidRPr="00EB7352"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77777777" w:rsidR="004D648B" w:rsidRPr="00EB7352" w:rsidRDefault="004D648B" w:rsidP="004D648B">
            <w:pPr>
              <w:spacing w:before="160"/>
              <w:rPr>
                <w:b/>
                <w:bCs/>
                <w:sz w:val="26"/>
                <w:szCs w:val="26"/>
              </w:rPr>
            </w:pPr>
            <w:r w:rsidRPr="00EB7352">
              <w:rPr>
                <w:b/>
                <w:bCs/>
                <w:sz w:val="26"/>
                <w:szCs w:val="26"/>
              </w:rPr>
              <w:t>Purpose</w:t>
            </w:r>
          </w:p>
          <w:p w14:paraId="7B62C026" w14:textId="043C65E8" w:rsidR="004D648B" w:rsidRPr="00EB7352" w:rsidRDefault="003931BD" w:rsidP="00AF28E8">
            <w:r w:rsidRPr="00EB7352">
              <w:t xml:space="preserve">The aim of this contribution is to draw the attention of the ITU Secretary-General to the problematic issue that has </w:t>
            </w:r>
            <w:r w:rsidR="002412EE" w:rsidRPr="00EB7352">
              <w:t xml:space="preserve">already </w:t>
            </w:r>
            <w:r w:rsidRPr="00EB7352">
              <w:t>been raised so far, regarding the observed disregard for the WSIS process and the role of ITU in its implementation</w:t>
            </w:r>
            <w:r w:rsidR="006C2EE9" w:rsidRPr="00EB7352">
              <w:t xml:space="preserve">, as well as the interlinkage between the implementation of WSIS </w:t>
            </w:r>
            <w:r w:rsidR="00CA0DE9" w:rsidRPr="00EB7352">
              <w:t>outcomes</w:t>
            </w:r>
            <w:r w:rsidR="006C2EE9" w:rsidRPr="00EB7352">
              <w:t xml:space="preserve"> and the achievement of the SDGs while</w:t>
            </w:r>
            <w:r w:rsidRPr="00EB7352">
              <w:t xml:space="preserve"> participati</w:t>
            </w:r>
            <w:r w:rsidR="006C2EE9" w:rsidRPr="00EB7352">
              <w:t>ng</w:t>
            </w:r>
            <w:r w:rsidRPr="00EB7352">
              <w:t xml:space="preserve"> in the organization and holding of events on behalf of ITU </w:t>
            </w:r>
            <w:r w:rsidR="006C2EE9" w:rsidRPr="00EB7352">
              <w:t xml:space="preserve">related to </w:t>
            </w:r>
            <w:r w:rsidRPr="00EB7352">
              <w:t>the 2030 Agenda for Sustainable Development and, accordingly, the achievement of the SDGs.</w:t>
            </w:r>
          </w:p>
          <w:p w14:paraId="16727A07" w14:textId="77777777" w:rsidR="004D648B" w:rsidRPr="00EB7352" w:rsidRDefault="004D648B" w:rsidP="004D648B">
            <w:pPr>
              <w:spacing w:before="160"/>
              <w:rPr>
                <w:b/>
                <w:bCs/>
                <w:sz w:val="26"/>
                <w:szCs w:val="26"/>
              </w:rPr>
            </w:pPr>
            <w:r w:rsidRPr="00EB7352">
              <w:rPr>
                <w:b/>
                <w:bCs/>
                <w:sz w:val="26"/>
                <w:szCs w:val="26"/>
              </w:rPr>
              <w:t>Action required</w:t>
            </w:r>
          </w:p>
          <w:p w14:paraId="40C01AB6" w14:textId="724C074D" w:rsidR="004D648B" w:rsidRPr="00EB7352" w:rsidRDefault="00C467D2" w:rsidP="00AF28E8">
            <w:pPr>
              <w:rPr>
                <w:b/>
                <w:bCs/>
              </w:rPr>
            </w:pPr>
            <w:r w:rsidRPr="00EB7352">
              <w:t>The Council Working Group on WSIS and the SDGs is invited to</w:t>
            </w:r>
            <w:r w:rsidR="003931BD" w:rsidRPr="00EB7352">
              <w:rPr>
                <w:b/>
                <w:bCs/>
              </w:rPr>
              <w:t xml:space="preserve"> </w:t>
            </w:r>
            <w:r w:rsidRPr="00EB7352">
              <w:rPr>
                <w:b/>
                <w:bCs/>
              </w:rPr>
              <w:t xml:space="preserve">consider </w:t>
            </w:r>
            <w:r w:rsidRPr="00EB7352">
              <w:t>this document.</w:t>
            </w:r>
          </w:p>
          <w:p w14:paraId="55D946EC" w14:textId="77777777" w:rsidR="00AF28E8" w:rsidRPr="00EB7352" w:rsidRDefault="00AF28E8">
            <w:r w:rsidRPr="00EB7352">
              <w:t>_______________</w:t>
            </w:r>
          </w:p>
          <w:p w14:paraId="00DEE14C" w14:textId="0B829D56" w:rsidR="00AD3606" w:rsidRPr="00EB7352" w:rsidRDefault="004D648B" w:rsidP="00AF28E8">
            <w:pPr>
              <w:spacing w:before="160"/>
              <w:rPr>
                <w:b/>
                <w:bCs/>
                <w:sz w:val="26"/>
                <w:szCs w:val="26"/>
              </w:rPr>
            </w:pPr>
            <w:r w:rsidRPr="00EB7352">
              <w:rPr>
                <w:b/>
                <w:bCs/>
                <w:sz w:val="26"/>
                <w:szCs w:val="26"/>
              </w:rPr>
              <w:t>References</w:t>
            </w:r>
            <w:r w:rsidR="00C467D2" w:rsidRPr="00EB7352">
              <w:rPr>
                <w:b/>
                <w:bCs/>
                <w:sz w:val="26"/>
                <w:szCs w:val="26"/>
              </w:rPr>
              <w:t xml:space="preserve"> </w:t>
            </w:r>
          </w:p>
          <w:p w14:paraId="0175CD6C" w14:textId="656CE26D" w:rsidR="00AD3606" w:rsidRPr="00EB7352" w:rsidRDefault="00AF28E8" w:rsidP="00F16BAB">
            <w:pPr>
              <w:spacing w:after="160"/>
              <w:rPr>
                <w:i/>
                <w:iCs/>
                <w:sz w:val="22"/>
                <w:szCs w:val="22"/>
              </w:rPr>
            </w:pPr>
            <w:r w:rsidRPr="00EB7352">
              <w:rPr>
                <w:i/>
                <w:iCs/>
                <w:sz w:val="22"/>
                <w:szCs w:val="22"/>
              </w:rPr>
              <w:t xml:space="preserve">Document </w:t>
            </w:r>
            <w:hyperlink r:id="rId11" w:history="1">
              <w:r w:rsidR="006C2EE9" w:rsidRPr="00EB7352">
                <w:rPr>
                  <w:rStyle w:val="Hyperlink"/>
                  <w:i/>
                  <w:iCs/>
                  <w:sz w:val="22"/>
                  <w:szCs w:val="22"/>
                </w:rPr>
                <w:t>CWG-WSIS&amp;SDG-40/11</w:t>
              </w:r>
            </w:hyperlink>
          </w:p>
        </w:tc>
      </w:tr>
    </w:tbl>
    <w:p w14:paraId="4CDB8B60" w14:textId="77777777" w:rsidR="00E227F3" w:rsidRPr="00EB7352"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EB7352"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EB7352">
        <w:br w:type="page"/>
      </w:r>
    </w:p>
    <w:bookmarkEnd w:id="5"/>
    <w:bookmarkEnd w:id="10"/>
    <w:p w14:paraId="173831C7" w14:textId="2B3CD4DE" w:rsidR="00CD3887" w:rsidRPr="00EB7352" w:rsidRDefault="00CD3887" w:rsidP="00AF28E8">
      <w:pPr>
        <w:pStyle w:val="Heading1"/>
      </w:pPr>
      <w:r w:rsidRPr="00EB7352">
        <w:lastRenderedPageBreak/>
        <w:t>1</w:t>
      </w:r>
      <w:r w:rsidRPr="00EB7352">
        <w:tab/>
        <w:t>General information</w:t>
      </w:r>
    </w:p>
    <w:p w14:paraId="5D4561ED" w14:textId="55502D69" w:rsidR="00CD3887" w:rsidRPr="00EB7352" w:rsidRDefault="00CD3887" w:rsidP="00AF28E8">
      <w:pPr>
        <w:jc w:val="both"/>
        <w:rPr>
          <w:rFonts w:eastAsia="Calibri"/>
        </w:rPr>
      </w:pPr>
      <w:r w:rsidRPr="00EB7352">
        <w:rPr>
          <w:rFonts w:eastAsia="Calibri"/>
        </w:rPr>
        <w:t xml:space="preserve">The dedicated </w:t>
      </w:r>
      <w:hyperlink r:id="rId12" w:history="1">
        <w:r w:rsidR="009E6A2B" w:rsidRPr="00EB7352">
          <w:rPr>
            <w:rStyle w:val="Hyperlink"/>
            <w:rFonts w:eastAsia="Calibri"/>
          </w:rPr>
          <w:t>web</w:t>
        </w:r>
        <w:r w:rsidRPr="00EB7352">
          <w:rPr>
            <w:rStyle w:val="Hyperlink"/>
            <w:rFonts w:eastAsia="Calibri"/>
          </w:rPr>
          <w:t>page</w:t>
        </w:r>
      </w:hyperlink>
      <w:r w:rsidRPr="00EB7352">
        <w:rPr>
          <w:rFonts w:eastAsia="Calibri"/>
        </w:rPr>
        <w:t xml:space="preserve"> of </w:t>
      </w:r>
      <w:r w:rsidR="00EB7414" w:rsidRPr="00EB7352">
        <w:rPr>
          <w:rFonts w:eastAsia="Calibri"/>
        </w:rPr>
        <w:t xml:space="preserve">the </w:t>
      </w:r>
      <w:r w:rsidRPr="00EB7352">
        <w:rPr>
          <w:rFonts w:eastAsia="Calibri"/>
        </w:rPr>
        <w:t>ITU website says that on 17 September 2023, ITU, UNDP and partners convened for SDG Digital at United Nations Headquarters in New York.</w:t>
      </w:r>
    </w:p>
    <w:p w14:paraId="49CAAC05" w14:textId="77777777" w:rsidR="00CD3887" w:rsidRPr="00EB7352" w:rsidRDefault="00CD3887" w:rsidP="00AF28E8">
      <w:pPr>
        <w:jc w:val="both"/>
        <w:rPr>
          <w:rFonts w:eastAsia="Calibri"/>
        </w:rPr>
      </w:pPr>
      <w:r w:rsidRPr="00EB7352">
        <w:rPr>
          <w:rFonts w:eastAsia="Calibri"/>
        </w:rPr>
        <w:t>As part of the SDG Action Weekend, the event focused on bringing digital SDG solutions to scale, including through new High Impact Initiatives for sustainable, inclusive digital transformation.</w:t>
      </w:r>
    </w:p>
    <w:p w14:paraId="4CFC8E30" w14:textId="6A4146D3" w:rsidR="00EB7414" w:rsidRPr="00EB7352" w:rsidRDefault="00EB7414" w:rsidP="00AF28E8">
      <w:pPr>
        <w:jc w:val="both"/>
        <w:rPr>
          <w:rFonts w:eastAsia="Calibri"/>
        </w:rPr>
      </w:pPr>
      <w:r w:rsidRPr="00EB7352">
        <w:rPr>
          <w:rFonts w:eastAsia="Calibri"/>
        </w:rPr>
        <w:t>In accordance with the ITU email newsletter</w:t>
      </w:r>
      <w:r w:rsidR="00CA0DE9" w:rsidRPr="00EB7352">
        <w:rPr>
          <w:rFonts w:eastAsia="Calibri"/>
        </w:rPr>
        <w:t xml:space="preserve"> of 12 August 2024</w:t>
      </w:r>
      <w:r w:rsidRPr="00EB7352">
        <w:rPr>
          <w:rFonts w:eastAsia="Calibri"/>
        </w:rPr>
        <w:t xml:space="preserve">, and also in accordance with the information on the special </w:t>
      </w:r>
      <w:hyperlink r:id="rId13" w:history="1">
        <w:r w:rsidRPr="00EB7352">
          <w:rPr>
            <w:rStyle w:val="Hyperlink"/>
            <w:rFonts w:eastAsia="Calibri"/>
          </w:rPr>
          <w:t>webpage</w:t>
        </w:r>
      </w:hyperlink>
      <w:r w:rsidRPr="00EB7352">
        <w:rPr>
          <w:rFonts w:eastAsia="Calibri"/>
        </w:rPr>
        <w:t xml:space="preserve"> of the ITU we</w:t>
      </w:r>
      <w:r w:rsidR="009E6A2B" w:rsidRPr="00EB7352">
        <w:rPr>
          <w:rFonts w:eastAsia="Calibri"/>
        </w:rPr>
        <w:t>b</w:t>
      </w:r>
      <w:r w:rsidRPr="00EB7352">
        <w:rPr>
          <w:rFonts w:eastAsia="Calibri"/>
        </w:rPr>
        <w:t>site, building on the impact of last year’s SDG Digital, ITU and UNDP are gearing up for SDG Digital to take place on</w:t>
      </w:r>
      <w:r w:rsidR="00EB7352">
        <w:rPr>
          <w:rFonts w:eastAsia="Calibri"/>
          <w:b/>
          <w:bCs/>
        </w:rPr>
        <w:t xml:space="preserve"> </w:t>
      </w:r>
      <w:r w:rsidRPr="00EB7352">
        <w:rPr>
          <w:rFonts w:eastAsia="Calibri"/>
          <w:bCs/>
        </w:rPr>
        <w:t>20-21 September in New York</w:t>
      </w:r>
      <w:r w:rsidRPr="00EB7352">
        <w:rPr>
          <w:rFonts w:eastAsia="Calibri"/>
        </w:rPr>
        <w:t>.</w:t>
      </w:r>
    </w:p>
    <w:p w14:paraId="6A9D43F8" w14:textId="5835A6AB" w:rsidR="00EB7414" w:rsidRPr="00EB7352" w:rsidRDefault="00EB7414" w:rsidP="00EB7352">
      <w:pPr>
        <w:jc w:val="both"/>
        <w:rPr>
          <w:rFonts w:eastAsia="Calibri"/>
        </w:rPr>
      </w:pPr>
      <w:r w:rsidRPr="00EB7352">
        <w:rPr>
          <w:rFonts w:eastAsia="Calibri"/>
        </w:rPr>
        <w:t>“SDG Digital is a cornerstone of our ongoing efforts to leverage digital innovation for achieving the Sustainable Development Goals (SDGs), set within the broader context of this year’s UN General Assembly, the</w:t>
      </w:r>
      <w:r w:rsidR="00EB7352">
        <w:rPr>
          <w:rFonts w:eastAsia="Calibri"/>
        </w:rPr>
        <w:t xml:space="preserve"> </w:t>
      </w:r>
      <w:hyperlink r:id="rId14" w:tgtFrame="_blank" w:history="1">
        <w:r w:rsidRPr="00EB7352">
          <w:rPr>
            <w:rStyle w:val="Hyperlink"/>
            <w:rFonts w:eastAsia="Calibri"/>
          </w:rPr>
          <w:t>Summit of the Future</w:t>
        </w:r>
      </w:hyperlink>
      <w:r w:rsidR="00EB7352">
        <w:rPr>
          <w:rFonts w:eastAsia="Calibri"/>
        </w:rPr>
        <w:t xml:space="preserve"> </w:t>
      </w:r>
      <w:r w:rsidRPr="00EB7352">
        <w:rPr>
          <w:rFonts w:eastAsia="Calibri"/>
        </w:rPr>
        <w:t>and its</w:t>
      </w:r>
      <w:r w:rsidR="00EB7352">
        <w:rPr>
          <w:rFonts w:eastAsia="Calibri"/>
        </w:rPr>
        <w:t xml:space="preserve"> </w:t>
      </w:r>
      <w:hyperlink r:id="rId15" w:tgtFrame="_blank" w:history="1">
        <w:r w:rsidRPr="00EB7352">
          <w:rPr>
            <w:rStyle w:val="Hyperlink"/>
            <w:rFonts w:eastAsia="Calibri"/>
          </w:rPr>
          <w:t>Action Days</w:t>
        </w:r>
      </w:hyperlink>
      <w:r w:rsidRPr="00EB7352">
        <w:rPr>
          <w:rFonts w:eastAsia="Calibri"/>
        </w:rPr>
        <w:t>”, the newsletter says.</w:t>
      </w:r>
    </w:p>
    <w:p w14:paraId="47A6A9FC" w14:textId="77777777" w:rsidR="00EB7414" w:rsidRPr="00EB7352" w:rsidRDefault="00EB7414" w:rsidP="00AF28E8">
      <w:pPr>
        <w:jc w:val="both"/>
        <w:rPr>
          <w:rFonts w:eastAsia="Calibri"/>
        </w:rPr>
      </w:pPr>
      <w:r w:rsidRPr="00EB7352">
        <w:rPr>
          <w:rFonts w:eastAsia="Calibri"/>
        </w:rPr>
        <w:t xml:space="preserve">SDG Digital is expected to exemplify how digital technologies can lay the groundwork for a more sustainable, inclusive, and responsible future. </w:t>
      </w:r>
    </w:p>
    <w:p w14:paraId="279DD20B" w14:textId="5FD41065" w:rsidR="00EB7414" w:rsidRPr="00EB7352" w:rsidRDefault="00EB7414" w:rsidP="00AF28E8">
      <w:pPr>
        <w:jc w:val="both"/>
        <w:rPr>
          <w:rFonts w:eastAsia="Calibri"/>
        </w:rPr>
      </w:pPr>
      <w:r w:rsidRPr="00EB7352">
        <w:rPr>
          <w:rFonts w:eastAsia="Calibri"/>
        </w:rPr>
        <w:t>The above information sources also note that, “By convening leaders from government, civil society, the private sector, youth, and academia, SDG Digital will propel participants forward into the future, encouraging exploration of the trends, risks, and opportunities presented by digital and emerging technologies on our journey forward”.</w:t>
      </w:r>
    </w:p>
    <w:p w14:paraId="5A11B262" w14:textId="3020EE78" w:rsidR="00CD3887" w:rsidRPr="00EB7352" w:rsidRDefault="00CD3887" w:rsidP="00AF28E8">
      <w:pPr>
        <w:pStyle w:val="Heading1"/>
      </w:pPr>
      <w:r w:rsidRPr="00EB7352">
        <w:t>2</w:t>
      </w:r>
      <w:r w:rsidRPr="00EB7352">
        <w:tab/>
        <w:t xml:space="preserve">Basis for proposal </w:t>
      </w:r>
    </w:p>
    <w:p w14:paraId="308727C3" w14:textId="77777777" w:rsidR="00CD3887" w:rsidRPr="00EB7352" w:rsidRDefault="00CD3887" w:rsidP="00AF28E8">
      <w:pPr>
        <w:jc w:val="both"/>
        <w:rPr>
          <w:rFonts w:eastAsia="Calibri"/>
        </w:rPr>
      </w:pPr>
      <w:r w:rsidRPr="00EB7352">
        <w:rPr>
          <w:rFonts w:eastAsia="Calibri"/>
        </w:rPr>
        <w:t>ITU's role in implementing the outcomes of the World Summit on the Information Society and the 2030 Agenda for Sustainable Development, as well as in their follow-up and review processes is envisaged by Plenipotentiary conference Resolution 140 (Rev. Bucharest, 2022).</w:t>
      </w:r>
    </w:p>
    <w:p w14:paraId="16AA0BAC" w14:textId="77777777" w:rsidR="00D94F5D" w:rsidRPr="00EB7352" w:rsidRDefault="00CD3887" w:rsidP="00AF28E8">
      <w:pPr>
        <w:jc w:val="both"/>
        <w:rPr>
          <w:rFonts w:eastAsia="Calibri"/>
        </w:rPr>
      </w:pPr>
      <w:r w:rsidRPr="00EB7352">
        <w:rPr>
          <w:rFonts w:eastAsia="Calibri"/>
        </w:rPr>
        <w:t>This resolution recognizes that “that the WSIS action lines are crucial for advancing the achievement of the SDGs…” and resolves to “to continue ITU's work on implementation of the WSIS outcomes and the 2030 Agenda for Sustainable Development using the WSIS-SDG Matrix”.</w:t>
      </w:r>
      <w:r w:rsidR="00D94F5D" w:rsidRPr="00EB7352">
        <w:rPr>
          <w:rFonts w:eastAsia="Calibri"/>
        </w:rPr>
        <w:t xml:space="preserve"> </w:t>
      </w:r>
    </w:p>
    <w:p w14:paraId="3669CD84" w14:textId="148E7418" w:rsidR="00D94F5D" w:rsidRPr="00EB7352" w:rsidRDefault="00D94F5D" w:rsidP="00AF28E8">
      <w:pPr>
        <w:jc w:val="both"/>
        <w:rPr>
          <w:rFonts w:eastAsia="Calibri"/>
        </w:rPr>
      </w:pPr>
      <w:r w:rsidRPr="00EB7352">
        <w:rPr>
          <w:rFonts w:eastAsia="Calibri"/>
        </w:rPr>
        <w:t>Also, Plenipotentiary conference Resolution 140 (Rev. Bucharest, 2022) instructs the Secretary-General, inter alia, “to ensure that ITU activities related to the 2030 Agenda for Sustainable Development are implemented through close alignment with the WSIS process…”.</w:t>
      </w:r>
    </w:p>
    <w:p w14:paraId="68BFE6D0" w14:textId="569419FD" w:rsidR="00AA3D2C" w:rsidRPr="00EB7352" w:rsidRDefault="00AA3D2C" w:rsidP="00AF28E8">
      <w:pPr>
        <w:jc w:val="both"/>
        <w:rPr>
          <w:rFonts w:eastAsia="Calibri"/>
        </w:rPr>
      </w:pPr>
      <w:r w:rsidRPr="00EB7352">
        <w:rPr>
          <w:rFonts w:eastAsia="Calibri"/>
        </w:rPr>
        <w:t xml:space="preserve">In turn, ITU Council Resolution 1332 (amend. C24) </w:t>
      </w:r>
      <w:r w:rsidR="009E6A2B" w:rsidRPr="00EB7352">
        <w:rPr>
          <w:rFonts w:eastAsia="Calibri"/>
        </w:rPr>
        <w:t>considers that “</w:t>
      </w:r>
      <w:r w:rsidR="009E6A2B" w:rsidRPr="00EB7352">
        <w:rPr>
          <w:lang w:eastAsia="zh-CN"/>
        </w:rPr>
        <w:t>the implementation of the WSIS outcomes will contribute to promoting digital transformation and the development of the digital economy and achieving the SDGs</w:t>
      </w:r>
      <w:r w:rsidR="009E6A2B" w:rsidRPr="00EB7352">
        <w:rPr>
          <w:rFonts w:eastAsia="Calibri"/>
        </w:rPr>
        <w:t xml:space="preserve">” and </w:t>
      </w:r>
      <w:r w:rsidRPr="00EB7352">
        <w:rPr>
          <w:rFonts w:eastAsia="Calibri"/>
        </w:rPr>
        <w:t>recognizes “(d) </w:t>
      </w:r>
      <w:r w:rsidRPr="00EB7352">
        <w:rPr>
          <w:rFonts w:eastAsia="SimSun"/>
        </w:rPr>
        <w:t>that there is a close SDGs-WSIS interlinkage reflected in WSIS-SDGs Matrix, that shows the value of continued implementation of the WSIS outcomes towards the achievement of the 2030 Agenda</w:t>
      </w:r>
      <w:r w:rsidRPr="00EB7352">
        <w:rPr>
          <w:rFonts w:eastAsia="Calibri"/>
        </w:rPr>
        <w:t>”.</w:t>
      </w:r>
    </w:p>
    <w:p w14:paraId="25FABD9D" w14:textId="0AB5DFF2" w:rsidR="00D94F5D" w:rsidRPr="00EB7352" w:rsidRDefault="00D94F5D" w:rsidP="00AF28E8">
      <w:pPr>
        <w:jc w:val="both"/>
        <w:rPr>
          <w:rFonts w:eastAsia="Calibri"/>
        </w:rPr>
      </w:pPr>
      <w:r w:rsidRPr="00EB7352">
        <w:rPr>
          <w:rFonts w:eastAsia="Calibri"/>
        </w:rPr>
        <w:t>Moreover, ITU Council Resolution 1332 (amend. C24) instructs the Secretary-General to, inter alia:</w:t>
      </w:r>
    </w:p>
    <w:p w14:paraId="4E29BDC6" w14:textId="4F8DFF9B" w:rsidR="00D94F5D" w:rsidRPr="00EB7352" w:rsidRDefault="00AF28E8" w:rsidP="00AF28E8">
      <w:pPr>
        <w:pStyle w:val="enumlev1"/>
        <w:jc w:val="both"/>
        <w:rPr>
          <w:rFonts w:eastAsia="Calibri"/>
        </w:rPr>
      </w:pPr>
      <w:r w:rsidRPr="00EB7352">
        <w:rPr>
          <w:rFonts w:eastAsia="Calibri"/>
        </w:rPr>
        <w:tab/>
      </w:r>
      <w:r w:rsidR="00D94F5D" w:rsidRPr="00EB7352">
        <w:rPr>
          <w:rFonts w:eastAsia="Calibri"/>
        </w:rPr>
        <w:t>“2</w:t>
      </w:r>
      <w:r w:rsidR="00D94F5D" w:rsidRPr="00EB7352">
        <w:rPr>
          <w:rFonts w:eastAsia="Calibri"/>
        </w:rPr>
        <w:tab/>
        <w:t>to ensure that ITU activities related to the 2030 Agenda for Sustainable Development are implemented through the close alignment with WSIS process and are conducted in accordance with its mandate, within established policies and procedures, and within the allocated resources in the financial plan and biennial budget”,</w:t>
      </w:r>
    </w:p>
    <w:p w14:paraId="1910EE86" w14:textId="70DE7DBC" w:rsidR="00D94F5D" w:rsidRPr="00EB7352" w:rsidRDefault="00AF28E8" w:rsidP="00AF28E8">
      <w:pPr>
        <w:pStyle w:val="enumlev1"/>
        <w:jc w:val="both"/>
        <w:rPr>
          <w:rFonts w:eastAsia="Calibri"/>
        </w:rPr>
      </w:pPr>
      <w:r w:rsidRPr="00EB7352">
        <w:rPr>
          <w:rFonts w:eastAsia="Calibri"/>
        </w:rPr>
        <w:lastRenderedPageBreak/>
        <w:tab/>
      </w:r>
      <w:r w:rsidR="00D94F5D" w:rsidRPr="00EB7352">
        <w:rPr>
          <w:rFonts w:eastAsia="Calibri"/>
        </w:rPr>
        <w:t>“5</w:t>
      </w:r>
      <w:r w:rsidR="00D94F5D" w:rsidRPr="00EB7352">
        <w:rPr>
          <w:rFonts w:eastAsia="Calibri"/>
        </w:rPr>
        <w:tab/>
        <w:t>to continue to contribute to the Summit of the Future and the SDG Summit, working towards synergy and coherence with the implementation of the WSIS outcomes, taking into account the views of the ITU Membership, including through CWG-WSIS&amp;SDG”.</w:t>
      </w:r>
    </w:p>
    <w:p w14:paraId="6175095A" w14:textId="74CF797D" w:rsidR="0032186E" w:rsidRPr="00EB7352" w:rsidRDefault="0032186E" w:rsidP="00AF28E8">
      <w:pPr>
        <w:jc w:val="both"/>
        <w:rPr>
          <w:rFonts w:eastAsia="Calibri"/>
        </w:rPr>
      </w:pPr>
      <w:r w:rsidRPr="00EB7352">
        <w:rPr>
          <w:rFonts w:eastAsia="Calibri"/>
        </w:rPr>
        <w:t>The previous meeting of the CWG-WSIS&amp;SDGs considered the multi-country contribution</w:t>
      </w:r>
      <w:r w:rsidR="00EB7352" w:rsidRPr="00EB7352">
        <w:rPr>
          <w:rFonts w:eastAsia="Calibri"/>
        </w:rPr>
        <w:t xml:space="preserve"> Document </w:t>
      </w:r>
      <w:hyperlink r:id="rId16" w:history="1">
        <w:r w:rsidRPr="00EB7352">
          <w:rPr>
            <w:rStyle w:val="Hyperlink"/>
            <w:iCs/>
            <w:szCs w:val="24"/>
          </w:rPr>
          <w:t>CWG-WSIS&amp;SDG-40/11</w:t>
        </w:r>
      </w:hyperlink>
      <w:r w:rsidRPr="00EB7352">
        <w:rPr>
          <w:rFonts w:eastAsia="Calibri"/>
        </w:rPr>
        <w:t>, during the related discussion the issue was also raised that ITU Member States, within the framework of the current approaches to the work of the Union, do not have the opportunity to take part in the discussion of how ITU manifests itself in external processes of the global digital agenda, what contributions it makes and what are the messages of the Union in related discussions.</w:t>
      </w:r>
    </w:p>
    <w:p w14:paraId="61F49CBB" w14:textId="77777777" w:rsidR="0032186E" w:rsidRPr="00EB7352" w:rsidRDefault="0032186E" w:rsidP="00AF28E8">
      <w:pPr>
        <w:jc w:val="both"/>
        <w:rPr>
          <w:rFonts w:eastAsia="Calibri"/>
        </w:rPr>
      </w:pPr>
      <w:r w:rsidRPr="00EB7352">
        <w:rPr>
          <w:rFonts w:eastAsia="Calibri"/>
        </w:rPr>
        <w:t>In this discussion, the Secretariat noted that “</w:t>
      </w:r>
      <w:r w:rsidRPr="00EB7352">
        <w:rPr>
          <w:rFonts w:asciiTheme="minorHAnsi" w:eastAsia="Calibri" w:hAnsiTheme="minorHAnsi" w:cstheme="minorHAnsi"/>
          <w:bCs/>
          <w:lang w:eastAsia="en-GB"/>
        </w:rPr>
        <w:t>Digital being at the forefront of global discussions, ITU needs to be agile and make quick decisions regarding certain activities and events. Timelines for inputs and statements are usually short, requiring quick turnaround. These are within the mandates given to the General Secretariat and/or the Sectors within the PP and Council resolutions.</w:t>
      </w:r>
      <w:r w:rsidRPr="00EB7352">
        <w:rPr>
          <w:rFonts w:eastAsia="Calibri"/>
        </w:rPr>
        <w:t>” (</w:t>
      </w:r>
      <w:hyperlink r:id="rId17" w:history="1">
        <w:r w:rsidRPr="00EB7352">
          <w:rPr>
            <w:rStyle w:val="Hyperlink"/>
            <w:rFonts w:eastAsia="Calibri"/>
          </w:rPr>
          <w:t>CWG-WSIS&amp;SDG-40/15</w:t>
        </w:r>
      </w:hyperlink>
      <w:r w:rsidRPr="00EB7352">
        <w:rPr>
          <w:rFonts w:eastAsia="Calibri"/>
        </w:rPr>
        <w:t>, 8.1.2)</w:t>
      </w:r>
    </w:p>
    <w:p w14:paraId="6A239DDF" w14:textId="3DF45DC1" w:rsidR="00CA0DE9" w:rsidRPr="00EB7352" w:rsidRDefault="00CA0DE9" w:rsidP="00AF28E8">
      <w:pPr>
        <w:jc w:val="both"/>
        <w:rPr>
          <w:rFonts w:eastAsia="Calibri"/>
        </w:rPr>
      </w:pPr>
      <w:r w:rsidRPr="00EB7352">
        <w:rPr>
          <w:rFonts w:eastAsia="Calibri"/>
        </w:rPr>
        <w:t>At the same time, the analysis of information resources, materials, and presentations on SDG Digital</w:t>
      </w:r>
      <w:r w:rsidR="00E47DF1" w:rsidRPr="00EB7352">
        <w:rPr>
          <w:rFonts w:eastAsia="Calibri"/>
        </w:rPr>
        <w:t xml:space="preserve"> of the past and this year</w:t>
      </w:r>
      <w:r w:rsidRPr="00EB7352">
        <w:rPr>
          <w:rFonts w:eastAsia="Calibri"/>
        </w:rPr>
        <w:t>, prepared and made on behalf of ITU, did not contain and do not contain any references to the WSIS process, the role of ITU in its implementation, as well as the connection between the processes of implementing WSIS decisions and achieving the SDGs.</w:t>
      </w:r>
    </w:p>
    <w:p w14:paraId="5EF69D1A" w14:textId="44A950B2" w:rsidR="00CD3887" w:rsidRPr="00EB7352" w:rsidRDefault="00CD3887" w:rsidP="00AF28E8">
      <w:pPr>
        <w:pStyle w:val="Heading1"/>
      </w:pPr>
      <w:r w:rsidRPr="00EB7352">
        <w:t>3</w:t>
      </w:r>
      <w:r w:rsidRPr="00EB7352">
        <w:tab/>
        <w:t>Proposal</w:t>
      </w:r>
    </w:p>
    <w:p w14:paraId="7553C403" w14:textId="585582CB" w:rsidR="00CD3887" w:rsidRPr="00EB7352" w:rsidRDefault="009E6A2B" w:rsidP="00AF28E8">
      <w:pPr>
        <w:jc w:val="both"/>
        <w:rPr>
          <w:rFonts w:eastAsia="Calibri"/>
        </w:rPr>
      </w:pPr>
      <w:r w:rsidRPr="00EB7352">
        <w:rPr>
          <w:rFonts w:eastAsia="Calibri"/>
        </w:rPr>
        <w:t xml:space="preserve">Bearing in mind the above, CWG-WSIS&amp;SDGS </w:t>
      </w:r>
      <w:r w:rsidR="00CD3887" w:rsidRPr="00EB7352">
        <w:rPr>
          <w:rFonts w:eastAsia="Calibri"/>
        </w:rPr>
        <w:t>is invited to recommend to the Secret</w:t>
      </w:r>
      <w:r w:rsidR="00C85CBE" w:rsidRPr="00EB7352">
        <w:rPr>
          <w:rFonts w:eastAsia="Calibri"/>
        </w:rPr>
        <w:t>ariat</w:t>
      </w:r>
      <w:r w:rsidR="00CD3887" w:rsidRPr="00EB7352">
        <w:rPr>
          <w:rFonts w:eastAsia="Calibri"/>
        </w:rPr>
        <w:t xml:space="preserve"> to:</w:t>
      </w:r>
    </w:p>
    <w:p w14:paraId="2993977C" w14:textId="4EDF8F71" w:rsidR="00CD3887" w:rsidRPr="00EB7352" w:rsidRDefault="00CD3887" w:rsidP="00AF28E8">
      <w:pPr>
        <w:pStyle w:val="enumlev1"/>
        <w:jc w:val="both"/>
        <w:rPr>
          <w:rFonts w:eastAsia="Calibri"/>
        </w:rPr>
      </w:pPr>
      <w:r w:rsidRPr="00EB7352">
        <w:rPr>
          <w:rFonts w:eastAsia="Calibri"/>
        </w:rPr>
        <w:t>1</w:t>
      </w:r>
      <w:r w:rsidRPr="00EB7352">
        <w:rPr>
          <w:rFonts w:eastAsia="Calibri"/>
        </w:rPr>
        <w:tab/>
        <w:t xml:space="preserve">take steps to ensure that the dedicated SDG Digital </w:t>
      </w:r>
      <w:r w:rsidR="009E6A2B" w:rsidRPr="00EB7352">
        <w:rPr>
          <w:rFonts w:eastAsia="Calibri"/>
        </w:rPr>
        <w:t xml:space="preserve">2024 </w:t>
      </w:r>
      <w:r w:rsidRPr="00EB7352">
        <w:rPr>
          <w:rFonts w:eastAsia="Calibri"/>
        </w:rPr>
        <w:t xml:space="preserve">webpage of the ITU website, the related </w:t>
      </w:r>
      <w:r w:rsidR="009E6A2B" w:rsidRPr="00EB7352">
        <w:rPr>
          <w:rFonts w:eastAsia="Calibri"/>
        </w:rPr>
        <w:t>materials</w:t>
      </w:r>
      <w:r w:rsidRPr="00EB7352">
        <w:rPr>
          <w:rFonts w:eastAsia="Calibri"/>
        </w:rPr>
        <w:t xml:space="preserve"> posted on said webpage, and the ITU contribution to the event, whether in the form of welcoming words , information documents, presentations or other materials relating to the role of ITU in the implementation of the 2030 Agenda for Sustainable Development, i.e. in the achievement of the UN SDGs, prepared by ITU, have been updated/prepared taking into account and duly reflecting the close linkage between the processes of implementation of the WSIS outcomes and the achievement of the SDGs reflected in the WSIS-SDG Matrix, and that the WSIS action lines are crucial for advancing the achievement of the SDGs</w:t>
      </w:r>
      <w:r w:rsidR="00AF28E8" w:rsidRPr="00EB7352">
        <w:rPr>
          <w:rFonts w:eastAsia="Calibri"/>
        </w:rPr>
        <w:t>;</w:t>
      </w:r>
    </w:p>
    <w:p w14:paraId="257674B4" w14:textId="28D8DD98" w:rsidR="00A514A4" w:rsidRPr="00EB7352" w:rsidRDefault="00CD3887" w:rsidP="00AF28E8">
      <w:pPr>
        <w:pStyle w:val="enumlev1"/>
        <w:jc w:val="both"/>
        <w:rPr>
          <w:rFonts w:eastAsia="Calibri"/>
        </w:rPr>
      </w:pPr>
      <w:r w:rsidRPr="00EB7352">
        <w:rPr>
          <w:rFonts w:eastAsia="Calibri"/>
        </w:rPr>
        <w:t>2</w:t>
      </w:r>
      <w:r w:rsidRPr="00EB7352">
        <w:rPr>
          <w:rFonts w:eastAsia="Calibri"/>
        </w:rPr>
        <w:tab/>
        <w:t xml:space="preserve">to submit a report on ITU participation in SDG Digital to the meeting of the Council Working Group on WSIS&amp;SDGs in </w:t>
      </w:r>
      <w:r w:rsidR="00C85CBE" w:rsidRPr="00EB7352">
        <w:rPr>
          <w:rFonts w:eastAsia="Calibri"/>
        </w:rPr>
        <w:t>winter</w:t>
      </w:r>
      <w:r w:rsidRPr="00EB7352">
        <w:rPr>
          <w:rFonts w:eastAsia="Calibri"/>
        </w:rPr>
        <w:t xml:space="preserve"> 202</w:t>
      </w:r>
      <w:r w:rsidR="00C85CBE" w:rsidRPr="00EB7352">
        <w:rPr>
          <w:rFonts w:eastAsia="Calibri"/>
        </w:rPr>
        <w:t>5</w:t>
      </w:r>
      <w:r w:rsidRPr="00EB7352">
        <w:rPr>
          <w:rFonts w:eastAsia="Calibri"/>
        </w:rPr>
        <w:t xml:space="preserve"> and the next session of the ITU Council.</w:t>
      </w:r>
    </w:p>
    <w:p w14:paraId="4DCE63AE" w14:textId="77777777" w:rsidR="00AF28E8" w:rsidRPr="00EB7352" w:rsidRDefault="00AF28E8" w:rsidP="00AF28E8">
      <w:pPr>
        <w:pStyle w:val="enumlev1"/>
        <w:jc w:val="both"/>
        <w:rPr>
          <w:rFonts w:eastAsia="Calibri"/>
        </w:rPr>
      </w:pPr>
    </w:p>
    <w:p w14:paraId="13D9A902" w14:textId="34A05E25" w:rsidR="00AF28E8" w:rsidRPr="00EB7352" w:rsidRDefault="00AF28E8" w:rsidP="00AF28E8">
      <w:pPr>
        <w:jc w:val="center"/>
      </w:pPr>
      <w:r w:rsidRPr="00EB7352">
        <w:t>______________</w:t>
      </w:r>
    </w:p>
    <w:sectPr w:rsidR="00AF28E8" w:rsidRPr="00EB7352" w:rsidSect="00AD3606">
      <w:footerReference w:type="default" r:id="rId18"/>
      <w:headerReference w:type="first" r:id="rId19"/>
      <w:footerReference w:type="first" r:id="rId2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EA85B" w14:textId="77777777" w:rsidR="0067090C" w:rsidRDefault="0067090C">
      <w:r>
        <w:separator/>
      </w:r>
    </w:p>
  </w:endnote>
  <w:endnote w:type="continuationSeparator" w:id="0">
    <w:p w14:paraId="37735929" w14:textId="77777777" w:rsidR="0067090C" w:rsidRDefault="00670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9324EC" w14:paraId="07402CB9" w14:textId="77777777" w:rsidTr="0042469C">
      <w:trPr>
        <w:jc w:val="center"/>
      </w:trPr>
      <w:tc>
        <w:tcPr>
          <w:tcW w:w="1803" w:type="dxa"/>
          <w:vAlign w:val="center"/>
        </w:tcPr>
        <w:p w14:paraId="727FD637" w14:textId="42B0F2AF" w:rsidR="00EE49E8" w:rsidRDefault="00EE49E8" w:rsidP="00EE49E8">
          <w:pPr>
            <w:pStyle w:val="Header"/>
            <w:jc w:val="left"/>
            <w:rPr>
              <w:noProof/>
            </w:rPr>
          </w:pPr>
        </w:p>
      </w:tc>
      <w:tc>
        <w:tcPr>
          <w:tcW w:w="8261" w:type="dxa"/>
        </w:tcPr>
        <w:p w14:paraId="2D49E76E" w14:textId="4F76F083" w:rsidR="00EE49E8" w:rsidRPr="009324EC" w:rsidRDefault="00EE49E8" w:rsidP="00636853">
          <w:pPr>
            <w:pStyle w:val="Header"/>
            <w:tabs>
              <w:tab w:val="left" w:pos="5738"/>
              <w:tab w:val="right" w:pos="8505"/>
              <w:tab w:val="right" w:pos="9639"/>
            </w:tabs>
            <w:jc w:val="left"/>
            <w:rPr>
              <w:rFonts w:ascii="Arial" w:hAnsi="Arial" w:cs="Arial"/>
              <w:b/>
              <w:bCs/>
              <w:szCs w:val="18"/>
              <w:lang w:val="es-ES"/>
            </w:rPr>
          </w:pPr>
          <w:r>
            <w:rPr>
              <w:bCs/>
            </w:rPr>
            <w:tab/>
          </w:r>
          <w:r w:rsidR="00A52C84" w:rsidRPr="009324EC">
            <w:rPr>
              <w:bCs/>
              <w:lang w:val="es-ES"/>
            </w:rPr>
            <w:t>CWG-</w:t>
          </w:r>
          <w:r w:rsidR="00636853" w:rsidRPr="009324EC">
            <w:rPr>
              <w:bCs/>
              <w:lang w:val="es-ES"/>
            </w:rPr>
            <w:t>WSIS&amp;SDG</w:t>
          </w:r>
          <w:r w:rsidR="00A52C84" w:rsidRPr="009324EC">
            <w:rPr>
              <w:bCs/>
              <w:lang w:val="es-ES"/>
            </w:rPr>
            <w:t>-</w:t>
          </w:r>
          <w:r w:rsidR="003F3796" w:rsidRPr="009324EC">
            <w:rPr>
              <w:bCs/>
              <w:lang w:val="es-ES"/>
            </w:rPr>
            <w:t>4</w:t>
          </w:r>
          <w:r w:rsidR="00754DFC" w:rsidRPr="009324EC">
            <w:rPr>
              <w:bCs/>
              <w:lang w:val="es-ES"/>
            </w:rPr>
            <w:t>1</w:t>
          </w:r>
          <w:r w:rsidR="00A52C84" w:rsidRPr="009324EC">
            <w:rPr>
              <w:bCs/>
              <w:lang w:val="es-ES"/>
            </w:rPr>
            <w:t>/</w:t>
          </w:r>
          <w:r w:rsidR="00AF28E8">
            <w:rPr>
              <w:bCs/>
              <w:lang w:val="es-ES"/>
            </w:rPr>
            <w:t>13</w:t>
          </w:r>
          <w:r w:rsidR="00A52C84" w:rsidRPr="009324EC">
            <w:rPr>
              <w:bCs/>
              <w:lang w:val="es-ES"/>
            </w:rPr>
            <w:t>-E</w:t>
          </w:r>
          <w:r w:rsidRPr="009324EC">
            <w:rPr>
              <w:bCs/>
              <w:lang w:val="es-ES"/>
            </w:rPr>
            <w:tab/>
          </w:r>
          <w:r>
            <w:fldChar w:fldCharType="begin"/>
          </w:r>
          <w:r w:rsidRPr="009324EC">
            <w:rPr>
              <w:lang w:val="es-ES"/>
            </w:rPr>
            <w:instrText>PAGE</w:instrText>
          </w:r>
          <w:r>
            <w:fldChar w:fldCharType="separate"/>
          </w:r>
          <w:r w:rsidR="00FA1FFA" w:rsidRPr="009324EC">
            <w:rPr>
              <w:noProof/>
              <w:lang w:val="es-ES"/>
            </w:rPr>
            <w:t>2</w:t>
          </w:r>
          <w:r>
            <w:rPr>
              <w:noProof/>
            </w:rPr>
            <w:fldChar w:fldCharType="end"/>
          </w:r>
        </w:p>
      </w:tc>
    </w:tr>
  </w:tbl>
  <w:p w14:paraId="44006CCE" w14:textId="77777777" w:rsidR="00EE49E8" w:rsidRPr="009324EC"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9324EC"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bookmarkStart w:id="12" w:name="_Hlk171423014"/>
          <w:r w:rsidRPr="00293B38">
            <w:rPr>
              <w:color w:val="0070C0"/>
            </w:rPr>
            <w:t>https://council.itu.int/working-groups</w:t>
          </w:r>
          <w:bookmarkEnd w:id="12"/>
        </w:p>
      </w:tc>
      <w:tc>
        <w:tcPr>
          <w:tcW w:w="6957" w:type="dxa"/>
        </w:tcPr>
        <w:p w14:paraId="3F62E0D8" w14:textId="30C9B5CC" w:rsidR="00EE49E8" w:rsidRPr="009324EC" w:rsidRDefault="00EE49E8" w:rsidP="00636853">
          <w:pPr>
            <w:pStyle w:val="Header"/>
            <w:tabs>
              <w:tab w:val="left" w:pos="4442"/>
              <w:tab w:val="right" w:pos="8505"/>
              <w:tab w:val="right" w:pos="9639"/>
            </w:tabs>
            <w:jc w:val="left"/>
            <w:rPr>
              <w:rFonts w:ascii="Arial" w:hAnsi="Arial" w:cs="Arial"/>
              <w:b/>
              <w:bCs/>
              <w:szCs w:val="18"/>
              <w:lang w:val="es-ES"/>
            </w:rPr>
          </w:pPr>
          <w:r>
            <w:rPr>
              <w:bCs/>
            </w:rPr>
            <w:tab/>
          </w:r>
          <w:r w:rsidRPr="009324EC">
            <w:rPr>
              <w:bCs/>
              <w:lang w:val="es-ES"/>
            </w:rPr>
            <w:t>C</w:t>
          </w:r>
          <w:r w:rsidR="00A52C84" w:rsidRPr="009324EC">
            <w:rPr>
              <w:bCs/>
              <w:lang w:val="es-ES"/>
            </w:rPr>
            <w:t>WG-</w:t>
          </w:r>
          <w:r w:rsidR="00636853" w:rsidRPr="009324EC">
            <w:rPr>
              <w:bCs/>
              <w:lang w:val="es-ES"/>
            </w:rPr>
            <w:t>WSIS&amp;SDG</w:t>
          </w:r>
          <w:r w:rsidR="00A52C84" w:rsidRPr="009324EC">
            <w:rPr>
              <w:bCs/>
              <w:lang w:val="es-ES"/>
            </w:rPr>
            <w:t>-</w:t>
          </w:r>
          <w:r w:rsidR="003F3796" w:rsidRPr="009324EC">
            <w:rPr>
              <w:bCs/>
              <w:lang w:val="es-ES"/>
            </w:rPr>
            <w:t>4</w:t>
          </w:r>
          <w:r w:rsidR="00754DFC" w:rsidRPr="009324EC">
            <w:rPr>
              <w:bCs/>
              <w:lang w:val="es-ES"/>
            </w:rPr>
            <w:t>1</w:t>
          </w:r>
          <w:r w:rsidRPr="009324EC">
            <w:rPr>
              <w:bCs/>
              <w:lang w:val="es-ES"/>
            </w:rPr>
            <w:t>/</w:t>
          </w:r>
          <w:r w:rsidR="00AF28E8">
            <w:rPr>
              <w:bCs/>
              <w:lang w:val="es-ES"/>
            </w:rPr>
            <w:t>13</w:t>
          </w:r>
          <w:r w:rsidRPr="009324EC">
            <w:rPr>
              <w:bCs/>
              <w:lang w:val="es-ES"/>
            </w:rPr>
            <w:t>-E</w:t>
          </w:r>
          <w:r w:rsidRPr="009324EC">
            <w:rPr>
              <w:bCs/>
              <w:lang w:val="es-ES"/>
            </w:rPr>
            <w:tab/>
          </w:r>
          <w:r>
            <w:fldChar w:fldCharType="begin"/>
          </w:r>
          <w:r w:rsidRPr="009324EC">
            <w:rPr>
              <w:lang w:val="es-ES"/>
            </w:rPr>
            <w:instrText>PAGE</w:instrText>
          </w:r>
          <w:r>
            <w:fldChar w:fldCharType="separate"/>
          </w:r>
          <w:r w:rsidR="00FA1FFA" w:rsidRPr="009324EC">
            <w:rPr>
              <w:noProof/>
              <w:lang w:val="es-ES"/>
            </w:rPr>
            <w:t>1</w:t>
          </w:r>
          <w:r>
            <w:rPr>
              <w:noProof/>
            </w:rPr>
            <w:fldChar w:fldCharType="end"/>
          </w:r>
        </w:p>
      </w:tc>
    </w:tr>
  </w:tbl>
  <w:p w14:paraId="12BE588F" w14:textId="77777777" w:rsidR="00A514A4" w:rsidRPr="009324EC"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19DBD" w14:textId="77777777" w:rsidR="0067090C" w:rsidRDefault="0067090C">
      <w:r>
        <w:t>____________________</w:t>
      </w:r>
    </w:p>
  </w:footnote>
  <w:footnote w:type="continuationSeparator" w:id="0">
    <w:p w14:paraId="46B1ABF6" w14:textId="77777777" w:rsidR="0067090C" w:rsidRDefault="00670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lang w:val="ru-RU" w:eastAsia="ru-RU"/>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8047A"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lang w:val="ru-RU" w:eastAsia="ru-RU"/>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lang w:val="ru-RU" w:eastAsia="ru-RU"/>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6520E"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lang w:val="ru-RU" w:eastAsia="ru-RU"/>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4D990425"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3F3796">
                            <w:rPr>
                              <w:sz w:val="20"/>
                            </w:rPr>
                            <w:t>Fort</w:t>
                          </w:r>
                          <w:r w:rsidR="00754DFC">
                            <w:rPr>
                              <w:sz w:val="20"/>
                            </w:rPr>
                            <w:t>y-first</w:t>
                          </w:r>
                          <w:r w:rsidRPr="00130599">
                            <w:rPr>
                              <w:sz w:val="20"/>
                            </w:rPr>
                            <w:t xml:space="preserve"> meeting - </w:t>
                          </w:r>
                          <w:r w:rsidR="003F3796">
                            <w:rPr>
                              <w:sz w:val="20"/>
                            </w:rPr>
                            <w:t xml:space="preserve">From </w:t>
                          </w:r>
                          <w:r w:rsidR="00754DFC">
                            <w:rPr>
                              <w:sz w:val="20"/>
                            </w:rPr>
                            <w:t xml:space="preserve">2 </w:t>
                          </w:r>
                          <w:r w:rsidR="003F3796">
                            <w:rPr>
                              <w:sz w:val="20"/>
                            </w:rPr>
                            <w:t xml:space="preserve">to </w:t>
                          </w:r>
                          <w:r w:rsidR="00754DFC">
                            <w:rPr>
                              <w:sz w:val="20"/>
                            </w:rPr>
                            <w:t>3 October (a.m.)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4D990425"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3F3796">
                      <w:rPr>
                        <w:sz w:val="20"/>
                      </w:rPr>
                      <w:t>Fort</w:t>
                    </w:r>
                    <w:r w:rsidR="00754DFC">
                      <w:rPr>
                        <w:sz w:val="20"/>
                      </w:rPr>
                      <w:t>y-first</w:t>
                    </w:r>
                    <w:r w:rsidRPr="00130599">
                      <w:rPr>
                        <w:sz w:val="20"/>
                      </w:rPr>
                      <w:t xml:space="preserve"> meeting - </w:t>
                    </w:r>
                    <w:r w:rsidR="003F3796">
                      <w:rPr>
                        <w:sz w:val="20"/>
                      </w:rPr>
                      <w:t xml:space="preserve">From </w:t>
                    </w:r>
                    <w:r w:rsidR="00754DFC">
                      <w:rPr>
                        <w:sz w:val="20"/>
                      </w:rPr>
                      <w:t xml:space="preserve">2 </w:t>
                    </w:r>
                    <w:r w:rsidR="003F3796">
                      <w:rPr>
                        <w:sz w:val="20"/>
                      </w:rPr>
                      <w:t xml:space="preserve">to </w:t>
                    </w:r>
                    <w:r w:rsidR="00754DFC">
                      <w:rPr>
                        <w:sz w:val="20"/>
                      </w:rPr>
                      <w:t>3 October (a.m.)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323440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400DC"/>
    <w:rsid w:val="00140CE1"/>
    <w:rsid w:val="0017539C"/>
    <w:rsid w:val="00175AC2"/>
    <w:rsid w:val="0017609F"/>
    <w:rsid w:val="001A7D1D"/>
    <w:rsid w:val="001B51DD"/>
    <w:rsid w:val="001C628E"/>
    <w:rsid w:val="001E0F7B"/>
    <w:rsid w:val="001E0FBE"/>
    <w:rsid w:val="002119FD"/>
    <w:rsid w:val="002130E0"/>
    <w:rsid w:val="002412EE"/>
    <w:rsid w:val="00244F7F"/>
    <w:rsid w:val="00264425"/>
    <w:rsid w:val="00265875"/>
    <w:rsid w:val="0027303B"/>
    <w:rsid w:val="0028109B"/>
    <w:rsid w:val="00293B38"/>
    <w:rsid w:val="002A2188"/>
    <w:rsid w:val="002B1F58"/>
    <w:rsid w:val="002B3561"/>
    <w:rsid w:val="002C1C7A"/>
    <w:rsid w:val="002C54E2"/>
    <w:rsid w:val="002E153D"/>
    <w:rsid w:val="0030160F"/>
    <w:rsid w:val="00320223"/>
    <w:rsid w:val="0032186E"/>
    <w:rsid w:val="00322D0D"/>
    <w:rsid w:val="00361465"/>
    <w:rsid w:val="003877F5"/>
    <w:rsid w:val="003931BD"/>
    <w:rsid w:val="003942D4"/>
    <w:rsid w:val="003958A8"/>
    <w:rsid w:val="003C2533"/>
    <w:rsid w:val="003D5A7F"/>
    <w:rsid w:val="003F3796"/>
    <w:rsid w:val="004016E2"/>
    <w:rsid w:val="0040435A"/>
    <w:rsid w:val="0041221C"/>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D648B"/>
    <w:rsid w:val="004E2EA5"/>
    <w:rsid w:val="004E3AEB"/>
    <w:rsid w:val="0050223C"/>
    <w:rsid w:val="005243FF"/>
    <w:rsid w:val="00564FBC"/>
    <w:rsid w:val="005800BC"/>
    <w:rsid w:val="00582442"/>
    <w:rsid w:val="00590C4A"/>
    <w:rsid w:val="005A335D"/>
    <w:rsid w:val="005E2BD5"/>
    <w:rsid w:val="005F3269"/>
    <w:rsid w:val="00623AE3"/>
    <w:rsid w:val="00636853"/>
    <w:rsid w:val="0064737F"/>
    <w:rsid w:val="0065350D"/>
    <w:rsid w:val="006535F1"/>
    <w:rsid w:val="0065557D"/>
    <w:rsid w:val="006561A2"/>
    <w:rsid w:val="00660D50"/>
    <w:rsid w:val="00662984"/>
    <w:rsid w:val="0067090C"/>
    <w:rsid w:val="006716BB"/>
    <w:rsid w:val="006B1859"/>
    <w:rsid w:val="006B6680"/>
    <w:rsid w:val="006B6DCC"/>
    <w:rsid w:val="006C2EE9"/>
    <w:rsid w:val="006E082F"/>
    <w:rsid w:val="00702DEF"/>
    <w:rsid w:val="00706861"/>
    <w:rsid w:val="00743A1A"/>
    <w:rsid w:val="0075051B"/>
    <w:rsid w:val="00754DFC"/>
    <w:rsid w:val="00775655"/>
    <w:rsid w:val="00793188"/>
    <w:rsid w:val="00794D34"/>
    <w:rsid w:val="00794DFC"/>
    <w:rsid w:val="007D0096"/>
    <w:rsid w:val="00813E5E"/>
    <w:rsid w:val="00814EC2"/>
    <w:rsid w:val="0082170F"/>
    <w:rsid w:val="0083581B"/>
    <w:rsid w:val="00836BD9"/>
    <w:rsid w:val="0085074D"/>
    <w:rsid w:val="008513C3"/>
    <w:rsid w:val="00863874"/>
    <w:rsid w:val="00864AFF"/>
    <w:rsid w:val="00865925"/>
    <w:rsid w:val="00893E4C"/>
    <w:rsid w:val="008A48EB"/>
    <w:rsid w:val="008B4A6A"/>
    <w:rsid w:val="008C7E27"/>
    <w:rsid w:val="008F2811"/>
    <w:rsid w:val="008F7448"/>
    <w:rsid w:val="0090147A"/>
    <w:rsid w:val="009173EF"/>
    <w:rsid w:val="009324EC"/>
    <w:rsid w:val="00932906"/>
    <w:rsid w:val="00961B0B"/>
    <w:rsid w:val="00962D33"/>
    <w:rsid w:val="009B38C3"/>
    <w:rsid w:val="009E17BD"/>
    <w:rsid w:val="009E485A"/>
    <w:rsid w:val="009E6A2B"/>
    <w:rsid w:val="00A0425B"/>
    <w:rsid w:val="00A04CEC"/>
    <w:rsid w:val="00A27F92"/>
    <w:rsid w:val="00A32257"/>
    <w:rsid w:val="00A36D20"/>
    <w:rsid w:val="00A514A4"/>
    <w:rsid w:val="00A52C84"/>
    <w:rsid w:val="00A55622"/>
    <w:rsid w:val="00A83502"/>
    <w:rsid w:val="00AA3D2C"/>
    <w:rsid w:val="00AD15B3"/>
    <w:rsid w:val="00AD3606"/>
    <w:rsid w:val="00AD4A3D"/>
    <w:rsid w:val="00AF28E8"/>
    <w:rsid w:val="00AF6E49"/>
    <w:rsid w:val="00B04A67"/>
    <w:rsid w:val="00B0583C"/>
    <w:rsid w:val="00B40A81"/>
    <w:rsid w:val="00B4436B"/>
    <w:rsid w:val="00B44910"/>
    <w:rsid w:val="00B72267"/>
    <w:rsid w:val="00B76EB6"/>
    <w:rsid w:val="00B7737B"/>
    <w:rsid w:val="00B824C8"/>
    <w:rsid w:val="00B84B9D"/>
    <w:rsid w:val="00BC251A"/>
    <w:rsid w:val="00BD032B"/>
    <w:rsid w:val="00BD7072"/>
    <w:rsid w:val="00BE2640"/>
    <w:rsid w:val="00C01189"/>
    <w:rsid w:val="00C374DE"/>
    <w:rsid w:val="00C467D2"/>
    <w:rsid w:val="00C47AD4"/>
    <w:rsid w:val="00C52D81"/>
    <w:rsid w:val="00C55198"/>
    <w:rsid w:val="00C655D9"/>
    <w:rsid w:val="00C65A10"/>
    <w:rsid w:val="00C6686D"/>
    <w:rsid w:val="00C703D3"/>
    <w:rsid w:val="00C85CBE"/>
    <w:rsid w:val="00CA0DE9"/>
    <w:rsid w:val="00CA20C6"/>
    <w:rsid w:val="00CA6393"/>
    <w:rsid w:val="00CB18FF"/>
    <w:rsid w:val="00CD0C08"/>
    <w:rsid w:val="00CD3887"/>
    <w:rsid w:val="00CE03FB"/>
    <w:rsid w:val="00CE433C"/>
    <w:rsid w:val="00CF0161"/>
    <w:rsid w:val="00CF33F3"/>
    <w:rsid w:val="00D00E17"/>
    <w:rsid w:val="00D06183"/>
    <w:rsid w:val="00D22C42"/>
    <w:rsid w:val="00D464CC"/>
    <w:rsid w:val="00D65041"/>
    <w:rsid w:val="00D94F5D"/>
    <w:rsid w:val="00DA4BEE"/>
    <w:rsid w:val="00DB00D5"/>
    <w:rsid w:val="00DB1936"/>
    <w:rsid w:val="00DB384B"/>
    <w:rsid w:val="00DD7D5E"/>
    <w:rsid w:val="00DF0189"/>
    <w:rsid w:val="00E06FD5"/>
    <w:rsid w:val="00E10E80"/>
    <w:rsid w:val="00E124F0"/>
    <w:rsid w:val="00E227F3"/>
    <w:rsid w:val="00E47D38"/>
    <w:rsid w:val="00E47DF1"/>
    <w:rsid w:val="00E545C6"/>
    <w:rsid w:val="00E60F04"/>
    <w:rsid w:val="00E65B24"/>
    <w:rsid w:val="00E854E4"/>
    <w:rsid w:val="00E86DBF"/>
    <w:rsid w:val="00EB0D6F"/>
    <w:rsid w:val="00EB2232"/>
    <w:rsid w:val="00EB7352"/>
    <w:rsid w:val="00EB7414"/>
    <w:rsid w:val="00EC5337"/>
    <w:rsid w:val="00EE49E8"/>
    <w:rsid w:val="00F16BAB"/>
    <w:rsid w:val="00F2150A"/>
    <w:rsid w:val="00F231D8"/>
    <w:rsid w:val="00F44C00"/>
    <w:rsid w:val="00F45D2C"/>
    <w:rsid w:val="00F46C5F"/>
    <w:rsid w:val="00F632C0"/>
    <w:rsid w:val="00F74694"/>
    <w:rsid w:val="00F75841"/>
    <w:rsid w:val="00F94A63"/>
    <w:rsid w:val="00FA1C28"/>
    <w:rsid w:val="00FA1FFA"/>
    <w:rsid w:val="00FB1279"/>
    <w:rsid w:val="00FB6B76"/>
    <w:rsid w:val="00FB7596"/>
    <w:rsid w:val="00FC52D9"/>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2E63E59"/>
  <w15:docId w15:val="{EF5D9A83-03BF-410E-AF6F-F347E043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3F3796"/>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UnresolvedMention1">
    <w:name w:val="Unresolved Mention1"/>
    <w:basedOn w:val="DefaultParagraphFont"/>
    <w:uiPriority w:val="99"/>
    <w:semiHidden/>
    <w:unhideWhenUsed/>
    <w:rsid w:val="003F3796"/>
    <w:rPr>
      <w:color w:val="605E5C"/>
      <w:shd w:val="clear" w:color="auto" w:fill="E1DFDD"/>
    </w:rPr>
  </w:style>
  <w:style w:type="paragraph" w:styleId="BalloonText">
    <w:name w:val="Balloon Text"/>
    <w:basedOn w:val="Normal"/>
    <w:link w:val="BalloonTextChar"/>
    <w:semiHidden/>
    <w:unhideWhenUsed/>
    <w:rsid w:val="003931BD"/>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3931BD"/>
    <w:rPr>
      <w:rFonts w:ascii="Tahoma" w:hAnsi="Tahoma" w:cs="Tahoma"/>
      <w:sz w:val="16"/>
      <w:szCs w:val="16"/>
      <w:lang w:val="en-GB" w:eastAsia="en-US"/>
    </w:rPr>
  </w:style>
  <w:style w:type="paragraph" w:customStyle="1" w:styleId="Reasons">
    <w:name w:val="Reasons"/>
    <w:basedOn w:val="Normal"/>
    <w:qFormat/>
    <w:rsid w:val="00AF28E8"/>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initiatives/sdgdigital202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initiatives/sdgdigital/" TargetMode="External"/><Relationship Id="rId17" Type="http://schemas.openxmlformats.org/officeDocument/2006/relationships/hyperlink" Target="https://www.itu.int/md/S24-CWGWSIS40-C-0015/en" TargetMode="External"/><Relationship Id="rId2" Type="http://schemas.openxmlformats.org/officeDocument/2006/relationships/customXml" Target="../customXml/item2.xml"/><Relationship Id="rId16" Type="http://schemas.openxmlformats.org/officeDocument/2006/relationships/hyperlink" Target="https://www.itu.int/md/S24-CWGWSIS40-C-0011/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4-CWGWSIS40-C-0011/en" TargetMode="External"/><Relationship Id="rId5" Type="http://schemas.openxmlformats.org/officeDocument/2006/relationships/numbering" Target="numbering.xml"/><Relationship Id="rId15" Type="http://schemas.openxmlformats.org/officeDocument/2006/relationships/hyperlink" Target="https://www.un.org/en/summit-of-the-future/action-day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en/summit-of-the-futur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CCC915-2590-4062-83DD-A11CFF0F2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81CFD9-06D5-4F43-80DC-6AABC6EF6E5C}">
  <ds:schemaRefs>
    <ds:schemaRef ds:uri="http://schemas.openxmlformats.org/officeDocument/2006/bibliography"/>
  </ds:schemaRefs>
</ds:datastoreItem>
</file>

<file path=customXml/itemProps3.xml><?xml version="1.0" encoding="utf-8"?>
<ds:datastoreItem xmlns:ds="http://schemas.openxmlformats.org/officeDocument/2006/customXml" ds:itemID="{3B5D9E6C-8437-4483-836F-068126ABF06C}">
  <ds:schemaRefs>
    <ds:schemaRef ds:uri="http://schemas.microsoft.com/sharepoint/v3/contenttype/forms"/>
  </ds:schemaRefs>
</ds:datastoreItem>
</file>

<file path=customXml/itemProps4.xml><?xml version="1.0" encoding="utf-8"?>
<ds:datastoreItem xmlns:ds="http://schemas.openxmlformats.org/officeDocument/2006/customXml" ds:itemID="{61D382E3-3569-42ED-A3D8-0263A86BDE4A}">
  <ds:schemaRefs>
    <ds:schemaRef ds:uri="1aaea1ea-72e4-4374-b05e-72e2f16fb7ae"/>
    <ds:schemaRef ds:uri="http://purl.org/dc/elements/1.1/"/>
    <ds:schemaRef ds:uri="http://schemas.microsoft.com/office/2006/metadata/propertie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1016</Words>
  <Characters>6058</Characters>
  <Application>Microsoft Office Word</Application>
  <DocSecurity>0</DocSecurity>
  <Lines>50</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ITU</Company>
  <LinksUpToDate>false</LinksUpToDate>
  <CharactersWithSpaces>7060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ITU'S participation to SDG digital</dc:title>
  <dc:subject>Council Working Group on WSIS and the SDGs</dc:subject>
  <dc:creator>Brouard, Ricarda</dc:creator>
  <cp:keywords>CWG-WSIS&amp;SDG</cp:keywords>
  <cp:lastModifiedBy>GBS</cp:lastModifiedBy>
  <cp:revision>2</cp:revision>
  <dcterms:created xsi:type="dcterms:W3CDTF">2024-10-01T16:48:00Z</dcterms:created>
  <dcterms:modified xsi:type="dcterms:W3CDTF">2024-10-01T16:48:00Z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0x0101001E46BE2403204D4E844191C3480CD35B</vt:lpwstr>
  </property>
</Properties>
</file>