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E3B3B"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4AE91ED"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3F3796">
              <w:rPr>
                <w:b/>
                <w:lang w:val="fr-CH"/>
              </w:rPr>
              <w:t>40</w:t>
            </w:r>
            <w:r w:rsidRPr="00A52C84">
              <w:rPr>
                <w:b/>
                <w:lang w:val="fr-CH"/>
              </w:rPr>
              <w:t>/</w:t>
            </w:r>
            <w:r w:rsidR="00992CDF">
              <w:rPr>
                <w:b/>
                <w:lang w:val="fr-CH"/>
              </w:rPr>
              <w:t>13</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0B9DDE8" w:rsidR="00AD3606" w:rsidRPr="00E85629" w:rsidRDefault="00992CDF" w:rsidP="00AD3606">
            <w:pPr>
              <w:tabs>
                <w:tab w:val="left" w:pos="851"/>
              </w:tabs>
              <w:spacing w:before="0"/>
              <w:jc w:val="right"/>
              <w:rPr>
                <w:b/>
              </w:rPr>
            </w:pPr>
            <w:r>
              <w:rPr>
                <w:b/>
              </w:rPr>
              <w:t xml:space="preserve">24 </w:t>
            </w:r>
            <w:r>
              <w:rPr>
                <w:rFonts w:eastAsia="Times New Roman"/>
                <w:b/>
              </w:rPr>
              <w:t>January</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3F3796" w:rsidRDefault="00244F7F" w:rsidP="003F3796">
            <w:pPr>
              <w:pStyle w:val="Source"/>
              <w:framePr w:hSpace="0" w:wrap="auto" w:vAnchor="margin" w:hAnchor="text" w:xAlign="left" w:yAlign="inline"/>
            </w:pPr>
            <w:bookmarkStart w:id="8" w:name="dsource" w:colFirst="0" w:colLast="0"/>
            <w:bookmarkEnd w:id="7"/>
            <w:r w:rsidRPr="003F3796">
              <w:t>Contribution</w:t>
            </w:r>
            <w:r w:rsidR="00AD3606" w:rsidRPr="003F3796">
              <w:t xml:space="preserve"> by the </w:t>
            </w:r>
            <w:r w:rsidR="00A52C84" w:rsidRPr="003F3796">
              <w:t>secretariat</w:t>
            </w:r>
          </w:p>
        </w:tc>
      </w:tr>
      <w:tr w:rsidR="00AD3606" w:rsidRPr="00813E5E" w14:paraId="2340750D" w14:textId="77777777" w:rsidTr="00AD3606">
        <w:trPr>
          <w:cantSplit/>
        </w:trPr>
        <w:tc>
          <w:tcPr>
            <w:tcW w:w="9214" w:type="dxa"/>
            <w:gridSpan w:val="2"/>
            <w:tcMar>
              <w:left w:w="0" w:type="dxa"/>
            </w:tcMar>
          </w:tcPr>
          <w:p w14:paraId="47B91AA8" w14:textId="2DAC1114" w:rsidR="00AD3606" w:rsidRPr="003F3796" w:rsidRDefault="00992CDF" w:rsidP="003F3796">
            <w:pPr>
              <w:pStyle w:val="Subtitle"/>
              <w:framePr w:hSpace="0" w:wrap="auto" w:xAlign="left" w:yAlign="inline"/>
            </w:pPr>
            <w:bookmarkStart w:id="9" w:name="dtitle1" w:colFirst="0" w:colLast="0"/>
            <w:bookmarkEnd w:id="8"/>
            <w:r w:rsidRPr="003C0971">
              <w:t>ITU COUNCIL CONTRIBUTION TO THE HLPF 2024</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7B594304" w:rsidR="004D648B" w:rsidRPr="003F3796" w:rsidRDefault="003C0971" w:rsidP="004D648B">
            <w:pPr>
              <w:spacing w:before="160"/>
              <w:rPr>
                <w:szCs w:val="24"/>
              </w:rPr>
            </w:pPr>
            <w:r>
              <w:rPr>
                <w:szCs w:val="24"/>
              </w:rPr>
              <w:t xml:space="preserve">The document provides an overview of the High-level Political Forum to be held in July 2024, and </w:t>
            </w:r>
            <w:r w:rsidR="00090164">
              <w:rPr>
                <w:szCs w:val="24"/>
              </w:rPr>
              <w:t xml:space="preserve">the invitation </w:t>
            </w:r>
            <w:r>
              <w:rPr>
                <w:szCs w:val="24"/>
              </w:rPr>
              <w:t xml:space="preserve">extended </w:t>
            </w:r>
            <w:r w:rsidR="00090164">
              <w:rPr>
                <w:szCs w:val="24"/>
              </w:rPr>
              <w:t xml:space="preserve">to the ITU Council by the President of the ECOSOC </w:t>
            </w:r>
            <w:r w:rsidR="00090164" w:rsidRPr="00090164">
              <w:rPr>
                <w:szCs w:val="24"/>
              </w:rPr>
              <w:t>to provide input</w:t>
            </w:r>
            <w:r w:rsidR="00090164">
              <w:rPr>
                <w:szCs w:val="24"/>
              </w:rPr>
              <w:t>.</w:t>
            </w:r>
          </w:p>
          <w:p w14:paraId="16727A07"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47A4C65B" w14:textId="5E24B2F4" w:rsidR="00090164" w:rsidRDefault="00090164" w:rsidP="004D648B">
            <w:pPr>
              <w:spacing w:before="160"/>
              <w:rPr>
                <w:szCs w:val="24"/>
              </w:rPr>
            </w:pPr>
            <w:r w:rsidRPr="00090164">
              <w:rPr>
                <w:szCs w:val="24"/>
              </w:rPr>
              <w:t xml:space="preserve">The Council Working Group on WSIS and the SDGs is invited to </w:t>
            </w:r>
            <w:r w:rsidRPr="00992CDF">
              <w:rPr>
                <w:b/>
                <w:bCs/>
                <w:szCs w:val="24"/>
              </w:rPr>
              <w:t>note</w:t>
            </w:r>
            <w:r w:rsidRPr="00090164">
              <w:rPr>
                <w:szCs w:val="24"/>
              </w:rPr>
              <w:t xml:space="preserve"> th</w:t>
            </w:r>
            <w:r>
              <w:rPr>
                <w:szCs w:val="24"/>
              </w:rPr>
              <w:t xml:space="preserve">e information regarding the HLPF 2024 and </w:t>
            </w:r>
            <w:r w:rsidRPr="00992CDF">
              <w:rPr>
                <w:b/>
                <w:bCs/>
                <w:szCs w:val="24"/>
              </w:rPr>
              <w:t>endorse</w:t>
            </w:r>
            <w:r>
              <w:rPr>
                <w:szCs w:val="24"/>
              </w:rPr>
              <w:t xml:space="preserve"> the proposed way forward to carry-out online consultations for the drafting of the ITU Council contribution.</w:t>
            </w:r>
          </w:p>
          <w:p w14:paraId="2F24A0C8" w14:textId="3E3D103D" w:rsidR="004D648B" w:rsidRPr="006561A2" w:rsidRDefault="004D648B" w:rsidP="004D648B">
            <w:pPr>
              <w:spacing w:before="160"/>
              <w:rPr>
                <w:sz w:val="26"/>
                <w:szCs w:val="26"/>
              </w:rPr>
            </w:pPr>
            <w:r w:rsidRPr="006561A2">
              <w:rPr>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5D1F51F2" w:rsidR="00AD3606" w:rsidRDefault="001763A4" w:rsidP="00F16BAB">
            <w:pPr>
              <w:spacing w:after="160"/>
            </w:pPr>
            <w:hyperlink r:id="rId11" w:history="1">
              <w:r w:rsidR="003F3796" w:rsidRPr="003F3796">
                <w:rPr>
                  <w:rStyle w:val="Hyperlink"/>
                </w:rPr>
                <w:t>CWG-WSIS&amp;SDG website</w:t>
              </w:r>
            </w:hyperlink>
            <w:r w:rsidR="003E3B3B">
              <w:rPr>
                <w:rStyle w:val="Hyperlink"/>
              </w:rPr>
              <w:t xml:space="preserve">; </w:t>
            </w:r>
            <w:hyperlink r:id="rId12" w:history="1">
              <w:r w:rsidR="003E3B3B" w:rsidRPr="003E3B3B">
                <w:rPr>
                  <w:rStyle w:val="Hyperlink"/>
                  <w:rFonts w:asciiTheme="minorHAnsi" w:hAnsiTheme="minorHAnsi" w:cstheme="minorHAnsi"/>
                  <w:szCs w:val="24"/>
                  <w:shd w:val="clear" w:color="auto" w:fill="FFFFFF"/>
                </w:rPr>
                <w:t>High-Level Political Forum (HLPF) 2023</w:t>
              </w:r>
            </w:hyperlink>
            <w:r w:rsidR="003E3B3B" w:rsidRPr="003E3B3B">
              <w:rPr>
                <w:rFonts w:asciiTheme="minorHAnsi" w:hAnsiTheme="minorHAnsi" w:cstheme="minorHAnsi"/>
                <w:color w:val="000000"/>
                <w:szCs w:val="24"/>
                <w:shd w:val="clear" w:color="auto" w:fill="FFFFFF"/>
              </w:rPr>
              <w:t>;</w:t>
            </w:r>
          </w:p>
        </w:tc>
      </w:tr>
    </w:tbl>
    <w:p w14:paraId="4CDB8B60" w14:textId="77777777" w:rsidR="00E227F3" w:rsidRPr="003E3B3B" w:rsidRDefault="00E227F3">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10" w:name="_Hlk133421428"/>
      <w:bookmarkEnd w:id="2"/>
      <w:bookmarkEnd w:id="9"/>
    </w:p>
    <w:bookmarkEnd w:id="3"/>
    <w:bookmarkEnd w:id="4"/>
    <w:bookmarkEnd w:id="5"/>
    <w:bookmarkEnd w:id="10"/>
    <w:p w14:paraId="393E8C83" w14:textId="77777777" w:rsidR="003C0971" w:rsidRPr="003C0971" w:rsidRDefault="003C0971" w:rsidP="001763A4">
      <w:pPr>
        <w:tabs>
          <w:tab w:val="clear" w:pos="567"/>
          <w:tab w:val="clear" w:pos="1134"/>
          <w:tab w:val="clear" w:pos="1701"/>
          <w:tab w:val="clear" w:pos="2268"/>
          <w:tab w:val="clear" w:pos="2835"/>
        </w:tabs>
        <w:overflowPunct/>
        <w:autoSpaceDE/>
        <w:autoSpaceDN/>
        <w:adjustRightInd/>
        <w:spacing w:before="240" w:after="120"/>
        <w:ind w:left="425"/>
        <w:textAlignment w:val="auto"/>
        <w:rPr>
          <w:b/>
          <w:bCs/>
          <w:lang w:val="en-US"/>
        </w:rPr>
      </w:pPr>
      <w:r w:rsidRPr="003C0971">
        <w:rPr>
          <w:b/>
          <w:bCs/>
          <w:lang w:val="en-US"/>
        </w:rPr>
        <w:t>I. HLPF 2024</w:t>
      </w:r>
    </w:p>
    <w:p w14:paraId="5BF46503" w14:textId="77777777" w:rsidR="003C0971" w:rsidRPr="003C0971" w:rsidRDefault="003C0971" w:rsidP="001763A4">
      <w:pPr>
        <w:tabs>
          <w:tab w:val="clear" w:pos="567"/>
          <w:tab w:val="clear" w:pos="1134"/>
          <w:tab w:val="clear" w:pos="1701"/>
          <w:tab w:val="clear" w:pos="2268"/>
          <w:tab w:val="clear" w:pos="2835"/>
        </w:tabs>
        <w:overflowPunct/>
        <w:autoSpaceDE/>
        <w:autoSpaceDN/>
        <w:adjustRightInd/>
        <w:ind w:left="426"/>
        <w:textAlignment w:val="auto"/>
        <w:rPr>
          <w:lang w:val="en-US"/>
        </w:rPr>
      </w:pPr>
      <w:r w:rsidRPr="003C0971">
        <w:rPr>
          <w:lang w:val="en-US"/>
        </w:rPr>
        <w:t>The 2024 High-Level Political Forum on Sustainable Development (HLPF) will be held from Monday, 8 July, to Wednesday, 17 July, under the auspices of the Economic and Social Council. The theme will be "Reinforcing the 2030 Agenda and eradicating poverty in times of multiple crises: the effective delivery of sustainable, resilient, and innovative solutions”.</w:t>
      </w:r>
    </w:p>
    <w:p w14:paraId="64A4A66D" w14:textId="77777777" w:rsidR="003C0971" w:rsidRPr="003C0971" w:rsidRDefault="003C0971" w:rsidP="001763A4">
      <w:pPr>
        <w:tabs>
          <w:tab w:val="clear" w:pos="567"/>
          <w:tab w:val="clear" w:pos="1134"/>
          <w:tab w:val="clear" w:pos="1701"/>
          <w:tab w:val="clear" w:pos="2268"/>
          <w:tab w:val="clear" w:pos="2835"/>
        </w:tabs>
        <w:overflowPunct/>
        <w:autoSpaceDE/>
        <w:autoSpaceDN/>
        <w:adjustRightInd/>
        <w:ind w:left="426"/>
        <w:textAlignment w:val="auto"/>
        <w:rPr>
          <w:lang w:val="en-US"/>
        </w:rPr>
      </w:pPr>
      <w:r w:rsidRPr="003C0971">
        <w:rPr>
          <w:lang w:val="en-US"/>
        </w:rPr>
        <w:t xml:space="preserve">The HLPF in 2024 will review in-depth: Goal 1. End poverty in all its forms everywhere; Goal 2. End hunger, achieve food security and improved nutrition, and promote sustainable agriculture; Goal 13. Take urgent action to combat climate change and its impacts; Goal 16. Promote peaceful and inclusive societies for sustainable development, provide access to justice for all and build effective, </w:t>
      </w:r>
      <w:proofErr w:type="gramStart"/>
      <w:r w:rsidRPr="003C0971">
        <w:rPr>
          <w:lang w:val="en-US"/>
        </w:rPr>
        <w:t>accountable</w:t>
      </w:r>
      <w:proofErr w:type="gramEnd"/>
      <w:r w:rsidRPr="003C0971">
        <w:rPr>
          <w:lang w:val="en-US"/>
        </w:rPr>
        <w:t xml:space="preserve"> and inclusive institutions at all levels; and Goal 17. Strengthen the means of implementation and revitalize the Global Partnership for Sustainable Development.</w:t>
      </w:r>
    </w:p>
    <w:p w14:paraId="37E1FF39" w14:textId="77777777" w:rsidR="003C0971" w:rsidRPr="003C0971" w:rsidRDefault="003C0971" w:rsidP="001763A4">
      <w:pPr>
        <w:tabs>
          <w:tab w:val="clear" w:pos="567"/>
          <w:tab w:val="clear" w:pos="1134"/>
          <w:tab w:val="clear" w:pos="1701"/>
          <w:tab w:val="clear" w:pos="2268"/>
          <w:tab w:val="clear" w:pos="2835"/>
        </w:tabs>
        <w:overflowPunct/>
        <w:autoSpaceDE/>
        <w:autoSpaceDN/>
        <w:adjustRightInd/>
        <w:ind w:left="426"/>
        <w:textAlignment w:val="auto"/>
        <w:rPr>
          <w:lang w:val="en-US"/>
        </w:rPr>
      </w:pPr>
      <w:r w:rsidRPr="003C0971">
        <w:rPr>
          <w:lang w:val="en-US"/>
        </w:rPr>
        <w:lastRenderedPageBreak/>
        <w:t>This will be the first HLPF after the 2023 SDG Summit and aims to support the implementation of the Political Declaration and other outcomes of the SDG Summit for advancing the 2030 Agenda and the SDGs.</w:t>
      </w:r>
    </w:p>
    <w:p w14:paraId="16DE3547" w14:textId="77777777" w:rsidR="003C0971" w:rsidRPr="003C0971" w:rsidRDefault="003C0971" w:rsidP="001763A4">
      <w:pPr>
        <w:tabs>
          <w:tab w:val="clear" w:pos="567"/>
          <w:tab w:val="clear" w:pos="1134"/>
          <w:tab w:val="clear" w:pos="1701"/>
          <w:tab w:val="clear" w:pos="2268"/>
          <w:tab w:val="clear" w:pos="2835"/>
        </w:tabs>
        <w:overflowPunct/>
        <w:autoSpaceDE/>
        <w:autoSpaceDN/>
        <w:adjustRightInd/>
        <w:ind w:left="426"/>
        <w:textAlignment w:val="auto"/>
        <w:rPr>
          <w:lang w:val="en-US"/>
        </w:rPr>
      </w:pPr>
      <w:r w:rsidRPr="003C0971">
        <w:rPr>
          <w:lang w:val="en-US"/>
        </w:rPr>
        <w:t>In addition, the following 44 states have expressed interest in carrying out voluntary national reviews (VNRs) of their implementation of the 2030 Agenda at the 2024 HLPF: Argentina, Armenia, Austria, Azerbaijan, Belize, Brazil, Chad, Congo (Republic of), Colombia, Costa Rica, Ecuador, Egypt, Equatorial Guinea, Eritrea, Estonia, Georgia, Guinea, Guinea Bissau, Honduras, Iran (Islamic Republic of), Kenya, Lao People's Democratic Republic, Libya, Mauritania, Mauritius, Mexico, Micronesia (Federated States of), Namibia, Nepal, Oman, Palau, Peru, Samoa, Sierra Leone, Solomon Islands, South Africa, South Sudan, Spain, State of Palestine, Syrian Arab Republic, Uganda, Vanuatu, Yemen, and Zimbabwe.</w:t>
      </w:r>
    </w:p>
    <w:p w14:paraId="7A13B2B2" w14:textId="77777777" w:rsidR="003C0971" w:rsidRPr="003C0971" w:rsidRDefault="003C0971" w:rsidP="001763A4">
      <w:pPr>
        <w:tabs>
          <w:tab w:val="clear" w:pos="567"/>
          <w:tab w:val="clear" w:pos="1134"/>
          <w:tab w:val="clear" w:pos="1701"/>
          <w:tab w:val="clear" w:pos="2268"/>
          <w:tab w:val="clear" w:pos="2835"/>
        </w:tabs>
        <w:overflowPunct/>
        <w:autoSpaceDE/>
        <w:autoSpaceDN/>
        <w:adjustRightInd/>
        <w:ind w:left="426"/>
        <w:textAlignment w:val="auto"/>
        <w:rPr>
          <w:lang w:val="en-US"/>
        </w:rPr>
      </w:pPr>
      <w:r w:rsidRPr="003C0971">
        <w:rPr>
          <w:lang w:val="en-US"/>
        </w:rPr>
        <w:t>Other events, including Side Events, VNR Labs, Special Events, and Exhibitions, will be organized on the margins of the 2024 HLPF.</w:t>
      </w:r>
    </w:p>
    <w:p w14:paraId="0C8AA536" w14:textId="77777777" w:rsidR="003C0971" w:rsidRPr="003C0971" w:rsidRDefault="003C0971" w:rsidP="001763A4">
      <w:pPr>
        <w:tabs>
          <w:tab w:val="clear" w:pos="567"/>
          <w:tab w:val="clear" w:pos="1134"/>
          <w:tab w:val="clear" w:pos="1701"/>
          <w:tab w:val="clear" w:pos="2268"/>
          <w:tab w:val="clear" w:pos="2835"/>
        </w:tabs>
        <w:overflowPunct/>
        <w:autoSpaceDE/>
        <w:autoSpaceDN/>
        <w:adjustRightInd/>
        <w:spacing w:before="240" w:after="120"/>
        <w:ind w:left="425"/>
        <w:textAlignment w:val="auto"/>
        <w:rPr>
          <w:b/>
          <w:bCs/>
          <w:lang w:val="en-US"/>
        </w:rPr>
      </w:pPr>
      <w:r w:rsidRPr="003C0971">
        <w:rPr>
          <w:b/>
          <w:bCs/>
          <w:lang w:val="en-US"/>
        </w:rPr>
        <w:t>II. ITU Council contribution to the HLPF 2024</w:t>
      </w:r>
    </w:p>
    <w:p w14:paraId="58330D77" w14:textId="7F3E3C95" w:rsidR="003C0971" w:rsidRPr="003C0971" w:rsidRDefault="003C0971" w:rsidP="001763A4">
      <w:pPr>
        <w:tabs>
          <w:tab w:val="clear" w:pos="567"/>
          <w:tab w:val="clear" w:pos="1134"/>
          <w:tab w:val="clear" w:pos="1701"/>
          <w:tab w:val="clear" w:pos="2268"/>
          <w:tab w:val="clear" w:pos="2835"/>
        </w:tabs>
        <w:overflowPunct/>
        <w:autoSpaceDE/>
        <w:autoSpaceDN/>
        <w:adjustRightInd/>
        <w:ind w:left="426"/>
        <w:textAlignment w:val="auto"/>
        <w:rPr>
          <w:lang w:val="en-US"/>
        </w:rPr>
      </w:pPr>
      <w:r w:rsidRPr="003C0971">
        <w:rPr>
          <w:lang w:val="en-US"/>
        </w:rPr>
        <w:t>By a letter dated 20 December 2023, H.E. Ms. Paula Narváez, President of the Economic and Social Council (ECOSOC), extended the annual invitation to the ITU Council to provide input to the HLPF in 2024</w:t>
      </w:r>
      <w:r w:rsidR="00090164">
        <w:rPr>
          <w:lang w:val="en-US"/>
        </w:rPr>
        <w:t xml:space="preserve"> (see Annex 1)</w:t>
      </w:r>
      <w:r w:rsidRPr="003C0971">
        <w:rPr>
          <w:lang w:val="en-US"/>
        </w:rPr>
        <w:t>.</w:t>
      </w:r>
    </w:p>
    <w:p w14:paraId="2A2D4610" w14:textId="77777777" w:rsidR="003C0971" w:rsidRPr="003C0971" w:rsidRDefault="003C0971" w:rsidP="001763A4">
      <w:pPr>
        <w:tabs>
          <w:tab w:val="clear" w:pos="567"/>
          <w:tab w:val="clear" w:pos="1134"/>
          <w:tab w:val="clear" w:pos="1701"/>
          <w:tab w:val="clear" w:pos="2268"/>
          <w:tab w:val="clear" w:pos="2835"/>
        </w:tabs>
        <w:overflowPunct/>
        <w:autoSpaceDE/>
        <w:autoSpaceDN/>
        <w:adjustRightInd/>
        <w:ind w:left="426"/>
        <w:textAlignment w:val="auto"/>
        <w:rPr>
          <w:lang w:val="en-US"/>
        </w:rPr>
      </w:pPr>
      <w:r w:rsidRPr="003C0971">
        <w:rPr>
          <w:lang w:val="en-US"/>
        </w:rPr>
        <w:t>ITU’s contribution could showcase the views, findings, research, data, and policy recommendations from its intergovernmental body on specific aspects of eradicating poverty and effective delivery of sustainable, resilient, and innovative solutions for achieving the SDGs.</w:t>
      </w:r>
    </w:p>
    <w:p w14:paraId="25E592C1" w14:textId="7A293754" w:rsidR="003C0971" w:rsidRDefault="003C0971" w:rsidP="001763A4">
      <w:pPr>
        <w:tabs>
          <w:tab w:val="clear" w:pos="567"/>
          <w:tab w:val="clear" w:pos="1134"/>
          <w:tab w:val="clear" w:pos="1701"/>
          <w:tab w:val="clear" w:pos="2268"/>
          <w:tab w:val="clear" w:pos="2835"/>
        </w:tabs>
        <w:overflowPunct/>
        <w:autoSpaceDE/>
        <w:autoSpaceDN/>
        <w:adjustRightInd/>
        <w:ind w:left="426"/>
        <w:textAlignment w:val="auto"/>
        <w:rPr>
          <w:lang w:val="en-US"/>
        </w:rPr>
      </w:pPr>
      <w:r w:rsidRPr="003C0971">
        <w:rPr>
          <w:lang w:val="en-US"/>
        </w:rPr>
        <w:t>The following template with sections (a) to (e) included could be considered in providing inputs, bearing in mind your intergovernmental body’s mandate and views:</w:t>
      </w:r>
    </w:p>
    <w:p w14:paraId="733BBFC4" w14:textId="77777777" w:rsidR="003C0971" w:rsidRPr="003C0971" w:rsidRDefault="003C0971" w:rsidP="001763A4">
      <w:pPr>
        <w:tabs>
          <w:tab w:val="clear" w:pos="567"/>
          <w:tab w:val="clear" w:pos="1134"/>
          <w:tab w:val="clear" w:pos="1701"/>
          <w:tab w:val="clear" w:pos="2268"/>
          <w:tab w:val="clear" w:pos="2835"/>
        </w:tabs>
        <w:overflowPunct/>
        <w:autoSpaceDE/>
        <w:autoSpaceDN/>
        <w:adjustRightInd/>
        <w:ind w:left="720"/>
        <w:textAlignment w:val="auto"/>
        <w:rPr>
          <w:lang w:val="en-US"/>
        </w:rPr>
      </w:pPr>
      <w:r w:rsidRPr="003C0971">
        <w:rPr>
          <w:lang w:val="en-US"/>
        </w:rPr>
        <w:t>(a) Impacts of multiple crises on the implementation of SDGs 1, 2, 13, 16, and 17 from the vantage point of your intergovernmental body.</w:t>
      </w:r>
    </w:p>
    <w:p w14:paraId="5638B13F" w14:textId="77777777" w:rsidR="003C0971" w:rsidRPr="003C0971" w:rsidRDefault="003C0971" w:rsidP="001763A4">
      <w:pPr>
        <w:tabs>
          <w:tab w:val="clear" w:pos="567"/>
          <w:tab w:val="clear" w:pos="1134"/>
          <w:tab w:val="clear" w:pos="1701"/>
          <w:tab w:val="clear" w:pos="2268"/>
          <w:tab w:val="clear" w:pos="2835"/>
        </w:tabs>
        <w:overflowPunct/>
        <w:autoSpaceDE/>
        <w:autoSpaceDN/>
        <w:adjustRightInd/>
        <w:ind w:left="720"/>
        <w:textAlignment w:val="auto"/>
        <w:rPr>
          <w:lang w:val="en-US"/>
        </w:rPr>
      </w:pPr>
      <w:r w:rsidRPr="003C0971">
        <w:rPr>
          <w:lang w:val="en-US"/>
        </w:rPr>
        <w:t xml:space="preserve">(b) Three key areas where sustainable, </w:t>
      </w:r>
      <w:proofErr w:type="gramStart"/>
      <w:r w:rsidRPr="003C0971">
        <w:rPr>
          <w:lang w:val="en-US"/>
        </w:rPr>
        <w:t>resilient</w:t>
      </w:r>
      <w:proofErr w:type="gramEnd"/>
      <w:r w:rsidRPr="003C0971">
        <w:rPr>
          <w:lang w:val="en-US"/>
        </w:rPr>
        <w:t xml:space="preserve"> and innovative solutions for achieving the SDGs are being effectively delivered, especially related to the cluster of SDGs under review in 2024, considering the three dimensions of sustainable development and the interlinkages across the Goals and targets.</w:t>
      </w:r>
    </w:p>
    <w:p w14:paraId="57F49F38" w14:textId="77777777" w:rsidR="003C0971" w:rsidRPr="003C0971" w:rsidRDefault="003C0971" w:rsidP="001763A4">
      <w:pPr>
        <w:tabs>
          <w:tab w:val="clear" w:pos="567"/>
          <w:tab w:val="clear" w:pos="1134"/>
          <w:tab w:val="clear" w:pos="1701"/>
          <w:tab w:val="clear" w:pos="2268"/>
          <w:tab w:val="clear" w:pos="2835"/>
        </w:tabs>
        <w:overflowPunct/>
        <w:autoSpaceDE/>
        <w:autoSpaceDN/>
        <w:adjustRightInd/>
        <w:ind w:left="720"/>
        <w:textAlignment w:val="auto"/>
        <w:rPr>
          <w:lang w:val="en-US"/>
        </w:rPr>
      </w:pPr>
      <w:r w:rsidRPr="003C0971">
        <w:rPr>
          <w:lang w:val="en-US"/>
        </w:rPr>
        <w:t>(c) Three examples of specific actions, policies, and measures that are most urgently needed to effectively deliver sustainable, resilient, and innovative solutions to eradicate poverty and reinforce the 2030 Agenda, building on interlinkages and transformative pathways for achieving the SDGs.</w:t>
      </w:r>
    </w:p>
    <w:p w14:paraId="5E8CFF4F" w14:textId="77777777" w:rsidR="003C0971" w:rsidRPr="003C0971" w:rsidRDefault="003C0971" w:rsidP="001763A4">
      <w:pPr>
        <w:tabs>
          <w:tab w:val="clear" w:pos="567"/>
          <w:tab w:val="clear" w:pos="1134"/>
          <w:tab w:val="clear" w:pos="1701"/>
          <w:tab w:val="clear" w:pos="2268"/>
          <w:tab w:val="clear" w:pos="2835"/>
        </w:tabs>
        <w:overflowPunct/>
        <w:autoSpaceDE/>
        <w:autoSpaceDN/>
        <w:adjustRightInd/>
        <w:ind w:left="720"/>
        <w:textAlignment w:val="auto"/>
        <w:rPr>
          <w:lang w:val="en-US"/>
        </w:rPr>
      </w:pPr>
      <w:r w:rsidRPr="003C0971">
        <w:rPr>
          <w:lang w:val="en-US"/>
        </w:rPr>
        <w:t>(d) Follow-up actions and measures being undertaken by your intergovernmental body to support the implementation of the Political Declaration of the SDG Summit.</w:t>
      </w:r>
    </w:p>
    <w:p w14:paraId="622B5CFA" w14:textId="77777777" w:rsidR="003C0971" w:rsidRDefault="003C0971" w:rsidP="001763A4">
      <w:pPr>
        <w:tabs>
          <w:tab w:val="clear" w:pos="567"/>
          <w:tab w:val="clear" w:pos="1134"/>
          <w:tab w:val="clear" w:pos="1701"/>
          <w:tab w:val="clear" w:pos="2268"/>
          <w:tab w:val="clear" w:pos="2835"/>
        </w:tabs>
        <w:overflowPunct/>
        <w:autoSpaceDE/>
        <w:autoSpaceDN/>
        <w:adjustRightInd/>
        <w:ind w:left="720"/>
        <w:textAlignment w:val="auto"/>
        <w:rPr>
          <w:lang w:val="en-US"/>
        </w:rPr>
      </w:pPr>
      <w:r w:rsidRPr="003C0971">
        <w:rPr>
          <w:lang w:val="en-US"/>
        </w:rPr>
        <w:t>(e) Recommendations and key messages for inclusion in the Ministerial Declaration of the 2024 HLPF.</w:t>
      </w:r>
    </w:p>
    <w:p w14:paraId="349AD683" w14:textId="77777777" w:rsidR="003C0971" w:rsidRPr="003C0971" w:rsidRDefault="003C0971" w:rsidP="001763A4">
      <w:pPr>
        <w:tabs>
          <w:tab w:val="clear" w:pos="567"/>
          <w:tab w:val="clear" w:pos="1134"/>
          <w:tab w:val="clear" w:pos="1701"/>
          <w:tab w:val="clear" w:pos="2268"/>
          <w:tab w:val="clear" w:pos="2835"/>
        </w:tabs>
        <w:overflowPunct/>
        <w:autoSpaceDE/>
        <w:autoSpaceDN/>
        <w:adjustRightInd/>
        <w:ind w:left="426"/>
        <w:textAlignment w:val="auto"/>
        <w:rPr>
          <w:lang w:val="en-US"/>
        </w:rPr>
      </w:pPr>
      <w:r w:rsidRPr="003C0971">
        <w:rPr>
          <w:lang w:val="en-US"/>
        </w:rPr>
        <w:t xml:space="preserve">Contributions should be submitted no later than 1 March 2024.  </w:t>
      </w:r>
    </w:p>
    <w:p w14:paraId="0C9726D9" w14:textId="77777777" w:rsidR="003C0971" w:rsidRPr="003E3B3B" w:rsidRDefault="003C0971" w:rsidP="001763A4">
      <w:pPr>
        <w:keepNext/>
        <w:tabs>
          <w:tab w:val="clear" w:pos="567"/>
          <w:tab w:val="clear" w:pos="1134"/>
          <w:tab w:val="clear" w:pos="1701"/>
          <w:tab w:val="clear" w:pos="2268"/>
          <w:tab w:val="clear" w:pos="2835"/>
        </w:tabs>
        <w:overflowPunct/>
        <w:autoSpaceDE/>
        <w:autoSpaceDN/>
        <w:adjustRightInd/>
        <w:spacing w:before="240" w:after="120"/>
        <w:ind w:left="425"/>
        <w:textAlignment w:val="auto"/>
        <w:rPr>
          <w:b/>
          <w:bCs/>
          <w:lang w:val="en-US"/>
        </w:rPr>
      </w:pPr>
      <w:r w:rsidRPr="003E3B3B">
        <w:rPr>
          <w:b/>
          <w:bCs/>
          <w:lang w:val="en-US"/>
        </w:rPr>
        <w:lastRenderedPageBreak/>
        <w:t>III. Proposed Way Forward</w:t>
      </w:r>
    </w:p>
    <w:p w14:paraId="257674B4" w14:textId="31E29A32" w:rsidR="00A514A4" w:rsidRDefault="003C0971" w:rsidP="001763A4">
      <w:pPr>
        <w:tabs>
          <w:tab w:val="clear" w:pos="567"/>
          <w:tab w:val="clear" w:pos="1134"/>
          <w:tab w:val="clear" w:pos="1701"/>
          <w:tab w:val="clear" w:pos="2268"/>
          <w:tab w:val="clear" w:pos="2835"/>
        </w:tabs>
        <w:overflowPunct/>
        <w:autoSpaceDE/>
        <w:autoSpaceDN/>
        <w:adjustRightInd/>
        <w:ind w:left="426"/>
        <w:textAlignment w:val="auto"/>
        <w:rPr>
          <w:lang w:val="en-US"/>
        </w:rPr>
      </w:pPr>
      <w:r w:rsidRPr="003C0971">
        <w:rPr>
          <w:lang w:val="en-US"/>
        </w:rPr>
        <w:t>Given the deadline, the ITU Secretariat proposes to carry out an online consultation</w:t>
      </w:r>
      <w:r>
        <w:rPr>
          <w:lang w:val="en-US"/>
        </w:rPr>
        <w:t xml:space="preserve"> through the CWG-WSIS&amp;SDGs website.  </w:t>
      </w:r>
      <w:r w:rsidRPr="003C0971">
        <w:rPr>
          <w:lang w:val="en-US"/>
        </w:rPr>
        <w:t xml:space="preserve">The ITU Secretariat will share/post a first draft by </w:t>
      </w:r>
      <w:r>
        <w:rPr>
          <w:lang w:val="en-US"/>
        </w:rPr>
        <w:t xml:space="preserve">the </w:t>
      </w:r>
      <w:r w:rsidRPr="003C0971">
        <w:rPr>
          <w:lang w:val="en-US"/>
        </w:rPr>
        <w:t>9</w:t>
      </w:r>
      <w:r w:rsidRPr="003C0971">
        <w:rPr>
          <w:vertAlign w:val="superscript"/>
          <w:lang w:val="en-US"/>
        </w:rPr>
        <w:t>th</w:t>
      </w:r>
      <w:r>
        <w:rPr>
          <w:lang w:val="en-US"/>
        </w:rPr>
        <w:t xml:space="preserve"> of </w:t>
      </w:r>
      <w:r w:rsidRPr="003C0971">
        <w:rPr>
          <w:lang w:val="en-US"/>
        </w:rPr>
        <w:t xml:space="preserve">February 2024, for comments and additional inputs. A revised version to be posted by </w:t>
      </w:r>
      <w:r>
        <w:rPr>
          <w:lang w:val="en-US"/>
        </w:rPr>
        <w:t>23</w:t>
      </w:r>
      <w:r w:rsidRPr="003C0971">
        <w:rPr>
          <w:vertAlign w:val="superscript"/>
          <w:lang w:val="en-US"/>
        </w:rPr>
        <w:t>rd</w:t>
      </w:r>
      <w:r>
        <w:rPr>
          <w:lang w:val="en-US"/>
        </w:rPr>
        <w:t xml:space="preserve"> </w:t>
      </w:r>
      <w:r w:rsidRPr="003C0971">
        <w:rPr>
          <w:lang w:val="en-US"/>
        </w:rPr>
        <w:t xml:space="preserve"> February. The ITU Council's contribution to be sent by the ITU Chair to the ECOSOC President by 29th February/1st March deadline.</w:t>
      </w:r>
    </w:p>
    <w:p w14:paraId="3A43DB9D" w14:textId="135AFB6F" w:rsidR="00090164" w:rsidRDefault="00090164">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246C88FF" w14:textId="0154C8F0" w:rsidR="00090164" w:rsidRDefault="00090164" w:rsidP="00090164">
      <w:pPr>
        <w:tabs>
          <w:tab w:val="clear" w:pos="567"/>
          <w:tab w:val="clear" w:pos="1134"/>
          <w:tab w:val="clear" w:pos="1701"/>
          <w:tab w:val="clear" w:pos="2268"/>
          <w:tab w:val="clear" w:pos="2835"/>
        </w:tabs>
        <w:overflowPunct/>
        <w:autoSpaceDE/>
        <w:autoSpaceDN/>
        <w:adjustRightInd/>
        <w:spacing w:before="0"/>
        <w:ind w:left="426"/>
        <w:textAlignment w:val="auto"/>
        <w:rPr>
          <w:lang w:val="en-US"/>
        </w:rPr>
      </w:pPr>
      <w:r>
        <w:rPr>
          <w:lang w:val="en-US"/>
        </w:rPr>
        <w:lastRenderedPageBreak/>
        <w:t>ANNEX 1.</w:t>
      </w:r>
    </w:p>
    <w:p w14:paraId="12378AB0" w14:textId="77777777" w:rsidR="00090164" w:rsidRDefault="00090164" w:rsidP="00090164">
      <w:pPr>
        <w:tabs>
          <w:tab w:val="clear" w:pos="567"/>
          <w:tab w:val="clear" w:pos="1134"/>
          <w:tab w:val="clear" w:pos="1701"/>
          <w:tab w:val="clear" w:pos="2268"/>
          <w:tab w:val="clear" w:pos="2835"/>
        </w:tabs>
        <w:overflowPunct/>
        <w:autoSpaceDE/>
        <w:autoSpaceDN/>
        <w:adjustRightInd/>
        <w:spacing w:before="0"/>
        <w:ind w:left="426"/>
        <w:textAlignment w:val="auto"/>
        <w:rPr>
          <w:lang w:val="en-US"/>
        </w:rPr>
      </w:pPr>
    </w:p>
    <w:p w14:paraId="0B4E91B8" w14:textId="1301C454" w:rsidR="00090164" w:rsidRDefault="00090164" w:rsidP="00090164">
      <w:pPr>
        <w:tabs>
          <w:tab w:val="clear" w:pos="567"/>
          <w:tab w:val="clear" w:pos="1134"/>
          <w:tab w:val="clear" w:pos="1701"/>
          <w:tab w:val="clear" w:pos="2268"/>
          <w:tab w:val="clear" w:pos="2835"/>
        </w:tabs>
        <w:overflowPunct/>
        <w:autoSpaceDE/>
        <w:autoSpaceDN/>
        <w:adjustRightInd/>
        <w:spacing w:before="0"/>
        <w:ind w:left="426"/>
        <w:textAlignment w:val="auto"/>
        <w:rPr>
          <w:lang w:val="en-US"/>
        </w:rPr>
      </w:pPr>
      <w:r>
        <w:rPr>
          <w:noProof/>
        </w:rPr>
        <w:drawing>
          <wp:inline distT="0" distB="0" distL="0" distR="0" wp14:anchorId="48DC9271" wp14:editId="6D7723F2">
            <wp:extent cx="5391150" cy="7578229"/>
            <wp:effectExtent l="0" t="0" r="0" b="3810"/>
            <wp:docPr id="1797629958" name="Picture 1" descr="A letter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29958" name="Picture 1" descr="A letter of a person&#10;&#10;Description automatically generated with medium confidence"/>
                    <pic:cNvPicPr/>
                  </pic:nvPicPr>
                  <pic:blipFill>
                    <a:blip r:embed="rId13"/>
                    <a:stretch>
                      <a:fillRect/>
                    </a:stretch>
                  </pic:blipFill>
                  <pic:spPr>
                    <a:xfrm>
                      <a:off x="0" y="0"/>
                      <a:ext cx="5402145" cy="7593684"/>
                    </a:xfrm>
                    <a:prstGeom prst="rect">
                      <a:avLst/>
                    </a:prstGeom>
                  </pic:spPr>
                </pic:pic>
              </a:graphicData>
            </a:graphic>
          </wp:inline>
        </w:drawing>
      </w:r>
    </w:p>
    <w:p w14:paraId="45D579CC" w14:textId="77777777" w:rsidR="00090164" w:rsidRDefault="00090164">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4E7C5626" w14:textId="77869F09" w:rsidR="00090164" w:rsidRPr="003C0971" w:rsidRDefault="00090164" w:rsidP="00090164">
      <w:pPr>
        <w:tabs>
          <w:tab w:val="clear" w:pos="567"/>
          <w:tab w:val="clear" w:pos="1134"/>
          <w:tab w:val="clear" w:pos="1701"/>
          <w:tab w:val="clear" w:pos="2268"/>
          <w:tab w:val="clear" w:pos="2835"/>
        </w:tabs>
        <w:overflowPunct/>
        <w:autoSpaceDE/>
        <w:autoSpaceDN/>
        <w:adjustRightInd/>
        <w:spacing w:before="0"/>
        <w:ind w:left="426"/>
        <w:textAlignment w:val="auto"/>
        <w:rPr>
          <w:lang w:val="en-US"/>
        </w:rPr>
      </w:pPr>
      <w:r w:rsidRPr="00090164">
        <w:rPr>
          <w:noProof/>
        </w:rPr>
        <w:lastRenderedPageBreak/>
        <w:drawing>
          <wp:inline distT="0" distB="0" distL="0" distR="0" wp14:anchorId="02901163" wp14:editId="2FD8B4F0">
            <wp:extent cx="5760085" cy="8350250"/>
            <wp:effectExtent l="0" t="0" r="0" b="0"/>
            <wp:docPr id="8559846" name="Picture 1" descr="A paper with text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846" name="Picture 1" descr="A paper with text and words&#10;&#10;Description automatically generated"/>
                    <pic:cNvPicPr/>
                  </pic:nvPicPr>
                  <pic:blipFill>
                    <a:blip r:embed="rId14"/>
                    <a:stretch>
                      <a:fillRect/>
                    </a:stretch>
                  </pic:blipFill>
                  <pic:spPr>
                    <a:xfrm>
                      <a:off x="0" y="0"/>
                      <a:ext cx="5760085" cy="8350250"/>
                    </a:xfrm>
                    <a:prstGeom prst="rect">
                      <a:avLst/>
                    </a:prstGeom>
                  </pic:spPr>
                </pic:pic>
              </a:graphicData>
            </a:graphic>
          </wp:inline>
        </w:drawing>
      </w:r>
    </w:p>
    <w:sectPr w:rsidR="00090164" w:rsidRPr="003C0971"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CE7B" w14:textId="77777777" w:rsidR="0064023C" w:rsidRDefault="0064023C">
      <w:r>
        <w:separator/>
      </w:r>
    </w:p>
  </w:endnote>
  <w:endnote w:type="continuationSeparator" w:id="0">
    <w:p w14:paraId="45FE6CF1" w14:textId="77777777" w:rsidR="0064023C" w:rsidRDefault="0064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3E3B3B" w14:paraId="07402CB9" w14:textId="77777777" w:rsidTr="0042469C">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2A132B29" w:rsidR="00EE49E8" w:rsidRPr="00992CDF"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992CDF">
            <w:rPr>
              <w:bCs/>
            </w:rPr>
            <w:t>CWG-</w:t>
          </w:r>
          <w:r w:rsidR="00636853" w:rsidRPr="00992CDF">
            <w:rPr>
              <w:bCs/>
            </w:rPr>
            <w:t>WSIS&amp;SDG</w:t>
          </w:r>
          <w:r w:rsidR="00A52C84" w:rsidRPr="00992CDF">
            <w:rPr>
              <w:bCs/>
            </w:rPr>
            <w:t>-</w:t>
          </w:r>
          <w:r w:rsidR="003F3796" w:rsidRPr="00992CDF">
            <w:rPr>
              <w:bCs/>
            </w:rPr>
            <w:t>40</w:t>
          </w:r>
          <w:r w:rsidR="00A52C84" w:rsidRPr="00992CDF">
            <w:rPr>
              <w:bCs/>
            </w:rPr>
            <w:t>/</w:t>
          </w:r>
          <w:r w:rsidR="00992CDF">
            <w:rPr>
              <w:bCs/>
            </w:rPr>
            <w:t>13</w:t>
          </w:r>
          <w:r w:rsidR="00A52C84" w:rsidRPr="00992CDF">
            <w:rPr>
              <w:bCs/>
            </w:rPr>
            <w:t>-E</w:t>
          </w:r>
          <w:r w:rsidRPr="00992CDF">
            <w:rPr>
              <w:bCs/>
            </w:rPr>
            <w:tab/>
          </w:r>
          <w:r>
            <w:fldChar w:fldCharType="begin"/>
          </w:r>
          <w:r w:rsidRPr="00992CDF">
            <w:instrText>PAGE</w:instrText>
          </w:r>
          <w:r>
            <w:fldChar w:fldCharType="separate"/>
          </w:r>
          <w:r w:rsidRPr="00992CDF">
            <w:t>1</w:t>
          </w:r>
          <w:r>
            <w:rPr>
              <w:noProof/>
            </w:rPr>
            <w:fldChar w:fldCharType="end"/>
          </w:r>
        </w:p>
      </w:tc>
    </w:tr>
  </w:tbl>
  <w:p w14:paraId="44006CCE" w14:textId="77777777" w:rsidR="00EE49E8" w:rsidRPr="00992CDF"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3E3B3B"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46B60D40" w:rsidR="00EE49E8" w:rsidRPr="00992CDF" w:rsidRDefault="00EE49E8" w:rsidP="00636853">
          <w:pPr>
            <w:pStyle w:val="Header"/>
            <w:tabs>
              <w:tab w:val="left" w:pos="4442"/>
              <w:tab w:val="right" w:pos="8505"/>
              <w:tab w:val="right" w:pos="9639"/>
            </w:tabs>
            <w:jc w:val="left"/>
            <w:rPr>
              <w:rFonts w:ascii="Arial" w:hAnsi="Arial" w:cs="Arial"/>
              <w:b/>
              <w:bCs/>
              <w:szCs w:val="18"/>
            </w:rPr>
          </w:pPr>
          <w:r>
            <w:rPr>
              <w:bCs/>
            </w:rPr>
            <w:tab/>
          </w:r>
          <w:r w:rsidRPr="00992CDF">
            <w:rPr>
              <w:bCs/>
            </w:rPr>
            <w:t>C</w:t>
          </w:r>
          <w:r w:rsidR="00A52C84" w:rsidRPr="00992CDF">
            <w:rPr>
              <w:bCs/>
            </w:rPr>
            <w:t>WG-</w:t>
          </w:r>
          <w:r w:rsidR="00636853" w:rsidRPr="00992CDF">
            <w:rPr>
              <w:bCs/>
            </w:rPr>
            <w:t>WSIS&amp;SDG</w:t>
          </w:r>
          <w:r w:rsidR="00A52C84" w:rsidRPr="00992CDF">
            <w:rPr>
              <w:bCs/>
            </w:rPr>
            <w:t>-</w:t>
          </w:r>
          <w:r w:rsidR="003F3796" w:rsidRPr="00992CDF">
            <w:rPr>
              <w:bCs/>
            </w:rPr>
            <w:t>40</w:t>
          </w:r>
          <w:r w:rsidRPr="00992CDF">
            <w:rPr>
              <w:bCs/>
            </w:rPr>
            <w:t>/</w:t>
          </w:r>
          <w:r w:rsidR="00992CDF">
            <w:rPr>
              <w:bCs/>
            </w:rPr>
            <w:t>13</w:t>
          </w:r>
          <w:r w:rsidRPr="00992CDF">
            <w:rPr>
              <w:bCs/>
            </w:rPr>
            <w:t>-E</w:t>
          </w:r>
          <w:r w:rsidRPr="00992CDF">
            <w:rPr>
              <w:bCs/>
            </w:rPr>
            <w:tab/>
          </w:r>
          <w:r>
            <w:fldChar w:fldCharType="begin"/>
          </w:r>
          <w:r w:rsidRPr="00992CDF">
            <w:instrText>PAGE</w:instrText>
          </w:r>
          <w:r>
            <w:fldChar w:fldCharType="separate"/>
          </w:r>
          <w:r w:rsidRPr="00992CDF">
            <w:t>1</w:t>
          </w:r>
          <w:r>
            <w:rPr>
              <w:noProof/>
            </w:rPr>
            <w:fldChar w:fldCharType="end"/>
          </w:r>
        </w:p>
      </w:tc>
    </w:tr>
  </w:tbl>
  <w:p w14:paraId="12BE588F" w14:textId="77777777" w:rsidR="00A514A4" w:rsidRPr="00992CDF"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7173" w14:textId="77777777" w:rsidR="0064023C" w:rsidRDefault="0064023C">
      <w:r>
        <w:t>____________________</w:t>
      </w:r>
    </w:p>
  </w:footnote>
  <w:footnote w:type="continuationSeparator" w:id="0">
    <w:p w14:paraId="0265A7AC" w14:textId="77777777" w:rsidR="0064023C" w:rsidRDefault="0064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026A4"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0F0E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CDA7213" w:rsidR="00130599" w:rsidRDefault="00992CDF" w:rsidP="00130599">
                          <w:pPr>
                            <w:spacing w:before="0"/>
                          </w:pPr>
                          <w:r w:rsidRPr="00992CDF">
                            <w:rPr>
                              <w:b/>
                              <w:bCs/>
                              <w:szCs w:val="24"/>
                            </w:rPr>
                            <w:t>Council Working Group</w:t>
                          </w:r>
                          <w:r>
                            <w:rPr>
                              <w:b/>
                              <w:bCs/>
                              <w:szCs w:val="24"/>
                            </w:rPr>
                            <w:br/>
                          </w:r>
                          <w:r w:rsidRPr="00992CDF">
                            <w:rPr>
                              <w:b/>
                              <w:bCs/>
                              <w:szCs w:val="24"/>
                            </w:rPr>
                            <w:t xml:space="preserve"> on WSIS &amp; SDG</w:t>
                          </w:r>
                          <w:r w:rsidR="00130599">
                            <w:br/>
                          </w:r>
                          <w:r w:rsidRPr="00992CDF">
                            <w:rPr>
                              <w:sz w:val="20"/>
                            </w:rPr>
                            <w:t>Fortieth meeting – From 1 February (p.m.) to 2 February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CDA7213" w:rsidR="00130599" w:rsidRDefault="00992CDF" w:rsidP="00130599">
                    <w:pPr>
                      <w:spacing w:before="0"/>
                    </w:pPr>
                    <w:r w:rsidRPr="00992CDF">
                      <w:rPr>
                        <w:b/>
                        <w:bCs/>
                        <w:szCs w:val="24"/>
                      </w:rPr>
                      <w:t>Council Working Group</w:t>
                    </w:r>
                    <w:r>
                      <w:rPr>
                        <w:b/>
                        <w:bCs/>
                        <w:szCs w:val="24"/>
                      </w:rPr>
                      <w:br/>
                    </w:r>
                    <w:r w:rsidRPr="00992CDF">
                      <w:rPr>
                        <w:b/>
                        <w:bCs/>
                        <w:szCs w:val="24"/>
                      </w:rPr>
                      <w:t xml:space="preserve"> on WSIS &amp; SDG</w:t>
                    </w:r>
                    <w:r w:rsidR="00130599">
                      <w:br/>
                    </w:r>
                    <w:r w:rsidRPr="00992CDF">
                      <w:rPr>
                        <w:sz w:val="20"/>
                      </w:rPr>
                      <w:t>Fortieth meeting – From 1 February (p.m.) to 2 February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53EB8"/>
    <w:rsid w:val="00063016"/>
    <w:rsid w:val="000663B9"/>
    <w:rsid w:val="00066795"/>
    <w:rsid w:val="00076AF6"/>
    <w:rsid w:val="00085CF2"/>
    <w:rsid w:val="00090164"/>
    <w:rsid w:val="000B1705"/>
    <w:rsid w:val="000D75B2"/>
    <w:rsid w:val="001121F5"/>
    <w:rsid w:val="00130599"/>
    <w:rsid w:val="001400DC"/>
    <w:rsid w:val="00140CE1"/>
    <w:rsid w:val="0017539C"/>
    <w:rsid w:val="00175AC2"/>
    <w:rsid w:val="0017609F"/>
    <w:rsid w:val="001763A4"/>
    <w:rsid w:val="001A7D1D"/>
    <w:rsid w:val="001B51DD"/>
    <w:rsid w:val="001C628E"/>
    <w:rsid w:val="001E0F7B"/>
    <w:rsid w:val="001F5DF6"/>
    <w:rsid w:val="002119FD"/>
    <w:rsid w:val="002130E0"/>
    <w:rsid w:val="0024335A"/>
    <w:rsid w:val="00244F7F"/>
    <w:rsid w:val="00264425"/>
    <w:rsid w:val="00265875"/>
    <w:rsid w:val="0027303B"/>
    <w:rsid w:val="0028109B"/>
    <w:rsid w:val="00293B38"/>
    <w:rsid w:val="002A2188"/>
    <w:rsid w:val="002B1F58"/>
    <w:rsid w:val="002C1C7A"/>
    <w:rsid w:val="002C54E2"/>
    <w:rsid w:val="0030160F"/>
    <w:rsid w:val="00320223"/>
    <w:rsid w:val="00322D0D"/>
    <w:rsid w:val="00361465"/>
    <w:rsid w:val="00382BEA"/>
    <w:rsid w:val="003877F5"/>
    <w:rsid w:val="003942D4"/>
    <w:rsid w:val="003958A8"/>
    <w:rsid w:val="003C0971"/>
    <w:rsid w:val="003C2533"/>
    <w:rsid w:val="003D5A7F"/>
    <w:rsid w:val="003E3B3B"/>
    <w:rsid w:val="003F3796"/>
    <w:rsid w:val="003F4F6D"/>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800BC"/>
    <w:rsid w:val="00582442"/>
    <w:rsid w:val="00590C4A"/>
    <w:rsid w:val="005A335D"/>
    <w:rsid w:val="005E2BD5"/>
    <w:rsid w:val="005F3269"/>
    <w:rsid w:val="00623AE3"/>
    <w:rsid w:val="00636853"/>
    <w:rsid w:val="0064023C"/>
    <w:rsid w:val="0064737F"/>
    <w:rsid w:val="006535F1"/>
    <w:rsid w:val="0065557D"/>
    <w:rsid w:val="006561A2"/>
    <w:rsid w:val="00660D50"/>
    <w:rsid w:val="00662984"/>
    <w:rsid w:val="006716BB"/>
    <w:rsid w:val="006B1859"/>
    <w:rsid w:val="006B6680"/>
    <w:rsid w:val="006B6DCC"/>
    <w:rsid w:val="00702DEF"/>
    <w:rsid w:val="00706861"/>
    <w:rsid w:val="0075051B"/>
    <w:rsid w:val="00775655"/>
    <w:rsid w:val="00793188"/>
    <w:rsid w:val="00794D34"/>
    <w:rsid w:val="00794DFC"/>
    <w:rsid w:val="00813E5E"/>
    <w:rsid w:val="0083581B"/>
    <w:rsid w:val="00863874"/>
    <w:rsid w:val="00864AFF"/>
    <w:rsid w:val="00865925"/>
    <w:rsid w:val="008B4A6A"/>
    <w:rsid w:val="008C7E27"/>
    <w:rsid w:val="008F7448"/>
    <w:rsid w:val="0090147A"/>
    <w:rsid w:val="009173EF"/>
    <w:rsid w:val="00932906"/>
    <w:rsid w:val="00961B0B"/>
    <w:rsid w:val="00962D33"/>
    <w:rsid w:val="00992CDF"/>
    <w:rsid w:val="009941DA"/>
    <w:rsid w:val="009B38C3"/>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36B"/>
    <w:rsid w:val="00B44910"/>
    <w:rsid w:val="00B633C2"/>
    <w:rsid w:val="00B72267"/>
    <w:rsid w:val="00B76EB6"/>
    <w:rsid w:val="00B7737B"/>
    <w:rsid w:val="00B824C8"/>
    <w:rsid w:val="00B84B9D"/>
    <w:rsid w:val="00BC251A"/>
    <w:rsid w:val="00BD032B"/>
    <w:rsid w:val="00BE2640"/>
    <w:rsid w:val="00C01189"/>
    <w:rsid w:val="00C374DE"/>
    <w:rsid w:val="00C47AD4"/>
    <w:rsid w:val="00C52D81"/>
    <w:rsid w:val="00C55198"/>
    <w:rsid w:val="00C655D9"/>
    <w:rsid w:val="00CA6393"/>
    <w:rsid w:val="00CB18FF"/>
    <w:rsid w:val="00CD0C08"/>
    <w:rsid w:val="00CE03FB"/>
    <w:rsid w:val="00CE433C"/>
    <w:rsid w:val="00CF0161"/>
    <w:rsid w:val="00CF33F3"/>
    <w:rsid w:val="00D06183"/>
    <w:rsid w:val="00D22C42"/>
    <w:rsid w:val="00D464CC"/>
    <w:rsid w:val="00D65041"/>
    <w:rsid w:val="00DA4BEE"/>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 w:val="00FF56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3-CWGWSIS39-C-0014/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3CE54-130F-4F90-A14A-11EB40F057B6}">
  <ds:schemaRefs>
    <ds:schemaRef ds:uri="182c4cff-5844-4b4c-8c88-96909af4d9b9"/>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8B89311C-C14F-4A1C-ACDC-960F8FB54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2C0DB-BAC3-4672-A934-F8AB43676FBE}">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724</Words>
  <Characters>4292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Council contribution to the HLPF 2024</dc:title>
  <dc:subject>Council Working Group on WSIS and the SDGs</dc:subject>
  <dc:creator/>
  <cp:keywords>CWG-WSIS&amp;SDG, C24, Council-24</cp:keywords>
  <dc:description/>
  <cp:lastModifiedBy/>
  <cp:revision>1</cp:revision>
  <dcterms:created xsi:type="dcterms:W3CDTF">2024-01-24T13:52:00Z</dcterms:created>
  <dcterms:modified xsi:type="dcterms:W3CDTF">2024-01-24T13:52:00Z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0x010100EE71E44D3260374C8AB15791486AF672</vt:lpwstr>
  </property>
</Properties>
</file>