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7F6ED5" w:rsidRPr="00B066DE" w14:paraId="79802EB1" w14:textId="77777777">
        <w:trPr>
          <w:cantSplit/>
          <w:trHeight w:val="23"/>
        </w:trPr>
        <w:tc>
          <w:tcPr>
            <w:tcW w:w="3969" w:type="dxa"/>
            <w:vMerge w:val="restart"/>
            <w:tcMar>
              <w:left w:w="0" w:type="dxa"/>
            </w:tcMar>
          </w:tcPr>
          <w:p w14:paraId="115A293D" w14:textId="77777777" w:rsidR="007F6ED5" w:rsidRDefault="007F6ED5">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2370"/>
            <w:bookmarkStart w:id="4" w:name="_Hlk133421856"/>
            <w:bookmarkStart w:id="5" w:name="_Hlk133586559"/>
          </w:p>
        </w:tc>
        <w:tc>
          <w:tcPr>
            <w:tcW w:w="5245" w:type="dxa"/>
          </w:tcPr>
          <w:p w14:paraId="4AECCCF8" w14:textId="358B3D71" w:rsidR="007F6ED5" w:rsidRDefault="00B066DE">
            <w:pPr>
              <w:tabs>
                <w:tab w:val="left" w:pos="851"/>
              </w:tabs>
              <w:spacing w:before="0" w:line="240" w:lineRule="atLeast"/>
              <w:jc w:val="right"/>
              <w:rPr>
                <w:b/>
                <w:lang w:val="fr-CH"/>
              </w:rPr>
            </w:pPr>
            <w:r>
              <w:rPr>
                <w:b/>
                <w:lang w:val="fr-CH"/>
              </w:rPr>
              <w:t>Document CWG-WSIS&amp;SDG-40/11</w:t>
            </w:r>
          </w:p>
        </w:tc>
      </w:tr>
      <w:tr w:rsidR="007F6ED5" w14:paraId="5E5A2B15" w14:textId="77777777">
        <w:trPr>
          <w:cantSplit/>
          <w:trHeight w:val="64"/>
        </w:trPr>
        <w:tc>
          <w:tcPr>
            <w:tcW w:w="3969" w:type="dxa"/>
            <w:vMerge/>
          </w:tcPr>
          <w:p w14:paraId="458C2C05" w14:textId="77777777" w:rsidR="007F6ED5" w:rsidRDefault="007F6ED5">
            <w:pPr>
              <w:tabs>
                <w:tab w:val="left" w:pos="851"/>
              </w:tabs>
              <w:spacing w:line="240" w:lineRule="atLeast"/>
              <w:rPr>
                <w:b/>
                <w:lang w:val="fr-CH"/>
              </w:rPr>
            </w:pPr>
            <w:bookmarkStart w:id="6" w:name="ddate" w:colFirst="1" w:colLast="1"/>
            <w:bookmarkEnd w:id="0"/>
            <w:bookmarkEnd w:id="1"/>
          </w:p>
        </w:tc>
        <w:tc>
          <w:tcPr>
            <w:tcW w:w="5245" w:type="dxa"/>
          </w:tcPr>
          <w:p w14:paraId="2D818F10" w14:textId="72A8A55A" w:rsidR="007F6ED5" w:rsidRDefault="00B066DE">
            <w:pPr>
              <w:tabs>
                <w:tab w:val="left" w:pos="851"/>
              </w:tabs>
              <w:spacing w:before="0"/>
              <w:jc w:val="right"/>
              <w:rPr>
                <w:b/>
              </w:rPr>
            </w:pPr>
            <w:r>
              <w:rPr>
                <w:b/>
              </w:rPr>
              <w:t>19</w:t>
            </w:r>
            <w:r>
              <w:rPr>
                <w:b/>
              </w:rPr>
              <w:t xml:space="preserve"> January 2024</w:t>
            </w:r>
          </w:p>
        </w:tc>
      </w:tr>
      <w:tr w:rsidR="007F6ED5" w14:paraId="6C0C0C61" w14:textId="77777777">
        <w:trPr>
          <w:cantSplit/>
          <w:trHeight w:val="23"/>
        </w:trPr>
        <w:tc>
          <w:tcPr>
            <w:tcW w:w="3969" w:type="dxa"/>
            <w:vMerge/>
          </w:tcPr>
          <w:p w14:paraId="4433AF67" w14:textId="77777777" w:rsidR="007F6ED5" w:rsidRDefault="007F6ED5">
            <w:pPr>
              <w:tabs>
                <w:tab w:val="left" w:pos="851"/>
              </w:tabs>
              <w:spacing w:line="240" w:lineRule="atLeast"/>
              <w:rPr>
                <w:b/>
              </w:rPr>
            </w:pPr>
            <w:bookmarkStart w:id="7" w:name="dorlang" w:colFirst="1" w:colLast="1"/>
            <w:bookmarkEnd w:id="6"/>
          </w:p>
        </w:tc>
        <w:tc>
          <w:tcPr>
            <w:tcW w:w="5245" w:type="dxa"/>
          </w:tcPr>
          <w:p w14:paraId="0DDCD60B" w14:textId="77777777" w:rsidR="007F6ED5" w:rsidRDefault="00B066DE">
            <w:pPr>
              <w:tabs>
                <w:tab w:val="left" w:pos="851"/>
              </w:tabs>
              <w:spacing w:before="0" w:line="240" w:lineRule="atLeast"/>
              <w:jc w:val="right"/>
              <w:rPr>
                <w:b/>
              </w:rPr>
            </w:pPr>
            <w:r>
              <w:rPr>
                <w:b/>
              </w:rPr>
              <w:t>English only</w:t>
            </w:r>
          </w:p>
        </w:tc>
      </w:tr>
      <w:tr w:rsidR="007F6ED5" w14:paraId="01629AB3" w14:textId="77777777">
        <w:trPr>
          <w:cantSplit/>
          <w:trHeight w:val="23"/>
        </w:trPr>
        <w:tc>
          <w:tcPr>
            <w:tcW w:w="3969" w:type="dxa"/>
          </w:tcPr>
          <w:p w14:paraId="2543E1C5" w14:textId="77777777" w:rsidR="007F6ED5" w:rsidRDefault="007F6ED5">
            <w:pPr>
              <w:tabs>
                <w:tab w:val="left" w:pos="851"/>
              </w:tabs>
              <w:spacing w:line="240" w:lineRule="atLeast"/>
              <w:rPr>
                <w:b/>
              </w:rPr>
            </w:pPr>
          </w:p>
        </w:tc>
        <w:tc>
          <w:tcPr>
            <w:tcW w:w="5245" w:type="dxa"/>
          </w:tcPr>
          <w:p w14:paraId="38391836" w14:textId="77777777" w:rsidR="007F6ED5" w:rsidRDefault="007F6ED5">
            <w:pPr>
              <w:tabs>
                <w:tab w:val="left" w:pos="851"/>
              </w:tabs>
              <w:spacing w:before="0" w:line="240" w:lineRule="atLeast"/>
              <w:jc w:val="right"/>
              <w:rPr>
                <w:b/>
              </w:rPr>
            </w:pPr>
          </w:p>
        </w:tc>
      </w:tr>
      <w:tr w:rsidR="007F6ED5" w14:paraId="1E827E48" w14:textId="77777777">
        <w:trPr>
          <w:cantSplit/>
        </w:trPr>
        <w:tc>
          <w:tcPr>
            <w:tcW w:w="9214" w:type="dxa"/>
            <w:gridSpan w:val="2"/>
            <w:tcMar>
              <w:left w:w="0" w:type="dxa"/>
            </w:tcMar>
          </w:tcPr>
          <w:p w14:paraId="3ED578A7" w14:textId="77777777" w:rsidR="007F6ED5" w:rsidRDefault="00B066DE">
            <w:pPr>
              <w:pStyle w:val="Source"/>
              <w:framePr w:hSpace="0" w:wrap="auto" w:vAnchor="margin" w:hAnchor="text" w:xAlign="left" w:yAlign="inline"/>
            </w:pPr>
            <w:bookmarkStart w:id="8" w:name="dsource" w:colFirst="0" w:colLast="0"/>
            <w:bookmarkEnd w:id="7"/>
            <w:r>
              <w:t>Contribution</w:t>
            </w:r>
            <w:r>
              <w:rPr>
                <w:b w:val="0"/>
                <w:sz w:val="24"/>
                <w:szCs w:val="20"/>
              </w:rPr>
              <w:t xml:space="preserve"> </w:t>
            </w:r>
            <w:r>
              <w:t>from Algeria (People's Democratic Republic of)</w:t>
            </w:r>
            <w:r>
              <w:rPr>
                <w:rFonts w:hint="eastAsia"/>
                <w:lang w:eastAsia="zh-CN"/>
              </w:rPr>
              <w:t>,</w:t>
            </w:r>
            <w:r>
              <w:t xml:space="preserve"> China (People’s republic of), Russian Federation, Saudi Arabia (Kingdom of), South Africa (Republic of), Tanzania (United </w:t>
            </w:r>
            <w:r>
              <w:t>Republic of), Uganda (Republic of)</w:t>
            </w:r>
          </w:p>
        </w:tc>
      </w:tr>
      <w:tr w:rsidR="007F6ED5" w14:paraId="3D20CABD" w14:textId="77777777">
        <w:trPr>
          <w:cantSplit/>
        </w:trPr>
        <w:tc>
          <w:tcPr>
            <w:tcW w:w="9214" w:type="dxa"/>
            <w:gridSpan w:val="2"/>
            <w:tcMar>
              <w:left w:w="0" w:type="dxa"/>
            </w:tcMar>
          </w:tcPr>
          <w:p w14:paraId="0F334668" w14:textId="77777777" w:rsidR="007F6ED5" w:rsidRDefault="00B066DE">
            <w:pPr>
              <w:pStyle w:val="Subtitle"/>
              <w:framePr w:hSpace="0" w:wrap="auto" w:xAlign="left" w:yAlign="inline"/>
            </w:pPr>
            <w:bookmarkStart w:id="9" w:name="dtitle1" w:colFirst="0" w:colLast="0"/>
            <w:bookmarkEnd w:id="8"/>
            <w:r>
              <w:t>PROPOSAL ON ENCOURAGING MEMBER STATES’ INVOLVEMENT IN THE PARTICIPATION OF THE ITU IN DIGITAL-RELATED ACTIVITIES</w:t>
            </w:r>
          </w:p>
        </w:tc>
      </w:tr>
      <w:tr w:rsidR="007F6ED5" w14:paraId="6C89185D" w14:textId="77777777">
        <w:trPr>
          <w:cantSplit/>
        </w:trPr>
        <w:tc>
          <w:tcPr>
            <w:tcW w:w="9214" w:type="dxa"/>
            <w:gridSpan w:val="2"/>
            <w:tcBorders>
              <w:top w:val="single" w:sz="4" w:space="0" w:color="auto"/>
              <w:bottom w:val="single" w:sz="4" w:space="0" w:color="auto"/>
            </w:tcBorders>
            <w:tcMar>
              <w:left w:w="0" w:type="dxa"/>
            </w:tcMar>
          </w:tcPr>
          <w:p w14:paraId="2E0E8F06" w14:textId="77777777" w:rsidR="007F6ED5" w:rsidRDefault="00B066DE">
            <w:pPr>
              <w:spacing w:before="160"/>
              <w:rPr>
                <w:b/>
                <w:bCs/>
                <w:sz w:val="26"/>
                <w:szCs w:val="26"/>
              </w:rPr>
            </w:pPr>
            <w:r>
              <w:rPr>
                <w:b/>
                <w:bCs/>
                <w:sz w:val="26"/>
                <w:szCs w:val="26"/>
              </w:rPr>
              <w:t>Purpose</w:t>
            </w:r>
          </w:p>
          <w:p w14:paraId="7F91B543" w14:textId="77777777" w:rsidR="007F6ED5" w:rsidRDefault="00B066DE">
            <w:pPr>
              <w:spacing w:before="160"/>
              <w:rPr>
                <w:szCs w:val="24"/>
              </w:rPr>
            </w:pPr>
            <w:r>
              <w:rPr>
                <w:szCs w:val="24"/>
              </w:rPr>
              <w:t xml:space="preserve">This proposal attempts to help the ITU to encourage Member States to contribute to the work of </w:t>
            </w:r>
            <w:r>
              <w:rPr>
                <w:szCs w:val="24"/>
              </w:rPr>
              <w:t>the Union towards the UN processes and activities that are important for fulfilling ITU’s WSIS&amp;SDGs-related mandate.</w:t>
            </w:r>
          </w:p>
          <w:p w14:paraId="13E3D49D" w14:textId="77777777" w:rsidR="007F6ED5" w:rsidRDefault="00B066DE">
            <w:pPr>
              <w:spacing w:before="160"/>
              <w:rPr>
                <w:b/>
                <w:bCs/>
                <w:sz w:val="26"/>
                <w:szCs w:val="26"/>
              </w:rPr>
            </w:pPr>
            <w:r>
              <w:rPr>
                <w:b/>
                <w:bCs/>
                <w:sz w:val="26"/>
                <w:szCs w:val="26"/>
              </w:rPr>
              <w:t xml:space="preserve">Action </w:t>
            </w:r>
            <w:proofErr w:type="gramStart"/>
            <w:r>
              <w:rPr>
                <w:b/>
                <w:bCs/>
                <w:sz w:val="26"/>
                <w:szCs w:val="26"/>
              </w:rPr>
              <w:t>required</w:t>
            </w:r>
            <w:proofErr w:type="gramEnd"/>
          </w:p>
          <w:p w14:paraId="26603585" w14:textId="77777777" w:rsidR="007F6ED5" w:rsidRDefault="00B066DE">
            <w:pPr>
              <w:spacing w:before="160"/>
              <w:rPr>
                <w:b/>
                <w:bCs/>
                <w:szCs w:val="24"/>
              </w:rPr>
            </w:pPr>
            <w:r>
              <w:rPr>
                <w:szCs w:val="24"/>
              </w:rPr>
              <w:t xml:space="preserve">Members are invited to </w:t>
            </w:r>
            <w:r>
              <w:rPr>
                <w:b/>
                <w:bCs/>
                <w:szCs w:val="24"/>
              </w:rPr>
              <w:t>consider</w:t>
            </w:r>
            <w:r>
              <w:rPr>
                <w:szCs w:val="24"/>
              </w:rPr>
              <w:t xml:space="preserve"> the proposal and </w:t>
            </w:r>
            <w:r>
              <w:rPr>
                <w:b/>
                <w:bCs/>
                <w:szCs w:val="24"/>
              </w:rPr>
              <w:t>take actions</w:t>
            </w:r>
            <w:r>
              <w:rPr>
                <w:szCs w:val="24"/>
              </w:rPr>
              <w:t xml:space="preserve"> accordingly.</w:t>
            </w:r>
          </w:p>
          <w:p w14:paraId="53F208C8" w14:textId="77777777" w:rsidR="007F6ED5" w:rsidRDefault="00B066DE">
            <w:pPr>
              <w:spacing w:before="160"/>
              <w:rPr>
                <w:sz w:val="26"/>
                <w:szCs w:val="26"/>
              </w:rPr>
            </w:pPr>
            <w:r>
              <w:rPr>
                <w:sz w:val="26"/>
                <w:szCs w:val="26"/>
              </w:rPr>
              <w:t>____________________________________</w:t>
            </w:r>
          </w:p>
          <w:p w14:paraId="0747B5DA" w14:textId="77777777" w:rsidR="007F6ED5" w:rsidRDefault="00B066DE">
            <w:pPr>
              <w:spacing w:before="160"/>
              <w:rPr>
                <w:b/>
                <w:bCs/>
                <w:sz w:val="26"/>
                <w:szCs w:val="26"/>
              </w:rPr>
            </w:pPr>
            <w:r>
              <w:rPr>
                <w:b/>
                <w:bCs/>
                <w:sz w:val="26"/>
                <w:szCs w:val="26"/>
              </w:rPr>
              <w:t>References</w:t>
            </w:r>
          </w:p>
          <w:p w14:paraId="651833D3" w14:textId="77777777" w:rsidR="007F6ED5" w:rsidRDefault="00B066DE">
            <w:hyperlink r:id="rId11" w:tgtFrame="_blank" w:history="1">
              <w:r>
                <w:rPr>
                  <w:rStyle w:val="Hyperlink"/>
                </w:rPr>
                <w:t>PP Resolution 140 (Bucharest, 2022)</w:t>
              </w:r>
            </w:hyperlink>
            <w:r>
              <w:t>;</w:t>
            </w:r>
            <w:hyperlink r:id="rId12" w:history="1">
              <w:r>
                <w:rPr>
                  <w:rStyle w:val="Hyperlink"/>
                </w:rPr>
                <w:t xml:space="preserve"> Council Resolution 1332 (Modified 2023)</w:t>
              </w:r>
            </w:hyperlink>
            <w:r>
              <w:t xml:space="preserve">; </w:t>
            </w:r>
            <w:hyperlink r:id="rId13" w:history="1">
              <w:r>
                <w:rPr>
                  <w:rStyle w:val="Hyperlink"/>
                </w:rPr>
                <w:t>Council Resolution 1334 (Modified 2023)</w:t>
              </w:r>
            </w:hyperlink>
            <w:r>
              <w:t xml:space="preserve">; </w:t>
            </w:r>
            <w:hyperlink r:id="rId14" w:history="1">
              <w:r>
                <w:rPr>
                  <w:rStyle w:val="Hyperlink"/>
                </w:rPr>
                <w:t>ITU’s Inputs to the Global Digital Compact</w:t>
              </w:r>
            </w:hyperlink>
            <w:r>
              <w:t xml:space="preserve"> </w:t>
            </w:r>
          </w:p>
        </w:tc>
      </w:tr>
    </w:tbl>
    <w:p w14:paraId="6278AB82" w14:textId="77777777" w:rsidR="007F6ED5" w:rsidRPr="00B066DE" w:rsidRDefault="007F6ED5">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A5880A7" w14:textId="77777777" w:rsidR="007F6ED5" w:rsidRPr="00B066DE" w:rsidRDefault="00B066DE">
      <w:pPr>
        <w:tabs>
          <w:tab w:val="clear" w:pos="567"/>
          <w:tab w:val="clear" w:pos="1134"/>
          <w:tab w:val="clear" w:pos="1701"/>
          <w:tab w:val="clear" w:pos="2268"/>
          <w:tab w:val="clear" w:pos="2835"/>
        </w:tabs>
        <w:overflowPunct/>
        <w:autoSpaceDE/>
        <w:autoSpaceDN/>
        <w:adjustRightInd/>
        <w:spacing w:before="0"/>
        <w:textAlignment w:val="auto"/>
        <w:rPr>
          <w:b/>
        </w:rPr>
      </w:pPr>
      <w:r w:rsidRPr="00B066DE">
        <w:br w:type="page"/>
      </w:r>
    </w:p>
    <w:bookmarkEnd w:id="5"/>
    <w:bookmarkEnd w:id="10"/>
    <w:p w14:paraId="404C6C1F" w14:textId="77777777" w:rsidR="007F6ED5" w:rsidRDefault="00B066DE">
      <w:pPr>
        <w:spacing w:before="160"/>
        <w:jc w:val="both"/>
        <w:rPr>
          <w:b/>
          <w:bCs/>
          <w:szCs w:val="24"/>
        </w:rPr>
      </w:pPr>
      <w:r>
        <w:rPr>
          <w:rFonts w:hint="eastAsia"/>
          <w:b/>
          <w:bCs/>
          <w:szCs w:val="24"/>
        </w:rPr>
        <w:lastRenderedPageBreak/>
        <w:t>I</w:t>
      </w:r>
      <w:r>
        <w:rPr>
          <w:b/>
          <w:bCs/>
          <w:szCs w:val="24"/>
        </w:rPr>
        <w:t>ntroduction</w:t>
      </w:r>
    </w:p>
    <w:p w14:paraId="4EDCB8DA" w14:textId="77777777" w:rsidR="007F6ED5" w:rsidRDefault="00B066DE">
      <w:pPr>
        <w:spacing w:before="160"/>
        <w:jc w:val="both"/>
        <w:rPr>
          <w:szCs w:val="24"/>
        </w:rPr>
      </w:pPr>
      <w:r>
        <w:rPr>
          <w:szCs w:val="24"/>
        </w:rPr>
        <w:t xml:space="preserve">The ITU has been active in contributing to digital-related activities that are relevant to WSIS and 2030 Sustainable Development Goals, and initiated iconic activities, which keeps enhancing the Union's influence. With the Union being </w:t>
      </w:r>
      <w:r>
        <w:rPr>
          <w:lang w:eastAsia="zh-CN"/>
        </w:rPr>
        <w:t>the specialized agency for ICTs</w:t>
      </w:r>
      <w:r>
        <w:rPr>
          <w:szCs w:val="24"/>
        </w:rPr>
        <w:t xml:space="preserve"> in the UN system, such activities have profound landmark significance to the world. </w:t>
      </w:r>
    </w:p>
    <w:p w14:paraId="04AC6A00" w14:textId="77777777" w:rsidR="007F6ED5" w:rsidRDefault="00B066DE">
      <w:pPr>
        <w:spacing w:before="160"/>
        <w:jc w:val="both"/>
        <w:rPr>
          <w:szCs w:val="24"/>
        </w:rPr>
      </w:pPr>
      <w:r>
        <w:rPr>
          <w:szCs w:val="24"/>
        </w:rPr>
        <w:t>Member States are essential contributors to the Union and are key drivers of the Council.  Participation of Member States are cornerstones of the ITU’s valuable activities both by the nature of the Union and by the resolutions of the Plenipotentiary Conference and Council of the Union. PP Resolution 140 states that “the full involvement of the membership, including Sector Members, Associates and Academia, as well as other stakeholders, is critical to successful ITU implementation of relevant WSIS outcomes”.</w:t>
      </w:r>
      <w:r>
        <w:rPr>
          <w:szCs w:val="24"/>
        </w:rPr>
        <w:t xml:space="preserve"> By analogy, it is also important for ITU to keep abreast of what is happening within related thematic external processes to successfully implement relevant WSIS outcomes, which by now is especially important in preparation for WSIS+20 overall review.</w:t>
      </w:r>
    </w:p>
    <w:p w14:paraId="656B3D91" w14:textId="77777777" w:rsidR="007F6ED5" w:rsidRDefault="00B066DE">
      <w:pPr>
        <w:spacing w:before="160"/>
        <w:jc w:val="both"/>
        <w:rPr>
          <w:szCs w:val="24"/>
        </w:rPr>
      </w:pPr>
      <w:r>
        <w:rPr>
          <w:szCs w:val="24"/>
        </w:rPr>
        <w:t>However, the involvement of Member S</w:t>
      </w:r>
      <w:r>
        <w:rPr>
          <w:rFonts w:hint="eastAsia"/>
          <w:szCs w:val="24"/>
        </w:rPr>
        <w:t>tates</w:t>
      </w:r>
      <w:r>
        <w:rPr>
          <w:szCs w:val="24"/>
        </w:rPr>
        <w:t xml:space="preserve"> in the participation of the ITU in digital processes needs to be improved at present. </w:t>
      </w:r>
      <w:r>
        <w:rPr>
          <w:lang w:eastAsia="zh-CN"/>
        </w:rPr>
        <w:t>To take a few major events for example, the ITU’s input</w:t>
      </w:r>
      <w:r>
        <w:rPr>
          <w:vertAlign w:val="superscript"/>
          <w:lang w:eastAsia="zh-CN"/>
        </w:rPr>
        <w:t xml:space="preserve"> </w:t>
      </w:r>
      <w:r>
        <w:rPr>
          <w:lang w:eastAsia="zh-CN"/>
        </w:rPr>
        <w:t>to the Global Digital Compact (GDC) in April 2023 and the ITU’s organizing the SDG Digital event on 17</w:t>
      </w:r>
      <w:r>
        <w:rPr>
          <w:vertAlign w:val="superscript"/>
          <w:lang w:eastAsia="zh-CN"/>
        </w:rPr>
        <w:t>th</w:t>
      </w:r>
      <w:r>
        <w:rPr>
          <w:lang w:eastAsia="zh-CN"/>
        </w:rPr>
        <w:t xml:space="preserve"> September 2023 were great opportunities to comprehensively present its achievement and considerations on hot topics in the field of ICTs. Yet only a few Member States participated in producing the outcomes. </w:t>
      </w:r>
    </w:p>
    <w:p w14:paraId="5E25CD06" w14:textId="77777777" w:rsidR="007F6ED5" w:rsidRDefault="00B066DE">
      <w:pPr>
        <w:spacing w:before="160"/>
        <w:jc w:val="both"/>
        <w:rPr>
          <w:b/>
          <w:bCs/>
          <w:szCs w:val="24"/>
        </w:rPr>
      </w:pPr>
      <w:r>
        <w:rPr>
          <w:b/>
          <w:bCs/>
          <w:szCs w:val="24"/>
        </w:rPr>
        <w:t>Discussion</w:t>
      </w:r>
    </w:p>
    <w:p w14:paraId="6B3747DA" w14:textId="77777777" w:rsidR="007F6ED5" w:rsidRDefault="00B066DE">
      <w:pPr>
        <w:spacing w:before="160"/>
        <w:jc w:val="both"/>
        <w:rPr>
          <w:szCs w:val="24"/>
        </w:rPr>
      </w:pPr>
      <w:r>
        <w:rPr>
          <w:szCs w:val="24"/>
        </w:rPr>
        <w:t xml:space="preserve">Considering the wide scope and inter-sector feature of many digital processes that are related to WSIS&amp;SDGs, their content often exceeds the capability of the designated focal departments of Member States. Due to information lag and asymmetry, some Member States may lack interest in following potentially valuable processes, or unfortunately miss the opportunity to participate. </w:t>
      </w:r>
    </w:p>
    <w:p w14:paraId="42CC6CE2" w14:textId="77777777" w:rsidR="007F6ED5" w:rsidRDefault="00B066DE">
      <w:pPr>
        <w:spacing w:before="160"/>
        <w:jc w:val="both"/>
        <w:rPr>
          <w:szCs w:val="24"/>
        </w:rPr>
      </w:pPr>
      <w:r>
        <w:rPr>
          <w:szCs w:val="24"/>
        </w:rPr>
        <w:t xml:space="preserve">To incentivize Member States to contribute to the Union actively, the Union needs to proactively keep Member States informed, and provide convenience for interested Member States to contribute. </w:t>
      </w:r>
    </w:p>
    <w:p w14:paraId="3779E927" w14:textId="77777777" w:rsidR="007F6ED5" w:rsidRDefault="00B066DE">
      <w:pPr>
        <w:jc w:val="both"/>
        <w:rPr>
          <w:rFonts w:ascii="SimSun" w:eastAsia="SimSun" w:hAnsi="SimSun" w:cs="SimSun"/>
          <w:lang w:eastAsia="zh-CN"/>
        </w:rPr>
      </w:pPr>
      <w:r>
        <w:rPr>
          <w:szCs w:val="24"/>
        </w:rPr>
        <w:t xml:space="preserve">The answer to how to incorporate the opinions of Member States depends on the specific needs and circumstances of each </w:t>
      </w:r>
      <w:r>
        <w:rPr>
          <w:rFonts w:hint="eastAsia"/>
          <w:szCs w:val="24"/>
        </w:rPr>
        <w:t>ty</w:t>
      </w:r>
      <w:r>
        <w:rPr>
          <w:szCs w:val="24"/>
        </w:rPr>
        <w:t>pe of activities. Therefore, it is necessary to assess in advance the impact of the activities and expected supports from Member States.</w:t>
      </w:r>
    </w:p>
    <w:p w14:paraId="5AF248D8" w14:textId="77777777" w:rsidR="007F6ED5" w:rsidRDefault="00B066DE">
      <w:pPr>
        <w:spacing w:before="160"/>
        <w:jc w:val="both"/>
        <w:rPr>
          <w:b/>
          <w:bCs/>
          <w:szCs w:val="24"/>
        </w:rPr>
      </w:pPr>
      <w:r>
        <w:rPr>
          <w:rFonts w:hint="eastAsia"/>
          <w:b/>
          <w:bCs/>
          <w:szCs w:val="24"/>
        </w:rPr>
        <w:t>P</w:t>
      </w:r>
      <w:r>
        <w:rPr>
          <w:b/>
          <w:bCs/>
          <w:szCs w:val="24"/>
        </w:rPr>
        <w:t>roposal</w:t>
      </w:r>
    </w:p>
    <w:p w14:paraId="1BE171D8" w14:textId="77777777" w:rsidR="007F6ED5" w:rsidRDefault="00B066DE">
      <w:pPr>
        <w:spacing w:before="160"/>
        <w:jc w:val="both"/>
        <w:rPr>
          <w:szCs w:val="24"/>
        </w:rPr>
      </w:pPr>
      <w:r>
        <w:rPr>
          <w:szCs w:val="24"/>
        </w:rPr>
        <w:t>It is proposed that the General Secretariat carries out the following work on a regular basis:</w:t>
      </w:r>
    </w:p>
    <w:p w14:paraId="32D92A1C" w14:textId="77777777" w:rsidR="007F6ED5" w:rsidRDefault="00B066DE">
      <w:pPr>
        <w:spacing w:before="160"/>
        <w:jc w:val="both"/>
        <w:rPr>
          <w:szCs w:val="24"/>
        </w:rPr>
      </w:pPr>
      <w:r>
        <w:rPr>
          <w:szCs w:val="24"/>
        </w:rPr>
        <w:t xml:space="preserve">1. For processes or activities related to WSIS, 2030 Sustainable Development Goals, and global digital governance, which the ITU wishes to host or attend, particularly the </w:t>
      </w:r>
      <w:proofErr w:type="gramStart"/>
      <w:r>
        <w:rPr>
          <w:szCs w:val="24"/>
        </w:rPr>
        <w:t>high-levels</w:t>
      </w:r>
      <w:proofErr w:type="gramEnd"/>
      <w:r>
        <w:rPr>
          <w:szCs w:val="24"/>
        </w:rPr>
        <w:t xml:space="preserve">, the General Secretariat should prepare an annual plan of </w:t>
      </w:r>
      <w:r>
        <w:rPr>
          <w:rFonts w:hint="eastAsia"/>
          <w:szCs w:val="24"/>
        </w:rPr>
        <w:t>par</w:t>
      </w:r>
      <w:r>
        <w:rPr>
          <w:szCs w:val="24"/>
        </w:rPr>
        <w:t>ticipation (hereinafter "the plan"). The plan should be presented to Member States through the official meeting of CWG-WSIS&amp;SDG during the first cluster of CWGs &amp; EGs of a calendar year.</w:t>
      </w:r>
    </w:p>
    <w:p w14:paraId="50314851" w14:textId="77777777" w:rsidR="007F6ED5" w:rsidRDefault="00B066DE">
      <w:pPr>
        <w:spacing w:before="160"/>
        <w:jc w:val="both"/>
        <w:rPr>
          <w:szCs w:val="24"/>
        </w:rPr>
      </w:pPr>
      <w:r>
        <w:rPr>
          <w:szCs w:val="24"/>
        </w:rPr>
        <w:t xml:space="preserve">2. The plan should include: (1) impact of the activities, (2) source of human resources in the ITU, and/or knowledge support from third parties, such as consultancies; (3) form of </w:t>
      </w:r>
      <w:r>
        <w:rPr>
          <w:szCs w:val="24"/>
        </w:rPr>
        <w:lastRenderedPageBreak/>
        <w:t>participation, such as hosting the events, attending the events, submitting written contributions, and signing of the outcome documents.</w:t>
      </w:r>
    </w:p>
    <w:p w14:paraId="0DB02498" w14:textId="77777777" w:rsidR="007F6ED5" w:rsidRDefault="00B066DE">
      <w:pPr>
        <w:spacing w:before="160"/>
        <w:jc w:val="both"/>
        <w:rPr>
          <w:szCs w:val="24"/>
        </w:rPr>
      </w:pPr>
      <w:r>
        <w:rPr>
          <w:szCs w:val="24"/>
        </w:rPr>
        <w:t>3. For activities that the General Secretariat deems important and requires that Member States urgently contribute to, the General Secretariat should inform Member States in advance by circular letter as early as possible and organize consultations in an appropriate form, towards the end that Member States are sufficiently engaged.</w:t>
      </w:r>
    </w:p>
    <w:p w14:paraId="3978948A" w14:textId="77777777" w:rsidR="007F6ED5" w:rsidRDefault="00B066DE">
      <w:pPr>
        <w:jc w:val="both"/>
        <w:rPr>
          <w:rFonts w:ascii="SimSun" w:eastAsia="SimSun" w:hAnsi="SimSun" w:cs="SimSun"/>
          <w:lang w:eastAsia="zh-CN"/>
        </w:rPr>
      </w:pPr>
      <w:r>
        <w:rPr>
          <w:szCs w:val="24"/>
        </w:rPr>
        <w:t>4. The General Secretariat should prepare a summary report and submit to the official meeting of CWG-WSIS&amp;SDG during the first cluster of CWGs &amp; EGs of the next calendar year, where Member States could propose advice of improvement.</w:t>
      </w:r>
    </w:p>
    <w:p w14:paraId="61E74A3F" w14:textId="77777777" w:rsidR="007F6ED5" w:rsidRDefault="00B066DE">
      <w:pPr>
        <w:tabs>
          <w:tab w:val="clear" w:pos="567"/>
          <w:tab w:val="clear" w:pos="1134"/>
          <w:tab w:val="clear" w:pos="1701"/>
          <w:tab w:val="clear" w:pos="2268"/>
          <w:tab w:val="clear" w:pos="2835"/>
        </w:tabs>
        <w:adjustRightInd/>
        <w:spacing w:before="840"/>
        <w:jc w:val="center"/>
        <w:rPr>
          <w:szCs w:val="24"/>
          <w:lang w:eastAsia="zh-CN"/>
        </w:rPr>
      </w:pPr>
      <w:r>
        <w:rPr>
          <w:szCs w:val="24"/>
          <w:lang w:eastAsia="zh-CN"/>
        </w:rPr>
        <w:t>________________</w:t>
      </w:r>
    </w:p>
    <w:sectPr w:rsidR="007F6ED5">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7026" w14:textId="77777777" w:rsidR="00B066DE" w:rsidRDefault="00B066DE">
      <w:pPr>
        <w:spacing w:before="0"/>
      </w:pPr>
      <w:r>
        <w:separator/>
      </w:r>
    </w:p>
  </w:endnote>
  <w:endnote w:type="continuationSeparator" w:id="0">
    <w:p w14:paraId="0C773AD2" w14:textId="77777777" w:rsidR="00B066DE" w:rsidRDefault="00B066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F6ED5" w14:paraId="4B35450E" w14:textId="77777777">
      <w:trPr>
        <w:jc w:val="center"/>
      </w:trPr>
      <w:tc>
        <w:tcPr>
          <w:tcW w:w="1803" w:type="dxa"/>
          <w:vAlign w:val="center"/>
        </w:tcPr>
        <w:p w14:paraId="1C824B56" w14:textId="77777777" w:rsidR="007F6ED5" w:rsidRDefault="007F6ED5">
          <w:pPr>
            <w:pStyle w:val="Header"/>
            <w:jc w:val="left"/>
            <w:rPr>
              <w:rFonts w:eastAsiaTheme="minorHAnsi" w:cstheme="minorBidi"/>
              <w:color w:val="7F7F7F" w:themeColor="text1" w:themeTint="80"/>
            </w:rPr>
          </w:pPr>
        </w:p>
      </w:tc>
      <w:tc>
        <w:tcPr>
          <w:tcW w:w="8261" w:type="dxa"/>
        </w:tcPr>
        <w:p w14:paraId="4D90E886" w14:textId="0ABBFF51" w:rsidR="007F6ED5" w:rsidRDefault="00B066DE">
          <w:pPr>
            <w:pStyle w:val="Header"/>
            <w:tabs>
              <w:tab w:val="left" w:pos="5738"/>
              <w:tab w:val="right" w:pos="8505"/>
              <w:tab w:val="right" w:pos="9639"/>
            </w:tabs>
            <w:jc w:val="left"/>
            <w:rPr>
              <w:rFonts w:ascii="Arial" w:eastAsiaTheme="minorHAnsi" w:hAnsi="Arial" w:cs="Arial"/>
              <w:b/>
              <w:bCs/>
              <w:color w:val="7F7F7F" w:themeColor="text1" w:themeTint="80"/>
              <w:szCs w:val="18"/>
            </w:rPr>
          </w:pPr>
          <w:r>
            <w:rPr>
              <w:rFonts w:eastAsiaTheme="minorHAnsi" w:cstheme="minorBidi"/>
              <w:bCs/>
              <w:color w:val="7F7F7F" w:themeColor="text1" w:themeTint="80"/>
            </w:rPr>
            <w:tab/>
            <w:t>CWG-WSIS&amp;SDG-40/11</w:t>
          </w:r>
          <w:r>
            <w:rPr>
              <w:rFonts w:eastAsiaTheme="minorHAnsi" w:cstheme="minorBidi"/>
              <w:bCs/>
              <w:color w:val="7F7F7F" w:themeColor="text1" w:themeTint="80"/>
            </w:rPr>
            <w:t>-E</w:t>
          </w:r>
          <w:r>
            <w:rPr>
              <w:rFonts w:eastAsiaTheme="minorHAnsi" w:cstheme="minorBidi"/>
              <w:bCs/>
              <w:color w:val="7F7F7F" w:themeColor="text1" w:themeTint="80"/>
            </w:rPr>
            <w:tab/>
          </w:r>
          <w:r>
            <w:rPr>
              <w:rFonts w:eastAsiaTheme="minorHAnsi" w:cstheme="minorBidi"/>
              <w:color w:val="7F7F7F" w:themeColor="text1" w:themeTint="80"/>
            </w:rPr>
            <w:fldChar w:fldCharType="begin"/>
          </w:r>
          <w:r>
            <w:rPr>
              <w:rFonts w:eastAsiaTheme="minorHAnsi" w:cstheme="minorBidi"/>
              <w:color w:val="7F7F7F" w:themeColor="text1" w:themeTint="80"/>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rPr>
            <w:t>1</w:t>
          </w:r>
          <w:r>
            <w:rPr>
              <w:rFonts w:eastAsiaTheme="minorHAnsi" w:cstheme="minorBidi"/>
              <w:color w:val="7F7F7F" w:themeColor="text1" w:themeTint="80"/>
            </w:rPr>
            <w:fldChar w:fldCharType="end"/>
          </w:r>
        </w:p>
      </w:tc>
    </w:tr>
  </w:tbl>
  <w:p w14:paraId="55A704E6" w14:textId="77777777" w:rsidR="007F6ED5" w:rsidRDefault="007F6ED5">
    <w:pPr>
      <w:pStyle w:val="Header"/>
      <w:tabs>
        <w:tab w:val="left" w:pos="8080"/>
        <w:tab w:val="right" w:pos="9072"/>
      </w:tabs>
      <w:jc w:val="left"/>
      <w:rPr>
        <w:bCs/>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7F6ED5" w14:paraId="7AD28969" w14:textId="77777777">
      <w:trPr>
        <w:jc w:val="center"/>
      </w:trPr>
      <w:tc>
        <w:tcPr>
          <w:tcW w:w="3107" w:type="dxa"/>
          <w:vAlign w:val="center"/>
        </w:tcPr>
        <w:p w14:paraId="57B4489A" w14:textId="77777777" w:rsidR="007F6ED5" w:rsidRDefault="00B066DE">
          <w:pPr>
            <w:pStyle w:val="Header"/>
            <w:jc w:val="left"/>
            <w:rPr>
              <w:rFonts w:eastAsiaTheme="minorHAnsi" w:cstheme="minorBidi"/>
              <w:color w:val="7F7F7F" w:themeColor="text1" w:themeTint="80"/>
            </w:rPr>
          </w:pPr>
          <w:r>
            <w:rPr>
              <w:rFonts w:eastAsiaTheme="minorHAnsi" w:cstheme="minorBidi"/>
              <w:color w:val="0070C0"/>
              <w14:textFill>
                <w14:solidFill>
                  <w14:srgbClr w14:val="0070C0">
                    <w14:lumMod w14:val="50000"/>
                    <w14:lumOff w14:val="50000"/>
                  </w14:srgbClr>
                </w14:solidFill>
              </w14:textFill>
            </w:rPr>
            <w:t>https://council.itu.int/working-groups</w:t>
          </w:r>
        </w:p>
      </w:tc>
      <w:tc>
        <w:tcPr>
          <w:tcW w:w="6957" w:type="dxa"/>
        </w:tcPr>
        <w:p w14:paraId="3A521A95" w14:textId="55646F35" w:rsidR="007F6ED5" w:rsidRDefault="00B066DE">
          <w:pPr>
            <w:pStyle w:val="Header"/>
            <w:tabs>
              <w:tab w:val="left" w:pos="4442"/>
              <w:tab w:val="right" w:pos="8505"/>
              <w:tab w:val="right" w:pos="9639"/>
            </w:tabs>
            <w:jc w:val="left"/>
            <w:rPr>
              <w:rFonts w:ascii="Arial" w:eastAsiaTheme="minorHAnsi" w:hAnsi="Arial" w:cs="Arial"/>
              <w:b/>
              <w:bCs/>
              <w:color w:val="7F7F7F" w:themeColor="text1" w:themeTint="80"/>
              <w:szCs w:val="18"/>
            </w:rPr>
          </w:pPr>
          <w:r>
            <w:rPr>
              <w:rFonts w:eastAsiaTheme="minorHAnsi" w:cstheme="minorBidi"/>
              <w:bCs/>
              <w:color w:val="7F7F7F" w:themeColor="text1" w:themeTint="80"/>
            </w:rPr>
            <w:tab/>
            <w:t>CWG-WSIS&amp;SDG-40/11</w:t>
          </w:r>
          <w:r>
            <w:rPr>
              <w:rFonts w:eastAsiaTheme="minorHAnsi" w:cstheme="minorBidi"/>
              <w:bCs/>
              <w:color w:val="7F7F7F" w:themeColor="text1" w:themeTint="80"/>
            </w:rPr>
            <w:t>-E</w:t>
          </w:r>
          <w:r>
            <w:rPr>
              <w:rFonts w:eastAsiaTheme="minorHAnsi" w:cstheme="minorBidi"/>
              <w:bCs/>
              <w:color w:val="7F7F7F" w:themeColor="text1" w:themeTint="80"/>
            </w:rPr>
            <w:tab/>
          </w:r>
          <w:r>
            <w:rPr>
              <w:rFonts w:eastAsiaTheme="minorHAnsi" w:cstheme="minorBidi"/>
              <w:color w:val="7F7F7F" w:themeColor="text1" w:themeTint="80"/>
            </w:rPr>
            <w:fldChar w:fldCharType="begin"/>
          </w:r>
          <w:r>
            <w:rPr>
              <w:rFonts w:eastAsiaTheme="minorHAnsi" w:cstheme="minorBidi"/>
              <w:color w:val="7F7F7F" w:themeColor="text1" w:themeTint="80"/>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rPr>
            <w:t>1</w:t>
          </w:r>
          <w:r>
            <w:rPr>
              <w:rFonts w:eastAsiaTheme="minorHAnsi" w:cstheme="minorBidi"/>
              <w:color w:val="7F7F7F" w:themeColor="text1" w:themeTint="80"/>
            </w:rPr>
            <w:fldChar w:fldCharType="end"/>
          </w:r>
        </w:p>
      </w:tc>
    </w:tr>
  </w:tbl>
  <w:p w14:paraId="79EE85B1" w14:textId="77777777" w:rsidR="007F6ED5" w:rsidRDefault="007F6ED5">
    <w:pPr>
      <w:pStyle w:val="Header"/>
      <w:tabs>
        <w:tab w:val="left" w:pos="8080"/>
        <w:tab w:val="right" w:pos="9072"/>
      </w:tabs>
      <w:jc w:val="right"/>
      <w:rPr>
        <w:bCs/>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FDD" w14:textId="77777777" w:rsidR="007F6ED5" w:rsidRDefault="00B066DE">
      <w:pPr>
        <w:spacing w:before="0"/>
      </w:pPr>
      <w:r>
        <w:separator/>
      </w:r>
    </w:p>
  </w:footnote>
  <w:footnote w:type="continuationSeparator" w:id="0">
    <w:p w14:paraId="52D802AB" w14:textId="77777777" w:rsidR="007F6ED5" w:rsidRDefault="00B066D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7F6ED5" w14:paraId="6281C7DC" w14:textId="77777777">
      <w:trPr>
        <w:trHeight w:val="1304"/>
        <w:jc w:val="center"/>
      </w:trPr>
      <w:tc>
        <w:tcPr>
          <w:tcW w:w="6546" w:type="dxa"/>
        </w:tcPr>
        <w:bookmarkStart w:id="11" w:name="_Hlk133422111"/>
        <w:p w14:paraId="0C42FB8A" w14:textId="77777777" w:rsidR="007F6ED5" w:rsidRDefault="00B066DE">
          <w:pPr>
            <w:pStyle w:val="Header"/>
            <w:jc w:val="left"/>
            <w:rPr>
              <w:rFonts w:ascii="Arial" w:eastAsiaTheme="minorHAnsi" w:hAnsi="Arial" w:cs="Arial"/>
              <w:b/>
              <w:bCs/>
              <w:color w:val="009CD6"/>
              <w:sz w:val="36"/>
              <w:szCs w:val="36"/>
              <w14:textFill>
                <w14:solidFill>
                  <w14:srgbClr w14:val="009CD6">
                    <w14:lumMod w14:val="50000"/>
                    <w14:lumOff w14:val="50000"/>
                  </w14:srgbClr>
                </w14:solidFill>
              </w14:textFill>
            </w:rPr>
          </w:pPr>
          <w:r>
            <w:rPr>
              <w:rFonts w:ascii="Arial" w:eastAsiaTheme="minorHAnsi"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0288" behindDoc="0" locked="0" layoutInCell="1" allowOverlap="1" wp14:anchorId="02D1BFDD" wp14:editId="43BA3CDA">
                    <wp:simplePos x="0" y="0"/>
                    <wp:positionH relativeFrom="column">
                      <wp:posOffset>569595</wp:posOffset>
                    </wp:positionH>
                    <wp:positionV relativeFrom="paragraph">
                      <wp:posOffset>62865</wp:posOffset>
                    </wp:positionV>
                    <wp:extent cx="1652905" cy="541020"/>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2" o:spid="_x0000_s1026" o:spt="1" style="position:absolute;left:0pt;margin-left:44.85pt;margin-top:4.95pt;height:42.6pt;width:130.15pt;z-index:251660288;v-text-anchor:middle;mso-width-relative:page;mso-height-relative:page;" fillcolor="#FFFFFF [3212]" filled="t" stroked="f" coordsize="21600,21600" o:gfxdata="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2/oSDTAAAABwEAAA8AAAAA&#10;AAAAAQAgAAAAIgAAAGRycy9kb3ducmV2LnhtbFBLAQIUABQAAAAIAIdO4kCqEfNLUgIAALcEAAAO&#10;AAAAAAAAAAEAIAAAACIBAABkcnMvZTJvRG9jLnhtbFBLBQYAAAAABgAGAFkBAADmBQAAAAA=&#10;">
                    <v:fill on="t" focussize="0,0"/>
                    <v:stroke on="f" weight="2pt"/>
                    <v:imagedata o:title=""/>
                    <o:lock v:ext="edit" aspectratio="f"/>
                  </v:rect>
                </w:pict>
              </mc:Fallback>
            </mc:AlternateContent>
          </w:r>
          <w:r>
            <w:rPr>
              <w:rFonts w:eastAsiaTheme="minorHAnsi" w:cstheme="minorBidi"/>
              <w:noProof/>
              <w:color w:val="7F7F7F" w:themeColor="text1" w:themeTint="80"/>
            </w:rPr>
            <w:drawing>
              <wp:inline distT="0" distB="0" distL="0" distR="0" wp14:anchorId="5ABD608C" wp14:editId="2E2DB42D">
                <wp:extent cx="2249805"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00B889DF" w14:textId="77777777" w:rsidR="007F6ED5" w:rsidRDefault="007F6ED5">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428DCDFC" w14:textId="77777777" w:rsidR="007F6ED5" w:rsidRDefault="007F6ED5">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55240933" w14:textId="77777777" w:rsidR="007F6ED5" w:rsidRDefault="00B066DE">
          <w:pPr>
            <w:pStyle w:val="Header"/>
            <w:jc w:val="right"/>
            <w:rPr>
              <w:rFonts w:ascii="Arial" w:eastAsiaTheme="minorHAnsi" w:hAnsi="Arial" w:cs="Arial"/>
              <w:color w:val="009CD6"/>
              <w:szCs w:val="18"/>
              <w14:textFill>
                <w14:solidFill>
                  <w14:srgbClr w14:val="009CD6">
                    <w14:lumMod w14:val="50000"/>
                    <w14:lumOff w14:val="50000"/>
                  </w14:srgbClr>
                </w14:solidFill>
              </w14:textFill>
            </w:rPr>
          </w:pPr>
          <w:r>
            <w:rPr>
              <w:rFonts w:ascii="Arial" w:eastAsiaTheme="minorHAnsi" w:hAnsi="Arial" w:cs="Arial"/>
              <w:b/>
              <w:bCs/>
              <w:color w:val="009CD6"/>
              <w:szCs w:val="18"/>
              <w14:textFill>
                <w14:solidFill>
                  <w14:srgbClr w14:val="009CD6">
                    <w14:lumMod w14:val="50000"/>
                    <w14:lumOff w14:val="50000"/>
                  </w14:srgbClr>
                </w14:solidFill>
              </w14:textFill>
            </w:rPr>
            <w:t xml:space="preserve"> </w:t>
          </w:r>
        </w:p>
      </w:tc>
    </w:tr>
  </w:tbl>
  <w:bookmarkEnd w:id="11"/>
  <w:p w14:paraId="27DD3710" w14:textId="77777777" w:rsidR="007F6ED5" w:rsidRDefault="00B066DE">
    <w:pPr>
      <w:pStyle w:val="Header"/>
      <w:rPr>
        <w:color w:val="7F7F7F" w:themeColor="text1" w:themeTint="80"/>
      </w:rPr>
    </w:pPr>
    <w:r>
      <w:rPr>
        <w:rFonts w:ascii="Avenir Nxt2 W1G Medium" w:eastAsia="Avenir Nxt2 W1G Medium" w:hAnsi="Avenir Nxt2 W1G Medium" w:cs="Avenir Nxt2 W1G Medium"/>
        <w:noProof/>
        <w:color w:val="7F7F7F" w:themeColor="text1" w:themeTint="80"/>
      </w:rPr>
      <mc:AlternateContent>
        <mc:Choice Requires="wps">
          <w:drawing>
            <wp:anchor distT="0" distB="0" distL="114300" distR="114300" simplePos="0" relativeHeight="251659264" behindDoc="0" locked="0" layoutInCell="1" allowOverlap="1" wp14:anchorId="2A65E99B" wp14:editId="22BFAF2F">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59264;mso-width-relative:page;mso-height-relative:page;" fillcolor="#009CD5" filled="t" stroked="f" coordsize="21600,21600" o:gfxdata="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9XYxTXAAAABwEAAA8AAAAAAAAA&#10;AQAgAAAAIgAAAGRycy9kb3ducmV2LnhtbFBLAQIUABQAAAAIAIdO4kBR2/FNEgIAACcEAAAOAAAA&#10;AAAAAAEAIAAAACYBAABkcnMvZTJvRG9jLnhtbFBLBQYAAAAABgAGAFkBAACqBQAAAAA=&#10;">
              <v:fill on="t" focussize="0,0"/>
              <v:stroke on="f"/>
              <v:imagedata o:title=""/>
              <o:lock v:ext="edit" aspectratio="f"/>
            </v:rect>
          </w:pict>
        </mc:Fallback>
      </mc:AlternateContent>
    </w:r>
    <w:r>
      <w:rPr>
        <w:rFonts w:ascii="Arial" w:eastAsiaTheme="minorHAnsi"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1312" behindDoc="0" locked="0" layoutInCell="1" allowOverlap="1" wp14:anchorId="2EB069AE" wp14:editId="40D2F640">
              <wp:simplePos x="0" y="0"/>
              <wp:positionH relativeFrom="column">
                <wp:posOffset>306705</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ln>
                    </wps:spPr>
                    <wps:txbx>
                      <w:txbxContent>
                        <w:p w14:paraId="783DDE5F" w14:textId="77777777" w:rsidR="007F6ED5" w:rsidRDefault="00B066DE">
                          <w:pPr>
                            <w:spacing w:before="0"/>
                          </w:pPr>
                          <w:r>
                            <w:rPr>
                              <w:b/>
                              <w:bCs/>
                              <w:szCs w:val="24"/>
                            </w:rPr>
                            <w:t>Council Working Group</w:t>
                          </w:r>
                          <w:r>
                            <w:rPr>
                              <w:b/>
                              <w:bCs/>
                              <w:szCs w:val="24"/>
                            </w:rPr>
                            <w:br/>
                          </w:r>
                          <w:r>
                            <w:rPr>
                              <w:b/>
                              <w:bCs/>
                              <w:spacing w:val="6"/>
                              <w:szCs w:val="24"/>
                            </w:rPr>
                            <w:t>on WSIS and the SDGs</w:t>
                          </w:r>
                          <w:r>
                            <w:br/>
                          </w:r>
                          <w:r>
                            <w:rPr>
                              <w:sz w:val="20"/>
                            </w:rPr>
                            <w:t>Fortieth meeting – From 1 February (p.m.) to 2 February 2024</w:t>
                          </w:r>
                        </w:p>
                      </w:txbxContent>
                    </wps:txbx>
                    <wps:bodyPr rot="0" vert="horz" wrap="square" lIns="91440" tIns="45720" rIns="91440" bIns="45720" anchor="t" anchorCtr="0">
                      <a:spAutoFit/>
                    </wps:bodyPr>
                  </wps:wsp>
                </a:graphicData>
              </a:graphic>
            </wp:anchor>
          </w:drawing>
        </mc:Choice>
        <mc:Fallback xmlns:wpsCustomData="http://www.wps.cn/officeDocument/2013/wpsCustomData">
          <w:pict>
            <v:shape id="Text Box 2" o:spid="_x0000_s1026" o:spt="202" type="#_x0000_t202" style="position:absolute;left:0pt;margin-left:24.15pt;margin-top:-65.8pt;height:37.1pt;width:314.9pt;z-index:251661312;mso-width-relative:page;mso-height-relative:page;" filled="f" stroked="f" coordsize="21600,21600" o:gfxdata="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EjGD2QAAAAsBAAAP&#10;AAAAAAAAAAEAIAAAACIAAABkcnMvZG93bnJldi54bWxQSwECFAAUAAAACACHTuJALF2PNxcCAAAq&#10;BAAADgAAAAAAAAABACAAAAAoAQAAZHJzL2Uyb0RvYy54bWxQSwUGAAAAAAYABgBZAQAAsQUAAAAA&#10;">
              <v:fill on="f" focussize="0,0"/>
              <v:stroke on="f" miterlimit="8" joinstyle="miter"/>
              <v:imagedata o:title=""/>
              <o:lock v:ext="edit" aspectratio="f"/>
              <v:textbox style="mso-fit-shape-to-text:t;">
                <w:txbxContent>
                  <w:p>
                    <w:pPr>
                      <w:spacing w:before="0"/>
                    </w:pPr>
                    <w:r>
                      <w:rPr>
                        <w:b/>
                        <w:bCs/>
                        <w:szCs w:val="24"/>
                      </w:rPr>
                      <w:t>Council Working Group</w:t>
                    </w:r>
                    <w:r>
                      <w:rPr>
                        <w:b/>
                        <w:bCs/>
                        <w:szCs w:val="24"/>
                      </w:rPr>
                      <w:br w:type="textWrapping"/>
                    </w:r>
                    <w:r>
                      <w:rPr>
                        <w:b/>
                        <w:bCs/>
                        <w:spacing w:val="6"/>
                        <w:szCs w:val="24"/>
                      </w:rPr>
                      <w:t>on WSIS and the SDGs</w:t>
                    </w:r>
                    <w:r>
                      <w:br w:type="textWrapping"/>
                    </w:r>
                    <w:r>
                      <w:rPr>
                        <w:sz w:val="20"/>
                      </w:rPr>
                      <w:t>Fortieth meeting – From 1 February (p.m.) to 2 February 2024</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JhZDQ1ZDdjYzRkMmY4ZTAyNDhkMzQ5YTc0YjNiNzQifQ=="/>
  </w:docVars>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37C3"/>
    <w:rsid w:val="001B51DD"/>
    <w:rsid w:val="001B5A24"/>
    <w:rsid w:val="001C628E"/>
    <w:rsid w:val="001E0F7B"/>
    <w:rsid w:val="002119FD"/>
    <w:rsid w:val="002130E0"/>
    <w:rsid w:val="00244F7F"/>
    <w:rsid w:val="00264425"/>
    <w:rsid w:val="00265875"/>
    <w:rsid w:val="0027303B"/>
    <w:rsid w:val="0028109B"/>
    <w:rsid w:val="002864E0"/>
    <w:rsid w:val="00293B38"/>
    <w:rsid w:val="002A2188"/>
    <w:rsid w:val="002B1F58"/>
    <w:rsid w:val="002B6E36"/>
    <w:rsid w:val="002C1C7A"/>
    <w:rsid w:val="002C34F7"/>
    <w:rsid w:val="002C54E2"/>
    <w:rsid w:val="0030160F"/>
    <w:rsid w:val="00320223"/>
    <w:rsid w:val="00322D0D"/>
    <w:rsid w:val="00361465"/>
    <w:rsid w:val="003877F5"/>
    <w:rsid w:val="003942D4"/>
    <w:rsid w:val="003958A8"/>
    <w:rsid w:val="003C2533"/>
    <w:rsid w:val="003D10EA"/>
    <w:rsid w:val="003D5A7F"/>
    <w:rsid w:val="003F3796"/>
    <w:rsid w:val="004016E2"/>
    <w:rsid w:val="0040435A"/>
    <w:rsid w:val="00416A24"/>
    <w:rsid w:val="00431D9E"/>
    <w:rsid w:val="00433CE8"/>
    <w:rsid w:val="00434A5C"/>
    <w:rsid w:val="00445ED4"/>
    <w:rsid w:val="004544D9"/>
    <w:rsid w:val="00472BAD"/>
    <w:rsid w:val="00484009"/>
    <w:rsid w:val="00490E72"/>
    <w:rsid w:val="00491157"/>
    <w:rsid w:val="004921C8"/>
    <w:rsid w:val="00495B0B"/>
    <w:rsid w:val="004A1B8B"/>
    <w:rsid w:val="004D1851"/>
    <w:rsid w:val="004D3229"/>
    <w:rsid w:val="004D599D"/>
    <w:rsid w:val="004D648B"/>
    <w:rsid w:val="004E2EA5"/>
    <w:rsid w:val="004E3AEB"/>
    <w:rsid w:val="0050223C"/>
    <w:rsid w:val="005243FF"/>
    <w:rsid w:val="00564FBC"/>
    <w:rsid w:val="005800BC"/>
    <w:rsid w:val="00582442"/>
    <w:rsid w:val="00590C4A"/>
    <w:rsid w:val="005A335D"/>
    <w:rsid w:val="005D5E95"/>
    <w:rsid w:val="005E2BD5"/>
    <w:rsid w:val="005F3269"/>
    <w:rsid w:val="00606899"/>
    <w:rsid w:val="00623AE3"/>
    <w:rsid w:val="00636853"/>
    <w:rsid w:val="0064737F"/>
    <w:rsid w:val="006535F1"/>
    <w:rsid w:val="0065557D"/>
    <w:rsid w:val="006561A2"/>
    <w:rsid w:val="00660D50"/>
    <w:rsid w:val="00662984"/>
    <w:rsid w:val="006716BB"/>
    <w:rsid w:val="006B1859"/>
    <w:rsid w:val="006B6680"/>
    <w:rsid w:val="006B6DCC"/>
    <w:rsid w:val="006C289F"/>
    <w:rsid w:val="006C4F70"/>
    <w:rsid w:val="006E2E9B"/>
    <w:rsid w:val="00702DEF"/>
    <w:rsid w:val="00706861"/>
    <w:rsid w:val="007276CF"/>
    <w:rsid w:val="0075051B"/>
    <w:rsid w:val="00775655"/>
    <w:rsid w:val="00777C06"/>
    <w:rsid w:val="00793188"/>
    <w:rsid w:val="00794D34"/>
    <w:rsid w:val="00794DFC"/>
    <w:rsid w:val="007F6ED5"/>
    <w:rsid w:val="00813E5E"/>
    <w:rsid w:val="0083581B"/>
    <w:rsid w:val="0085184F"/>
    <w:rsid w:val="00863874"/>
    <w:rsid w:val="00864AFF"/>
    <w:rsid w:val="00865925"/>
    <w:rsid w:val="008B4A6A"/>
    <w:rsid w:val="008C7E27"/>
    <w:rsid w:val="008F7448"/>
    <w:rsid w:val="0090147A"/>
    <w:rsid w:val="009173EF"/>
    <w:rsid w:val="00932906"/>
    <w:rsid w:val="00961B0B"/>
    <w:rsid w:val="00962D33"/>
    <w:rsid w:val="009B38C3"/>
    <w:rsid w:val="009E17BD"/>
    <w:rsid w:val="009E485A"/>
    <w:rsid w:val="00A04CEC"/>
    <w:rsid w:val="00A052C3"/>
    <w:rsid w:val="00A27F92"/>
    <w:rsid w:val="00A32257"/>
    <w:rsid w:val="00A36D20"/>
    <w:rsid w:val="00A514A4"/>
    <w:rsid w:val="00A52C84"/>
    <w:rsid w:val="00A55622"/>
    <w:rsid w:val="00A73637"/>
    <w:rsid w:val="00A83502"/>
    <w:rsid w:val="00AD15B3"/>
    <w:rsid w:val="00AD3606"/>
    <w:rsid w:val="00AD4A3D"/>
    <w:rsid w:val="00AF6E49"/>
    <w:rsid w:val="00B04A67"/>
    <w:rsid w:val="00B0583C"/>
    <w:rsid w:val="00B066DE"/>
    <w:rsid w:val="00B40A81"/>
    <w:rsid w:val="00B4436B"/>
    <w:rsid w:val="00B44910"/>
    <w:rsid w:val="00B72267"/>
    <w:rsid w:val="00B76EB6"/>
    <w:rsid w:val="00B7737B"/>
    <w:rsid w:val="00B824C8"/>
    <w:rsid w:val="00B84B9D"/>
    <w:rsid w:val="00BC0386"/>
    <w:rsid w:val="00BC251A"/>
    <w:rsid w:val="00BD032B"/>
    <w:rsid w:val="00BD2D25"/>
    <w:rsid w:val="00BE2640"/>
    <w:rsid w:val="00C01189"/>
    <w:rsid w:val="00C374DE"/>
    <w:rsid w:val="00C47AD4"/>
    <w:rsid w:val="00C52D81"/>
    <w:rsid w:val="00C55198"/>
    <w:rsid w:val="00C655D9"/>
    <w:rsid w:val="00CA6393"/>
    <w:rsid w:val="00CB18FF"/>
    <w:rsid w:val="00CD0C08"/>
    <w:rsid w:val="00CE03FB"/>
    <w:rsid w:val="00CE433C"/>
    <w:rsid w:val="00CE76FB"/>
    <w:rsid w:val="00CF0161"/>
    <w:rsid w:val="00CF33F3"/>
    <w:rsid w:val="00D06183"/>
    <w:rsid w:val="00D22C42"/>
    <w:rsid w:val="00D464CC"/>
    <w:rsid w:val="00D65041"/>
    <w:rsid w:val="00D6619E"/>
    <w:rsid w:val="00DA4BEE"/>
    <w:rsid w:val="00DB00D5"/>
    <w:rsid w:val="00DB1936"/>
    <w:rsid w:val="00DB384B"/>
    <w:rsid w:val="00DF0189"/>
    <w:rsid w:val="00E06FD5"/>
    <w:rsid w:val="00E10E80"/>
    <w:rsid w:val="00E124F0"/>
    <w:rsid w:val="00E227F3"/>
    <w:rsid w:val="00E5052D"/>
    <w:rsid w:val="00E545C6"/>
    <w:rsid w:val="00E60F04"/>
    <w:rsid w:val="00E65B24"/>
    <w:rsid w:val="00E854E4"/>
    <w:rsid w:val="00E86DBF"/>
    <w:rsid w:val="00EB0D6F"/>
    <w:rsid w:val="00EB2232"/>
    <w:rsid w:val="00EC5337"/>
    <w:rsid w:val="00EE49E8"/>
    <w:rsid w:val="00F12113"/>
    <w:rsid w:val="00F16BAB"/>
    <w:rsid w:val="00F2150A"/>
    <w:rsid w:val="00F231D8"/>
    <w:rsid w:val="00F44C00"/>
    <w:rsid w:val="00F45D2C"/>
    <w:rsid w:val="00F46C5F"/>
    <w:rsid w:val="00F632C0"/>
    <w:rsid w:val="00F74694"/>
    <w:rsid w:val="00F94A63"/>
    <w:rsid w:val="00FA1C28"/>
    <w:rsid w:val="00FA5C64"/>
    <w:rsid w:val="00FB1279"/>
    <w:rsid w:val="00FB6B76"/>
    <w:rsid w:val="00FB7596"/>
    <w:rsid w:val="00FD5100"/>
    <w:rsid w:val="00FE4077"/>
    <w:rsid w:val="00FE500D"/>
    <w:rsid w:val="00FE77D2"/>
    <w:rsid w:val="0F761E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5" w:qFormat="1"/>
    <w:lsdException w:name="toc 6" w:qFormat="1"/>
    <w:lsdException w:name="toc 7" w:qFormat="1"/>
    <w:lsdException w:name="Normal Indent" w:qFormat="1"/>
    <w:lsdException w:name="footnote text" w:qFormat="1"/>
    <w:lsdException w:name="annotation text" w:semiHidden="1" w:unhideWhenUsed="1"/>
    <w:lsdException w:name="header" w:uiPriority="99"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link w:val="FootnoteTextChar"/>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style>
  <w:style w:type="paragraph" w:styleId="Index2">
    <w:name w:val="index 2"/>
    <w:basedOn w:val="Normal"/>
    <w:next w:val="Normal"/>
    <w:qFormat/>
    <w:pPr>
      <w:ind w:left="283"/>
    </w:p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rFonts w:ascii="Calibri" w:hAnsi="Calibri"/>
    </w:rPr>
  </w:style>
  <w:style w:type="character" w:styleId="FollowedHyperlink">
    <w:name w:val="FollowedHyperlink"/>
    <w:basedOn w:val="DefaultParagraphFon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themeColor="text1" w:themeTint="80"/>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page" w:x="1821" w:y="2317"/>
      <w:spacing w:before="840"/>
    </w:pPr>
    <w:rPr>
      <w:b/>
      <w:sz w:val="32"/>
      <w:szCs w:val="32"/>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pPr>
      <w:framePr w:wrap="around"/>
      <w:spacing w:before="240"/>
    </w:pPr>
    <w:rPr>
      <w:b w:val="0"/>
      <w:caps/>
    </w:rPr>
  </w:style>
  <w:style w:type="paragraph" w:customStyle="1" w:styleId="Title3">
    <w:name w:val="Title 3"/>
    <w:basedOn w:val="Title2"/>
    <w:next w:val="Normalaftertitle"/>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FirstFooter">
    <w:name w:val="FirstFooter"/>
    <w:basedOn w:val="Footer"/>
    <w:qFormat/>
    <w:rPr>
      <w:caps w:val="0"/>
    </w:rPr>
  </w:style>
  <w:style w:type="paragraph" w:customStyle="1" w:styleId="Note">
    <w:name w:val="Note"/>
    <w:basedOn w:val="Normal"/>
    <w:qFormat/>
    <w:pPr>
      <w:tabs>
        <w:tab w:val="clear" w:pos="567"/>
        <w:tab w:val="left" w:pos="851"/>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pPr>
      <w:framePr w:wrap="around"/>
    </w:pPr>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after="160"/>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pPr>
      <w:tabs>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rFonts w:asciiTheme="minorHAnsi" w:hAnsiTheme="minorHAnsi"/>
      <w:b w:val="0"/>
      <w:i/>
    </w:rPr>
  </w:style>
  <w:style w:type="paragraph" w:customStyle="1" w:styleId="PartNo">
    <w:name w:val="Part_No"/>
    <w:basedOn w:val="AnnexNo"/>
    <w:next w:val="Parttitle"/>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qFormat/>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qFormat/>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qFormat/>
    <w:rPr>
      <w:rFonts w:ascii="Calibri" w:hAnsi="Calibri"/>
      <w:sz w:val="24"/>
      <w:lang w:val="en-GB" w:eastAsia="en-US"/>
    </w:rPr>
  </w:style>
  <w:style w:type="character" w:customStyle="1" w:styleId="normaltextrun">
    <w:name w:val="normaltextrun"/>
    <w:basedOn w:val="DefaultParagraphFont"/>
    <w:qFormat/>
  </w:style>
  <w:style w:type="character" w:customStyle="1" w:styleId="tabchar">
    <w:name w:val="tabchar"/>
    <w:basedOn w:val="DefaultParagraphFont"/>
    <w:qFormat/>
  </w:style>
  <w:style w:type="paragraph" w:customStyle="1" w:styleId="Revision1">
    <w:name w:val="Revision1"/>
    <w:hidden/>
    <w:uiPriority w:val="99"/>
    <w:semiHidden/>
    <w:qFormat/>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120/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3-CL-C-0119/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40-E.pdf"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techenvoy/sites/www.un.org.techenvoy/files/GDC-submission_IT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2B4DE-FC73-46C6-BFF6-6457901D364E}">
  <ds:schemaRefs/>
</ds:datastoreItem>
</file>

<file path=customXml/itemProps3.xml><?xml version="1.0" encoding="utf-8"?>
<ds:datastoreItem xmlns:ds="http://schemas.openxmlformats.org/officeDocument/2006/customXml" ds:itemID="{660F0B92-0B4B-4E59-8923-D12E133C2183}">
  <ds:schemaRefs/>
</ds:datastoreItem>
</file>

<file path=customXml/itemProps4.xml><?xml version="1.0" encoding="utf-8"?>
<ds:datastoreItem xmlns:ds="http://schemas.openxmlformats.org/officeDocument/2006/customXml" ds:itemID="{1BF16568-6961-42D2-9009-CEA4CA22C649}">
  <ds:schemaRefs/>
</ds:datastoreItem>
</file>

<file path=customXml/itemProps5.xml><?xml version="1.0" encoding="utf-8"?>
<ds:datastoreItem xmlns:ds="http://schemas.openxmlformats.org/officeDocument/2006/customXml" ds:itemID="{8D4FBF9B-B147-47DA-AF6C-0901247CE338}">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www.w3.org/XML/1998/namespace"/>
    <ds:schemaRef ds:uri="http://schemas.microsoft.com/sharepoint/v3"/>
    <ds:schemaRef ds:uri="http://schemas.microsoft.com/office/infopath/2007/PartnerControls"/>
    <ds:schemaRef ds:uri="http://schemas.openxmlformats.org/package/2006/metadata/core-properties"/>
    <ds:schemaRef ds:uri="1aaea1ea-72e4-4374-b05e-72e2f16fb7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4434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on encouraging Memeber Sattes' involvement in the participation of the ITU in digital-related activities</dc:title>
  <dc:subject>Council Working Group on WSIS and the SDGs</dc:subject>
  <dc:creator/>
  <cp:keywords>CWG-WSIS&amp;SDG, C24, Council-24</cp:keywords>
  <cp:lastModifiedBy/>
  <cp:revision>1</cp:revision>
  <dcterms:created xsi:type="dcterms:W3CDTF">2024-01-19T15:02:00Z</dcterms:created>
  <dcterms:modified xsi:type="dcterms:W3CDTF">2024-01-19T15:02:00Z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KSOProductBuildVer">
    <vt:lpwstr>2052-12.1.0.15990</vt:lpwstr>
  </property>
  <property fmtid="{D5CDD505-2E9C-101B-9397-08002B2CF9AE}" pid="4" name="ICV">
    <vt:lpwstr>CA44E7B5B28545A3A1E990D757E52D47_12</vt:lpwstr>
  </property>
</Properties>
</file>