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2B1A17" w14:paraId="0043AC80" w14:textId="77777777" w:rsidTr="00AD3606">
        <w:trPr>
          <w:cantSplit/>
          <w:trHeight w:val="23"/>
        </w:trPr>
        <w:tc>
          <w:tcPr>
            <w:tcW w:w="3969" w:type="dxa"/>
            <w:vMerge w:val="restart"/>
            <w:tcMar>
              <w:left w:w="0" w:type="dxa"/>
            </w:tcMar>
          </w:tcPr>
          <w:p w14:paraId="60A806D3" w14:textId="6316C87D" w:rsidR="00AD3606" w:rsidRPr="002B1A17" w:rsidRDefault="00AD3606" w:rsidP="00472BAD">
            <w:pPr>
              <w:tabs>
                <w:tab w:val="left" w:pos="851"/>
              </w:tabs>
              <w:spacing w:before="0" w:line="240" w:lineRule="atLeast"/>
              <w:rPr>
                <w:rFonts w:asciiTheme="minorHAnsi" w:hAnsiTheme="minorHAnsi" w:cstheme="minorHAnsi"/>
                <w:b/>
                <w:lang w:val="en-US"/>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B47BDFA" w:rsidR="00AD3606" w:rsidRPr="002B1A17" w:rsidRDefault="00AD3606" w:rsidP="00472BAD">
            <w:pPr>
              <w:tabs>
                <w:tab w:val="left" w:pos="851"/>
              </w:tabs>
              <w:spacing w:before="0" w:line="240" w:lineRule="atLeast"/>
              <w:jc w:val="right"/>
              <w:rPr>
                <w:rFonts w:asciiTheme="minorHAnsi" w:hAnsiTheme="minorHAnsi" w:cstheme="minorHAnsi"/>
                <w:b/>
                <w:lang w:val="it-IT"/>
              </w:rPr>
            </w:pPr>
            <w:r w:rsidRPr="002B1A17">
              <w:rPr>
                <w:rFonts w:asciiTheme="minorHAnsi" w:hAnsiTheme="minorHAnsi" w:cstheme="minorHAnsi"/>
                <w:b/>
                <w:lang w:val="it-IT"/>
              </w:rPr>
              <w:t>Document C</w:t>
            </w:r>
            <w:r w:rsidR="00A52C84" w:rsidRPr="002B1A17">
              <w:rPr>
                <w:rFonts w:asciiTheme="minorHAnsi" w:hAnsiTheme="minorHAnsi" w:cstheme="minorHAnsi"/>
                <w:b/>
                <w:lang w:val="it-IT"/>
              </w:rPr>
              <w:t>WG-</w:t>
            </w:r>
            <w:r w:rsidR="00F264CE" w:rsidRPr="002B1A17">
              <w:rPr>
                <w:rFonts w:asciiTheme="minorHAnsi" w:hAnsiTheme="minorHAnsi" w:cstheme="minorHAnsi"/>
                <w:b/>
                <w:lang w:val="it-IT"/>
              </w:rPr>
              <w:t>SFP-1</w:t>
            </w:r>
            <w:r w:rsidRPr="002B1A17">
              <w:rPr>
                <w:rFonts w:asciiTheme="minorHAnsi" w:hAnsiTheme="minorHAnsi" w:cstheme="minorHAnsi"/>
                <w:b/>
                <w:lang w:val="it-IT"/>
              </w:rPr>
              <w:t>/</w:t>
            </w:r>
            <w:r w:rsidR="001E32C5" w:rsidRPr="002B1A17">
              <w:rPr>
                <w:rFonts w:asciiTheme="minorHAnsi" w:hAnsiTheme="minorHAnsi" w:cstheme="minorHAnsi"/>
                <w:b/>
                <w:lang w:val="it-IT"/>
              </w:rPr>
              <w:t>8</w:t>
            </w:r>
          </w:p>
        </w:tc>
      </w:tr>
      <w:tr w:rsidR="00AD3606" w:rsidRPr="002B1A17" w14:paraId="789B45BA" w14:textId="77777777" w:rsidTr="00AD3606">
        <w:trPr>
          <w:cantSplit/>
        </w:trPr>
        <w:tc>
          <w:tcPr>
            <w:tcW w:w="3969" w:type="dxa"/>
            <w:vMerge/>
          </w:tcPr>
          <w:p w14:paraId="3F3D4E17" w14:textId="77777777" w:rsidR="00AD3606" w:rsidRPr="002B1A17" w:rsidRDefault="00AD3606" w:rsidP="00AD3606">
            <w:pPr>
              <w:tabs>
                <w:tab w:val="left" w:pos="851"/>
              </w:tabs>
              <w:spacing w:line="240" w:lineRule="atLeast"/>
              <w:rPr>
                <w:rFonts w:asciiTheme="minorHAnsi" w:hAnsiTheme="minorHAnsi" w:cstheme="minorHAnsi"/>
                <w:b/>
                <w:lang w:val="it-IT"/>
              </w:rPr>
            </w:pPr>
            <w:bookmarkStart w:id="6" w:name="ddate" w:colFirst="1" w:colLast="1"/>
            <w:bookmarkEnd w:id="0"/>
            <w:bookmarkEnd w:id="1"/>
          </w:p>
        </w:tc>
        <w:tc>
          <w:tcPr>
            <w:tcW w:w="5245" w:type="dxa"/>
          </w:tcPr>
          <w:p w14:paraId="2DE9ACEA" w14:textId="1FEBDF83" w:rsidR="00AD3606" w:rsidRPr="002B1A17" w:rsidRDefault="001E32C5" w:rsidP="00AD3606">
            <w:pPr>
              <w:tabs>
                <w:tab w:val="left" w:pos="851"/>
              </w:tabs>
              <w:spacing w:before="0"/>
              <w:jc w:val="right"/>
              <w:rPr>
                <w:rFonts w:asciiTheme="minorHAnsi" w:hAnsiTheme="minorHAnsi" w:cstheme="minorHAnsi"/>
                <w:b/>
              </w:rPr>
            </w:pPr>
            <w:r w:rsidRPr="002B1A17">
              <w:rPr>
                <w:rFonts w:asciiTheme="minorHAnsi" w:hAnsiTheme="minorHAnsi" w:cstheme="minorHAnsi"/>
                <w:b/>
              </w:rPr>
              <w:t>26 September</w:t>
            </w:r>
            <w:r w:rsidR="00AD3606" w:rsidRPr="002B1A17">
              <w:rPr>
                <w:rFonts w:asciiTheme="minorHAnsi" w:hAnsiTheme="minorHAnsi" w:cstheme="minorHAnsi"/>
                <w:b/>
              </w:rPr>
              <w:t xml:space="preserve"> 202</w:t>
            </w:r>
            <w:r w:rsidR="00A94376" w:rsidRPr="002B1A17">
              <w:rPr>
                <w:rFonts w:asciiTheme="minorHAnsi" w:hAnsiTheme="minorHAnsi" w:cstheme="minorHAnsi"/>
                <w:b/>
              </w:rPr>
              <w:t>4</w:t>
            </w:r>
          </w:p>
        </w:tc>
      </w:tr>
      <w:tr w:rsidR="00AD3606" w:rsidRPr="002B1A17" w14:paraId="58A84C4A" w14:textId="77777777" w:rsidTr="00AD3606">
        <w:trPr>
          <w:cantSplit/>
          <w:trHeight w:val="23"/>
        </w:trPr>
        <w:tc>
          <w:tcPr>
            <w:tcW w:w="3969" w:type="dxa"/>
            <w:vMerge/>
          </w:tcPr>
          <w:p w14:paraId="77CEDDAA" w14:textId="77777777" w:rsidR="00AD3606" w:rsidRPr="002B1A17" w:rsidRDefault="00AD3606" w:rsidP="00AD3606">
            <w:pPr>
              <w:tabs>
                <w:tab w:val="left" w:pos="851"/>
              </w:tabs>
              <w:spacing w:line="240" w:lineRule="atLeast"/>
              <w:rPr>
                <w:rFonts w:asciiTheme="minorHAnsi" w:hAnsiTheme="minorHAnsi" w:cstheme="minorHAnsi"/>
                <w:b/>
              </w:rPr>
            </w:pPr>
            <w:bookmarkStart w:id="7" w:name="dorlang" w:colFirst="1" w:colLast="1"/>
            <w:bookmarkEnd w:id="6"/>
          </w:p>
        </w:tc>
        <w:tc>
          <w:tcPr>
            <w:tcW w:w="5245" w:type="dxa"/>
          </w:tcPr>
          <w:p w14:paraId="561AAE94" w14:textId="21480245" w:rsidR="00AD3606" w:rsidRPr="002B1A17" w:rsidRDefault="00891503" w:rsidP="00AD3606">
            <w:pPr>
              <w:tabs>
                <w:tab w:val="left" w:pos="851"/>
              </w:tabs>
              <w:spacing w:before="0" w:line="240" w:lineRule="atLeast"/>
              <w:jc w:val="right"/>
              <w:rPr>
                <w:rFonts w:asciiTheme="minorHAnsi" w:hAnsiTheme="minorHAnsi" w:cstheme="minorHAnsi"/>
                <w:b/>
              </w:rPr>
            </w:pPr>
            <w:r w:rsidRPr="002B1A17">
              <w:rPr>
                <w:rFonts w:asciiTheme="minorHAnsi" w:hAnsiTheme="minorHAnsi" w:cstheme="minorHAnsi"/>
                <w:b/>
              </w:rPr>
              <w:t>English</w:t>
            </w:r>
            <w:r w:rsidR="009B2D4B" w:rsidRPr="002B1A17">
              <w:rPr>
                <w:rFonts w:asciiTheme="minorHAnsi" w:hAnsiTheme="minorHAnsi" w:cstheme="minorHAnsi"/>
                <w:b/>
              </w:rPr>
              <w:t xml:space="preserve"> only</w:t>
            </w:r>
          </w:p>
        </w:tc>
      </w:tr>
      <w:tr w:rsidR="00472BAD" w:rsidRPr="002B1A17" w14:paraId="12C5EF5F" w14:textId="77777777" w:rsidTr="00AD3606">
        <w:trPr>
          <w:cantSplit/>
          <w:trHeight w:val="23"/>
        </w:trPr>
        <w:tc>
          <w:tcPr>
            <w:tcW w:w="3969" w:type="dxa"/>
          </w:tcPr>
          <w:p w14:paraId="4B839BA2" w14:textId="77777777" w:rsidR="00472BAD" w:rsidRPr="002B1A17" w:rsidRDefault="00472BAD" w:rsidP="00AD3606">
            <w:pPr>
              <w:tabs>
                <w:tab w:val="left" w:pos="851"/>
              </w:tabs>
              <w:spacing w:line="240" w:lineRule="atLeast"/>
              <w:rPr>
                <w:rFonts w:asciiTheme="minorHAnsi" w:hAnsiTheme="minorHAnsi" w:cstheme="minorHAnsi"/>
                <w:b/>
              </w:rPr>
            </w:pPr>
          </w:p>
        </w:tc>
        <w:tc>
          <w:tcPr>
            <w:tcW w:w="5245" w:type="dxa"/>
          </w:tcPr>
          <w:p w14:paraId="12F66D25" w14:textId="77777777" w:rsidR="00472BAD" w:rsidRPr="002B1A17" w:rsidRDefault="00472BAD" w:rsidP="00AD3606">
            <w:pPr>
              <w:tabs>
                <w:tab w:val="left" w:pos="851"/>
              </w:tabs>
              <w:spacing w:before="0" w:line="240" w:lineRule="atLeast"/>
              <w:jc w:val="right"/>
              <w:rPr>
                <w:rFonts w:asciiTheme="minorHAnsi" w:hAnsiTheme="minorHAnsi" w:cstheme="minorHAnsi"/>
                <w:b/>
              </w:rPr>
            </w:pPr>
          </w:p>
        </w:tc>
      </w:tr>
      <w:tr w:rsidR="003A6273" w:rsidRPr="002B1A17" w14:paraId="27000B2A" w14:textId="77777777" w:rsidTr="00AD3606">
        <w:trPr>
          <w:cantSplit/>
        </w:trPr>
        <w:tc>
          <w:tcPr>
            <w:tcW w:w="9214" w:type="dxa"/>
            <w:gridSpan w:val="2"/>
            <w:tcMar>
              <w:left w:w="0" w:type="dxa"/>
            </w:tcMar>
          </w:tcPr>
          <w:p w14:paraId="4E7CDB90" w14:textId="5946BE91" w:rsidR="003A6273" w:rsidRPr="002B1A17" w:rsidRDefault="003A6273" w:rsidP="003A6273">
            <w:pPr>
              <w:pStyle w:val="Source"/>
              <w:framePr w:hSpace="0" w:wrap="auto" w:vAnchor="margin" w:hAnchor="text" w:xAlign="left" w:yAlign="inline"/>
              <w:rPr>
                <w:rFonts w:asciiTheme="minorHAnsi" w:hAnsiTheme="minorHAnsi" w:cstheme="minorHAnsi"/>
              </w:rPr>
            </w:pPr>
            <w:bookmarkStart w:id="8" w:name="dsource" w:colFirst="0" w:colLast="0"/>
            <w:bookmarkEnd w:id="7"/>
            <w:r w:rsidRPr="002B1A17">
              <w:rPr>
                <w:rFonts w:asciiTheme="minorHAnsi" w:hAnsiTheme="minorHAnsi" w:cstheme="minorHAnsi"/>
              </w:rPr>
              <w:t>Contribution by the United Arab Emirates</w:t>
            </w:r>
          </w:p>
        </w:tc>
      </w:tr>
      <w:tr w:rsidR="003A6273" w:rsidRPr="002B1A17" w14:paraId="2340750D" w14:textId="77777777" w:rsidTr="00AD3606">
        <w:trPr>
          <w:cantSplit/>
        </w:trPr>
        <w:tc>
          <w:tcPr>
            <w:tcW w:w="9214" w:type="dxa"/>
            <w:gridSpan w:val="2"/>
            <w:tcMar>
              <w:left w:w="0" w:type="dxa"/>
            </w:tcMar>
          </w:tcPr>
          <w:p w14:paraId="47B91AA8" w14:textId="130B469B" w:rsidR="003A6273" w:rsidRPr="002B1A17" w:rsidRDefault="001E32C5" w:rsidP="003A6273">
            <w:pPr>
              <w:pStyle w:val="Subtitle"/>
              <w:framePr w:hSpace="0" w:wrap="auto" w:xAlign="left" w:yAlign="inline"/>
              <w:rPr>
                <w:rFonts w:asciiTheme="minorHAnsi" w:hAnsiTheme="minorHAnsi" w:cstheme="minorHAnsi"/>
              </w:rPr>
            </w:pPr>
            <w:bookmarkStart w:id="9" w:name="dtitle1" w:colFirst="0" w:colLast="0"/>
            <w:bookmarkEnd w:id="8"/>
            <w:r w:rsidRPr="002B1A17">
              <w:rPr>
                <w:rFonts w:asciiTheme="minorHAnsi" w:hAnsiTheme="minorHAnsi" w:cstheme="minorHAnsi"/>
              </w:rPr>
              <w:t>THE UNITED ARAB EMIRATES’ STRATEGIC APPROACH: ZERO GOVERNMENT BUREAUCRACY PROGRAM</w:t>
            </w:r>
          </w:p>
        </w:tc>
      </w:tr>
      <w:tr w:rsidR="003A6273" w:rsidRPr="002B1A17" w14:paraId="1F564D2D" w14:textId="77777777" w:rsidTr="00AD3606">
        <w:trPr>
          <w:cantSplit/>
        </w:trPr>
        <w:tc>
          <w:tcPr>
            <w:tcW w:w="9214" w:type="dxa"/>
            <w:gridSpan w:val="2"/>
            <w:tcBorders>
              <w:top w:val="single" w:sz="4" w:space="0" w:color="auto"/>
              <w:bottom w:val="single" w:sz="4" w:space="0" w:color="auto"/>
            </w:tcBorders>
            <w:tcMar>
              <w:left w:w="0" w:type="dxa"/>
            </w:tcMar>
          </w:tcPr>
          <w:p w14:paraId="1D5C1F6C" w14:textId="77777777" w:rsidR="003A6273" w:rsidRPr="002B1A17" w:rsidRDefault="003A6273" w:rsidP="003A6273">
            <w:pPr>
              <w:spacing w:before="160"/>
              <w:rPr>
                <w:rFonts w:asciiTheme="minorHAnsi" w:hAnsiTheme="minorHAnsi" w:cstheme="minorHAnsi"/>
                <w:b/>
                <w:bCs/>
                <w:sz w:val="26"/>
                <w:szCs w:val="26"/>
              </w:rPr>
            </w:pPr>
            <w:r w:rsidRPr="002B1A17">
              <w:rPr>
                <w:rFonts w:asciiTheme="minorHAnsi" w:hAnsiTheme="minorHAnsi" w:cstheme="minorHAnsi"/>
                <w:b/>
                <w:bCs/>
                <w:sz w:val="26"/>
                <w:szCs w:val="26"/>
              </w:rPr>
              <w:t>Purpose</w:t>
            </w:r>
          </w:p>
          <w:p w14:paraId="5D3E341D" w14:textId="58376988" w:rsidR="00C30831" w:rsidRPr="002B1A17" w:rsidRDefault="003A6273" w:rsidP="00C30831">
            <w:pPr>
              <w:rPr>
                <w:rFonts w:asciiTheme="minorHAnsi" w:hAnsiTheme="minorHAnsi" w:cstheme="minorHAnsi"/>
                <w:lang w:val="en-US"/>
              </w:rPr>
            </w:pPr>
            <w:r w:rsidRPr="002B1A17">
              <w:rPr>
                <w:rFonts w:asciiTheme="minorHAnsi" w:hAnsiTheme="minorHAnsi" w:cstheme="minorHAnsi"/>
              </w:rPr>
              <w:t xml:space="preserve">The UAE’s Zero Government Bureaucracy (ZGB) Program aligns with the ITU’s strategic objectives of promoting efficient and innovative digital transformation, enhancing universal connectivity, and fostering sustainable ICT development. In that light, this contribution presents the UAE’s ZGB Program which can serve as a model in drafting the ITU’s new Strategic and Financial Plans by setting some guiding principles on reducing bureaucratic barriers, enhancing operational efficiency, and encouraging collaboration across sectors. </w:t>
            </w:r>
          </w:p>
          <w:p w14:paraId="722E29AE" w14:textId="72CE7272" w:rsidR="003A6273" w:rsidRPr="002B1A17" w:rsidRDefault="003A6273" w:rsidP="00C30831">
            <w:pPr>
              <w:rPr>
                <w:rFonts w:asciiTheme="minorHAnsi" w:hAnsiTheme="minorHAnsi" w:cstheme="minorHAnsi"/>
              </w:rPr>
            </w:pPr>
            <w:r w:rsidRPr="002B1A17">
              <w:rPr>
                <w:rFonts w:asciiTheme="minorHAnsi" w:hAnsiTheme="minorHAnsi" w:cstheme="minorHAnsi"/>
              </w:rPr>
              <w:t>Th</w:t>
            </w:r>
            <w:r w:rsidR="00C30831" w:rsidRPr="002B1A17">
              <w:rPr>
                <w:rFonts w:asciiTheme="minorHAnsi" w:hAnsiTheme="minorHAnsi" w:cstheme="minorHAnsi"/>
              </w:rPr>
              <w:t>is</w:t>
            </w:r>
            <w:r w:rsidRPr="002B1A17">
              <w:rPr>
                <w:rFonts w:asciiTheme="minorHAnsi" w:hAnsiTheme="minorHAnsi" w:cstheme="minorHAnsi"/>
              </w:rPr>
              <w:t xml:space="preserve"> contribution invites the CWG-SFP to consider integrating elements of the ZGB Program in shaping the ITU’s strategic and financial framework for the years 2028-2031.</w:t>
            </w:r>
          </w:p>
          <w:p w14:paraId="7001E1EF" w14:textId="77777777" w:rsidR="003A6273" w:rsidRPr="002B1A17" w:rsidRDefault="003A6273" w:rsidP="003A6273">
            <w:pPr>
              <w:spacing w:before="160"/>
              <w:rPr>
                <w:rFonts w:asciiTheme="minorHAnsi" w:hAnsiTheme="minorHAnsi" w:cstheme="minorHAnsi"/>
                <w:b/>
                <w:bCs/>
                <w:sz w:val="26"/>
                <w:szCs w:val="26"/>
              </w:rPr>
            </w:pPr>
            <w:r w:rsidRPr="002B1A17">
              <w:rPr>
                <w:rFonts w:asciiTheme="minorHAnsi" w:hAnsiTheme="minorHAnsi" w:cstheme="minorHAnsi"/>
                <w:b/>
                <w:bCs/>
                <w:sz w:val="26"/>
                <w:szCs w:val="26"/>
              </w:rPr>
              <w:t>Action required</w:t>
            </w:r>
          </w:p>
          <w:p w14:paraId="1345730E" w14:textId="77777777" w:rsidR="003A6273" w:rsidRPr="002B1A17" w:rsidRDefault="003A6273" w:rsidP="003A6273">
            <w:pPr>
              <w:spacing w:before="160"/>
              <w:rPr>
                <w:rFonts w:asciiTheme="minorHAnsi" w:hAnsiTheme="minorHAnsi" w:cstheme="minorHAnsi"/>
              </w:rPr>
            </w:pPr>
            <w:r w:rsidRPr="002B1A17">
              <w:rPr>
                <w:rFonts w:asciiTheme="minorHAnsi" w:hAnsiTheme="minorHAnsi" w:cstheme="minorHAnsi"/>
              </w:rPr>
              <w:t xml:space="preserve">The Council Working Group on financial and human resources is invited to </w:t>
            </w:r>
            <w:r w:rsidRPr="002B1A17">
              <w:rPr>
                <w:rFonts w:asciiTheme="minorHAnsi" w:hAnsiTheme="minorHAnsi" w:cstheme="minorHAnsi"/>
                <w:b/>
                <w:bCs/>
              </w:rPr>
              <w:t>consider</w:t>
            </w:r>
            <w:r w:rsidRPr="002B1A17">
              <w:rPr>
                <w:rFonts w:asciiTheme="minorHAnsi" w:hAnsiTheme="minorHAnsi" w:cstheme="minorHAnsi"/>
              </w:rPr>
              <w:t xml:space="preserve"> this document.</w:t>
            </w:r>
          </w:p>
          <w:p w14:paraId="6A5BA2D8" w14:textId="77777777" w:rsidR="003A6273" w:rsidRPr="002B1A17" w:rsidRDefault="003A6273" w:rsidP="003A6273">
            <w:pPr>
              <w:spacing w:before="160"/>
              <w:rPr>
                <w:rFonts w:asciiTheme="minorHAnsi" w:hAnsiTheme="minorHAnsi" w:cstheme="minorHAnsi"/>
                <w:caps/>
                <w:sz w:val="22"/>
              </w:rPr>
            </w:pPr>
            <w:r w:rsidRPr="002B1A17">
              <w:rPr>
                <w:rFonts w:asciiTheme="minorHAnsi" w:hAnsiTheme="minorHAnsi" w:cstheme="minorHAnsi"/>
                <w:sz w:val="22"/>
              </w:rPr>
              <w:t>____________________________________</w:t>
            </w:r>
          </w:p>
          <w:p w14:paraId="5883329A" w14:textId="21404456" w:rsidR="003A6273" w:rsidRPr="002B1A17" w:rsidRDefault="003A6273" w:rsidP="003A6273">
            <w:pPr>
              <w:spacing w:before="160"/>
              <w:rPr>
                <w:rFonts w:asciiTheme="minorHAnsi" w:hAnsiTheme="minorHAnsi" w:cstheme="minorHAnsi"/>
                <w:b/>
                <w:bCs/>
                <w:sz w:val="26"/>
                <w:szCs w:val="26"/>
              </w:rPr>
            </w:pPr>
            <w:r w:rsidRPr="002B1A17">
              <w:rPr>
                <w:rFonts w:asciiTheme="minorHAnsi" w:hAnsiTheme="minorHAnsi" w:cstheme="minorHAnsi"/>
                <w:b/>
                <w:bCs/>
                <w:sz w:val="26"/>
                <w:szCs w:val="26"/>
              </w:rPr>
              <w:t>References</w:t>
            </w:r>
          </w:p>
          <w:p w14:paraId="0175CD6C" w14:textId="21346515" w:rsidR="003A6273" w:rsidRPr="002B1A17" w:rsidRDefault="001E32C5" w:rsidP="003A6273">
            <w:pPr>
              <w:spacing w:after="160"/>
              <w:rPr>
                <w:rFonts w:asciiTheme="minorHAnsi" w:hAnsiTheme="minorHAnsi" w:cstheme="minorHAnsi"/>
                <w:i/>
                <w:iCs/>
                <w:sz w:val="22"/>
                <w:szCs w:val="22"/>
              </w:rPr>
            </w:pPr>
            <w:hyperlink r:id="rId11" w:history="1">
              <w:r w:rsidR="003A6273" w:rsidRPr="002B1A17">
                <w:rPr>
                  <w:rStyle w:val="Hyperlink"/>
                  <w:rFonts w:asciiTheme="minorHAnsi" w:hAnsiTheme="minorHAnsi" w:cstheme="minorHAnsi"/>
                  <w:i/>
                  <w:iCs/>
                  <w:sz w:val="22"/>
                  <w:szCs w:val="22"/>
                </w:rPr>
                <w:t>Council Resolution 1428</w:t>
              </w:r>
            </w:hyperlink>
          </w:p>
        </w:tc>
      </w:tr>
    </w:tbl>
    <w:p w14:paraId="4CDB8B60" w14:textId="77777777" w:rsidR="00E227F3" w:rsidRPr="002B1A17" w:rsidRDefault="00E227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val="es-ES"/>
        </w:rPr>
      </w:pPr>
      <w:bookmarkStart w:id="10" w:name="_Hlk133421428"/>
      <w:bookmarkEnd w:id="2"/>
      <w:bookmarkEnd w:id="9"/>
    </w:p>
    <w:bookmarkEnd w:id="3"/>
    <w:bookmarkEnd w:id="4"/>
    <w:p w14:paraId="1D7ED322" w14:textId="77777777" w:rsidR="0090147A" w:rsidRPr="002B1A17" w:rsidRDefault="0090147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lang w:val="es-ES"/>
        </w:rPr>
      </w:pPr>
      <w:r w:rsidRPr="002B1A17">
        <w:rPr>
          <w:rFonts w:asciiTheme="minorHAnsi" w:hAnsiTheme="minorHAnsi" w:cstheme="minorHAnsi"/>
          <w:lang w:val="es-ES"/>
        </w:rPr>
        <w:br w:type="page"/>
      </w:r>
    </w:p>
    <w:bookmarkEnd w:id="5"/>
    <w:bookmarkEnd w:id="10"/>
    <w:p w14:paraId="4FEA3BCF" w14:textId="77777777" w:rsidR="003A6273" w:rsidRPr="002B1A17" w:rsidRDefault="003A6273" w:rsidP="008A7D43">
      <w:pPr>
        <w:pStyle w:val="Heading2"/>
        <w:keepNext w:val="0"/>
        <w:keepLines w:val="0"/>
        <w:numPr>
          <w:ilvl w:val="0"/>
          <w:numId w:val="2"/>
        </w:numPr>
        <w:tabs>
          <w:tab w:val="clear" w:pos="567"/>
          <w:tab w:val="clear" w:pos="1134"/>
          <w:tab w:val="clear" w:pos="1701"/>
          <w:tab w:val="clear" w:pos="2268"/>
          <w:tab w:val="clear" w:pos="2835"/>
        </w:tabs>
        <w:spacing w:before="120" w:after="120"/>
        <w:ind w:left="0" w:firstLine="0"/>
        <w:rPr>
          <w:rFonts w:asciiTheme="minorHAnsi" w:hAnsiTheme="minorHAnsi" w:cstheme="minorHAnsi"/>
          <w:sz w:val="26"/>
          <w:szCs w:val="26"/>
        </w:rPr>
      </w:pPr>
      <w:r w:rsidRPr="002B1A17">
        <w:rPr>
          <w:rStyle w:val="Strong"/>
          <w:rFonts w:asciiTheme="minorHAnsi" w:hAnsiTheme="minorHAnsi" w:cstheme="minorHAnsi"/>
          <w:b/>
          <w:bCs w:val="0"/>
          <w:sz w:val="26"/>
          <w:szCs w:val="26"/>
        </w:rPr>
        <w:lastRenderedPageBreak/>
        <w:t>Introduction</w:t>
      </w:r>
      <w:r w:rsidRPr="002B1A17">
        <w:rPr>
          <w:rFonts w:asciiTheme="minorHAnsi" w:hAnsiTheme="minorHAnsi" w:cstheme="minorHAnsi"/>
          <w:sz w:val="26"/>
          <w:szCs w:val="26"/>
        </w:rPr>
        <w:t>:</w:t>
      </w:r>
    </w:p>
    <w:p w14:paraId="2FDD184E" w14:textId="49C770B0" w:rsidR="003A6273" w:rsidRPr="002B1A17" w:rsidRDefault="003A6273" w:rsidP="008A7D43">
      <w:pPr>
        <w:tabs>
          <w:tab w:val="clear" w:pos="567"/>
          <w:tab w:val="clear" w:pos="1134"/>
          <w:tab w:val="clear" w:pos="1701"/>
          <w:tab w:val="clear" w:pos="2268"/>
          <w:tab w:val="clear" w:pos="2835"/>
        </w:tabs>
        <w:spacing w:after="120"/>
        <w:rPr>
          <w:rFonts w:asciiTheme="minorHAnsi" w:hAnsiTheme="minorHAnsi" w:cstheme="minorHAnsi"/>
        </w:rPr>
      </w:pPr>
      <w:r w:rsidRPr="002B1A17">
        <w:rPr>
          <w:rFonts w:asciiTheme="minorHAnsi" w:hAnsiTheme="minorHAnsi" w:cstheme="minorHAnsi"/>
        </w:rPr>
        <w:t xml:space="preserve">Since its establishment in 1865, the ITU has played a central role as a </w:t>
      </w:r>
      <w:r w:rsidR="007C458A" w:rsidRPr="002B1A17">
        <w:rPr>
          <w:rFonts w:asciiTheme="minorHAnsi" w:hAnsiTheme="minorHAnsi" w:cstheme="minorHAnsi"/>
        </w:rPr>
        <w:t>UN agency, and a</w:t>
      </w:r>
      <w:r w:rsidRPr="002B1A17">
        <w:rPr>
          <w:rFonts w:asciiTheme="minorHAnsi" w:hAnsiTheme="minorHAnsi" w:cstheme="minorHAnsi"/>
        </w:rPr>
        <w:t>s the ITU’s mandates expanded significantly over the decades, so did its governance structures and internal processes. However, like many other UN Organizations, the ITU continues to face challenges related to bureaucratic procedures causing delays in decision-making and the</w:t>
      </w:r>
      <w:r w:rsidR="00C30831" w:rsidRPr="002B1A17">
        <w:rPr>
          <w:rFonts w:asciiTheme="minorHAnsi" w:hAnsiTheme="minorHAnsi" w:cstheme="minorHAnsi"/>
        </w:rPr>
        <w:t xml:space="preserve"> implementation of initiatives.</w:t>
      </w:r>
    </w:p>
    <w:p w14:paraId="4C11E951" w14:textId="1BF9491F" w:rsidR="003A6273" w:rsidRPr="002B1A17" w:rsidRDefault="003A6273" w:rsidP="008A7D43">
      <w:pPr>
        <w:tabs>
          <w:tab w:val="clear" w:pos="567"/>
          <w:tab w:val="clear" w:pos="1134"/>
          <w:tab w:val="clear" w:pos="1701"/>
          <w:tab w:val="clear" w:pos="2268"/>
          <w:tab w:val="clear" w:pos="2835"/>
        </w:tabs>
        <w:spacing w:after="120"/>
        <w:rPr>
          <w:rFonts w:asciiTheme="minorHAnsi" w:hAnsiTheme="minorHAnsi" w:cstheme="minorHAnsi"/>
        </w:rPr>
      </w:pPr>
      <w:r w:rsidRPr="002B1A17">
        <w:rPr>
          <w:rFonts w:asciiTheme="minorHAnsi" w:hAnsiTheme="minorHAnsi" w:cstheme="minorHAnsi"/>
        </w:rPr>
        <w:t xml:space="preserve">In the current digital era where rapid adaptation is critical, there is an increasing need to streamline operational processes to ensure agility and responsiveness. In that light, the UAE presents its national </w:t>
      </w:r>
      <w:r w:rsidRPr="002B1A17">
        <w:rPr>
          <w:rStyle w:val="Strong"/>
          <w:rFonts w:asciiTheme="minorHAnsi" w:hAnsiTheme="minorHAnsi" w:cstheme="minorHAnsi"/>
        </w:rPr>
        <w:t>Zero Government Bureaucracy (ZGB) Program</w:t>
      </w:r>
      <w:r w:rsidRPr="002B1A17">
        <w:rPr>
          <w:rFonts w:asciiTheme="minorHAnsi" w:hAnsiTheme="minorHAnsi" w:cstheme="minorHAnsi"/>
        </w:rPr>
        <w:t xml:space="preserve"> directly addressing these challenges, offering a proven model for reducing organizational bureaucratic hurdles, improving service delivery, and fostering innovation through the integration of </w:t>
      </w:r>
      <w:r w:rsidR="007C458A" w:rsidRPr="002B1A17">
        <w:rPr>
          <w:rFonts w:asciiTheme="minorHAnsi" w:hAnsiTheme="minorHAnsi" w:cstheme="minorHAnsi"/>
        </w:rPr>
        <w:t>emerging technologies.</w:t>
      </w:r>
    </w:p>
    <w:p w14:paraId="6630A1AA" w14:textId="77777777" w:rsidR="003A6273" w:rsidRPr="002B1A17" w:rsidRDefault="003A6273" w:rsidP="002C1FD1">
      <w:pPr>
        <w:pStyle w:val="Heading2"/>
        <w:keepNext w:val="0"/>
        <w:keepLines w:val="0"/>
        <w:numPr>
          <w:ilvl w:val="0"/>
          <w:numId w:val="2"/>
        </w:numPr>
        <w:tabs>
          <w:tab w:val="clear" w:pos="567"/>
          <w:tab w:val="clear" w:pos="1134"/>
          <w:tab w:val="clear" w:pos="1701"/>
          <w:tab w:val="clear" w:pos="2268"/>
          <w:tab w:val="clear" w:pos="2835"/>
        </w:tabs>
        <w:spacing w:before="360" w:after="120"/>
        <w:ind w:left="0" w:firstLine="0"/>
        <w:rPr>
          <w:rFonts w:asciiTheme="minorHAnsi" w:hAnsiTheme="minorHAnsi" w:cstheme="minorHAnsi"/>
          <w:b w:val="0"/>
          <w:bCs/>
          <w:sz w:val="26"/>
          <w:szCs w:val="26"/>
        </w:rPr>
      </w:pPr>
      <w:r w:rsidRPr="002B1A17">
        <w:rPr>
          <w:rFonts w:asciiTheme="minorHAnsi" w:hAnsiTheme="minorHAnsi" w:cstheme="minorHAnsi"/>
          <w:sz w:val="26"/>
          <w:szCs w:val="26"/>
        </w:rPr>
        <w:t>The</w:t>
      </w:r>
      <w:r w:rsidRPr="002B1A17">
        <w:rPr>
          <w:rFonts w:asciiTheme="minorHAnsi" w:hAnsiTheme="minorHAnsi" w:cstheme="minorHAnsi"/>
          <w:b w:val="0"/>
          <w:bCs/>
          <w:sz w:val="26"/>
          <w:szCs w:val="26"/>
        </w:rPr>
        <w:t xml:space="preserve"> </w:t>
      </w:r>
      <w:r w:rsidRPr="002B1A17">
        <w:rPr>
          <w:rStyle w:val="Strong"/>
          <w:rFonts w:asciiTheme="minorHAnsi" w:hAnsiTheme="minorHAnsi" w:cstheme="minorHAnsi"/>
          <w:b/>
          <w:bCs w:val="0"/>
          <w:sz w:val="26"/>
          <w:szCs w:val="26"/>
        </w:rPr>
        <w:t>Zero Government Bureaucracy (ZGB) Program:</w:t>
      </w:r>
    </w:p>
    <w:p w14:paraId="72B6DD68" w14:textId="39DBDC4B" w:rsidR="003A6273" w:rsidRPr="002B1A17" w:rsidRDefault="003A6273" w:rsidP="008A7D43">
      <w:pPr>
        <w:pStyle w:val="NormalWeb"/>
        <w:spacing w:before="120" w:beforeAutospacing="0" w:after="120" w:afterAutospacing="0"/>
        <w:rPr>
          <w:rFonts w:asciiTheme="minorHAnsi" w:hAnsiTheme="minorHAnsi" w:cstheme="minorHAnsi"/>
          <w:szCs w:val="20"/>
          <w:lang w:val="en-GB"/>
        </w:rPr>
      </w:pPr>
      <w:r w:rsidRPr="002B1A17">
        <w:rPr>
          <w:rFonts w:asciiTheme="minorHAnsi" w:hAnsiTheme="minorHAnsi" w:cstheme="minorHAnsi"/>
          <w:szCs w:val="20"/>
          <w:lang w:val="en-GB"/>
        </w:rPr>
        <w:t xml:space="preserve">In 2023, The UAE launched a national action plan called the “Zero Government Bureaucracy (ZGB) Programme”, an initiative aimed at overhauling existing organizational work structures to achieve effective </w:t>
      </w:r>
      <w:r w:rsidR="001E32C5" w:rsidRPr="002B1A17">
        <w:rPr>
          <w:rFonts w:asciiTheme="minorHAnsi" w:hAnsiTheme="minorHAnsi" w:cstheme="minorHAnsi"/>
          <w:szCs w:val="20"/>
          <w:lang w:val="en-GB"/>
        </w:rPr>
        <w:t>result-based</w:t>
      </w:r>
      <w:r w:rsidRPr="002B1A17">
        <w:rPr>
          <w:rFonts w:asciiTheme="minorHAnsi" w:hAnsiTheme="minorHAnsi" w:cstheme="minorHAnsi"/>
          <w:szCs w:val="20"/>
          <w:lang w:val="en-GB"/>
        </w:rPr>
        <w:t xml:space="preserve"> delivery.</w:t>
      </w:r>
    </w:p>
    <w:p w14:paraId="6C58D923" w14:textId="33E63F3B" w:rsidR="003A6273" w:rsidRPr="002B1A17" w:rsidRDefault="003A6273" w:rsidP="008A7D43">
      <w:pPr>
        <w:pStyle w:val="NormalWeb"/>
        <w:spacing w:before="120" w:beforeAutospacing="0" w:after="120" w:afterAutospacing="0"/>
        <w:rPr>
          <w:rFonts w:asciiTheme="minorHAnsi" w:hAnsiTheme="minorHAnsi" w:cstheme="minorHAnsi"/>
          <w:szCs w:val="20"/>
          <w:lang w:val="en-GB"/>
        </w:rPr>
      </w:pPr>
      <w:r w:rsidRPr="002B1A17">
        <w:rPr>
          <w:rFonts w:asciiTheme="minorHAnsi" w:hAnsiTheme="minorHAnsi" w:cstheme="minorHAnsi"/>
          <w:szCs w:val="20"/>
          <w:lang w:val="en-GB"/>
        </w:rPr>
        <w:t>The Programme seeks to eliminate redundant organizational procedures and requirements, significantly simplifying the administrative process. It is also set to develop simpler, quicker and more efficient organizational procedures by focusing on the consolidation of similar procedures, the removal of superfluous steps, automating routine procedures and the acceleration of service delivery.</w:t>
      </w:r>
    </w:p>
    <w:p w14:paraId="278F0562" w14:textId="0C84422D" w:rsidR="003A6273" w:rsidRPr="002B1A17" w:rsidRDefault="003A6273" w:rsidP="008A7D43">
      <w:pPr>
        <w:pStyle w:val="NormalWeb"/>
        <w:spacing w:before="120" w:beforeAutospacing="0" w:after="120" w:afterAutospacing="0"/>
        <w:rPr>
          <w:rFonts w:asciiTheme="minorHAnsi" w:hAnsiTheme="minorHAnsi" w:cstheme="minorHAnsi"/>
          <w:szCs w:val="20"/>
          <w:lang w:val="en-GB"/>
        </w:rPr>
      </w:pPr>
      <w:r w:rsidRPr="002B1A17">
        <w:rPr>
          <w:rFonts w:asciiTheme="minorHAnsi" w:hAnsiTheme="minorHAnsi" w:cstheme="minorHAnsi"/>
          <w:szCs w:val="20"/>
          <w:lang w:val="en-GB"/>
        </w:rPr>
        <w:t>In the UAE Government</w:t>
      </w:r>
      <w:r w:rsidR="007C458A" w:rsidRPr="002B1A17">
        <w:rPr>
          <w:rFonts w:asciiTheme="minorHAnsi" w:hAnsiTheme="minorHAnsi" w:cstheme="minorHAnsi"/>
          <w:szCs w:val="20"/>
          <w:lang w:val="en-GB"/>
        </w:rPr>
        <w:t>s</w:t>
      </w:r>
      <w:r w:rsidRPr="002B1A17">
        <w:rPr>
          <w:rFonts w:asciiTheme="minorHAnsi" w:hAnsiTheme="minorHAnsi" w:cstheme="minorHAnsi"/>
          <w:szCs w:val="20"/>
          <w:lang w:val="en-GB"/>
        </w:rPr>
        <w:t xml:space="preserve">, The ZGB Program has already led to the elimination of over 2,000 unnecessary procedures and reduced service delivery times by 50%, thus significantly improving efficiency and public satisfaction. By incorporating similar strategies into the ITU's framework, particularly in the drafting of the </w:t>
      </w:r>
      <w:r w:rsidR="007C458A" w:rsidRPr="002B1A17">
        <w:rPr>
          <w:rFonts w:asciiTheme="minorHAnsi" w:hAnsiTheme="minorHAnsi" w:cstheme="minorHAnsi"/>
          <w:szCs w:val="20"/>
          <w:lang w:val="en-GB"/>
        </w:rPr>
        <w:t>next</w:t>
      </w:r>
      <w:r w:rsidRPr="002B1A17">
        <w:rPr>
          <w:rFonts w:asciiTheme="minorHAnsi" w:hAnsiTheme="minorHAnsi" w:cstheme="minorHAnsi"/>
          <w:szCs w:val="20"/>
          <w:lang w:val="en-GB"/>
        </w:rPr>
        <w:t xml:space="preserve"> Strategic Plan, the ITU may benefit from the model, which encourages optimizing internal governance, and in turn enhance its ability to meet its strategic objectives.</w:t>
      </w:r>
    </w:p>
    <w:p w14:paraId="34CE4935" w14:textId="77777777" w:rsidR="003A6273" w:rsidRPr="002B1A17" w:rsidRDefault="003A6273" w:rsidP="002C1FD1">
      <w:pPr>
        <w:pStyle w:val="Heading2"/>
        <w:keepNext w:val="0"/>
        <w:keepLines w:val="0"/>
        <w:numPr>
          <w:ilvl w:val="0"/>
          <w:numId w:val="2"/>
        </w:numPr>
        <w:tabs>
          <w:tab w:val="clear" w:pos="567"/>
          <w:tab w:val="clear" w:pos="1134"/>
          <w:tab w:val="clear" w:pos="1701"/>
          <w:tab w:val="clear" w:pos="2268"/>
          <w:tab w:val="clear" w:pos="2835"/>
        </w:tabs>
        <w:spacing w:before="360" w:after="120"/>
        <w:ind w:left="0" w:firstLine="0"/>
        <w:rPr>
          <w:rFonts w:asciiTheme="minorHAnsi" w:hAnsiTheme="minorHAnsi" w:cstheme="minorHAnsi"/>
          <w:sz w:val="26"/>
          <w:szCs w:val="26"/>
        </w:rPr>
      </w:pPr>
      <w:r w:rsidRPr="002B1A17">
        <w:rPr>
          <w:rFonts w:asciiTheme="minorHAnsi" w:hAnsiTheme="minorHAnsi" w:cstheme="minorHAnsi"/>
          <w:sz w:val="26"/>
          <w:szCs w:val="26"/>
        </w:rPr>
        <w:t xml:space="preserve">Scope of application of the programme </w:t>
      </w:r>
    </w:p>
    <w:p w14:paraId="68DB5077" w14:textId="5896F645" w:rsidR="003A6273" w:rsidRPr="002B1A17" w:rsidRDefault="003A6273" w:rsidP="002C1FD1">
      <w:pPr>
        <w:pStyle w:val="Heading3"/>
        <w:keepNext w:val="0"/>
        <w:keepLines w:val="0"/>
        <w:numPr>
          <w:ilvl w:val="0"/>
          <w:numId w:val="3"/>
        </w:numPr>
        <w:tabs>
          <w:tab w:val="clear" w:pos="567"/>
          <w:tab w:val="clear" w:pos="1134"/>
          <w:tab w:val="clear" w:pos="1701"/>
          <w:tab w:val="clear" w:pos="2268"/>
          <w:tab w:val="clear" w:pos="2835"/>
        </w:tabs>
        <w:spacing w:before="120" w:after="120"/>
        <w:ind w:left="851" w:hanging="425"/>
        <w:rPr>
          <w:rFonts w:asciiTheme="minorHAnsi" w:hAnsiTheme="minorHAnsi" w:cstheme="minorHAnsi"/>
        </w:rPr>
      </w:pPr>
      <w:r w:rsidRPr="002B1A17">
        <w:rPr>
          <w:rFonts w:asciiTheme="minorHAnsi" w:hAnsiTheme="minorHAnsi" w:cstheme="minorHAnsi"/>
        </w:rPr>
        <w:t>Services</w:t>
      </w:r>
    </w:p>
    <w:p w14:paraId="40AAD9BF" w14:textId="3B8FF53B" w:rsidR="003A6273" w:rsidRPr="002B1A17" w:rsidRDefault="003A6273" w:rsidP="008A7D43">
      <w:pPr>
        <w:pStyle w:val="NormalWeb"/>
        <w:spacing w:before="120" w:beforeAutospacing="0" w:after="120" w:afterAutospacing="0"/>
        <w:rPr>
          <w:rFonts w:asciiTheme="minorHAnsi" w:hAnsiTheme="minorHAnsi" w:cstheme="minorHAnsi"/>
          <w:szCs w:val="20"/>
          <w:lang w:val="en-GB"/>
        </w:rPr>
      </w:pPr>
      <w:r w:rsidRPr="002B1A17">
        <w:rPr>
          <w:rFonts w:asciiTheme="minorHAnsi" w:hAnsiTheme="minorHAnsi" w:cstheme="minorHAnsi"/>
          <w:szCs w:val="20"/>
          <w:lang w:val="en-GB"/>
        </w:rPr>
        <w:t xml:space="preserve">Improving </w:t>
      </w:r>
      <w:r w:rsidR="00A42F6A" w:rsidRPr="002B1A17">
        <w:rPr>
          <w:rFonts w:asciiTheme="minorHAnsi" w:hAnsiTheme="minorHAnsi" w:cstheme="minorHAnsi"/>
          <w:szCs w:val="20"/>
          <w:lang w:val="en-GB"/>
        </w:rPr>
        <w:t>consistency and clarity of</w:t>
      </w:r>
      <w:r w:rsidR="00AB6C4C" w:rsidRPr="002B1A17">
        <w:rPr>
          <w:rFonts w:asciiTheme="minorHAnsi" w:hAnsiTheme="minorHAnsi" w:cstheme="minorHAnsi"/>
          <w:szCs w:val="20"/>
          <w:lang w:val="en-GB"/>
        </w:rPr>
        <w:t xml:space="preserve"> </w:t>
      </w:r>
      <w:r w:rsidR="0003388A" w:rsidRPr="002B1A17">
        <w:rPr>
          <w:rFonts w:asciiTheme="minorHAnsi" w:hAnsiTheme="minorHAnsi" w:cstheme="minorHAnsi"/>
          <w:szCs w:val="20"/>
          <w:lang w:val="en-GB"/>
        </w:rPr>
        <w:t>service delivery and the channel of service delivery</w:t>
      </w:r>
      <w:r w:rsidR="00A42F6A" w:rsidRPr="002B1A17">
        <w:rPr>
          <w:rFonts w:asciiTheme="minorHAnsi" w:hAnsiTheme="minorHAnsi" w:cstheme="minorHAnsi"/>
          <w:szCs w:val="20"/>
          <w:lang w:val="en-GB"/>
        </w:rPr>
        <w:t xml:space="preserve">. The application of this scope calls for </w:t>
      </w:r>
      <w:r w:rsidR="0003388A" w:rsidRPr="002B1A17">
        <w:rPr>
          <w:rFonts w:asciiTheme="minorHAnsi" w:hAnsiTheme="minorHAnsi" w:cstheme="minorHAnsi"/>
          <w:szCs w:val="20"/>
          <w:lang w:val="en-GB"/>
        </w:rPr>
        <w:t xml:space="preserve">reducing the steps required to </w:t>
      </w:r>
      <w:r w:rsidR="00A42F6A" w:rsidRPr="002B1A17">
        <w:rPr>
          <w:rFonts w:asciiTheme="minorHAnsi" w:hAnsiTheme="minorHAnsi" w:cstheme="minorHAnsi"/>
          <w:szCs w:val="20"/>
          <w:lang w:val="en-GB"/>
        </w:rPr>
        <w:t>request a service</w:t>
      </w:r>
      <w:r w:rsidR="0003388A" w:rsidRPr="002B1A17">
        <w:rPr>
          <w:rFonts w:asciiTheme="minorHAnsi" w:hAnsiTheme="minorHAnsi" w:cstheme="minorHAnsi"/>
          <w:szCs w:val="20"/>
          <w:lang w:val="en-GB"/>
        </w:rPr>
        <w:t xml:space="preserve"> through the Organization’s channel.</w:t>
      </w:r>
    </w:p>
    <w:p w14:paraId="7570392B" w14:textId="736AA336" w:rsidR="003A6273" w:rsidRPr="002B1A17" w:rsidRDefault="003A6273" w:rsidP="002C1FD1">
      <w:pPr>
        <w:pStyle w:val="Heading3"/>
        <w:keepNext w:val="0"/>
        <w:keepLines w:val="0"/>
        <w:numPr>
          <w:ilvl w:val="0"/>
          <w:numId w:val="3"/>
        </w:numPr>
        <w:tabs>
          <w:tab w:val="clear" w:pos="567"/>
          <w:tab w:val="clear" w:pos="1134"/>
          <w:tab w:val="clear" w:pos="1701"/>
          <w:tab w:val="clear" w:pos="2268"/>
          <w:tab w:val="clear" w:pos="2835"/>
        </w:tabs>
        <w:spacing w:before="120" w:after="120"/>
        <w:ind w:left="851" w:hanging="425"/>
        <w:rPr>
          <w:rFonts w:asciiTheme="minorHAnsi" w:hAnsiTheme="minorHAnsi" w:cstheme="minorHAnsi"/>
        </w:rPr>
      </w:pPr>
      <w:r w:rsidRPr="002B1A17">
        <w:rPr>
          <w:rFonts w:asciiTheme="minorHAnsi" w:hAnsiTheme="minorHAnsi" w:cstheme="minorHAnsi"/>
        </w:rPr>
        <w:t>Conditions and Requirements</w:t>
      </w:r>
    </w:p>
    <w:p w14:paraId="6D4E1D15" w14:textId="77777777" w:rsidR="003A6273" w:rsidRPr="002B1A17" w:rsidRDefault="003A6273" w:rsidP="008A7D43">
      <w:pPr>
        <w:pStyle w:val="NormalWeb"/>
        <w:spacing w:before="120" w:beforeAutospacing="0" w:after="120" w:afterAutospacing="0"/>
        <w:rPr>
          <w:rFonts w:asciiTheme="minorHAnsi" w:hAnsiTheme="minorHAnsi" w:cstheme="minorHAnsi"/>
          <w:szCs w:val="20"/>
          <w:lang w:val="en-GB"/>
        </w:rPr>
      </w:pPr>
      <w:r w:rsidRPr="002B1A17">
        <w:rPr>
          <w:rFonts w:asciiTheme="minorHAnsi" w:hAnsiTheme="minorHAnsi" w:cstheme="minorHAnsi"/>
          <w:szCs w:val="20"/>
          <w:lang w:val="en-GB"/>
        </w:rPr>
        <w:t>Simplifying and reducing the conditions and requirements that customers must adhere to, in line with international standards and practices, whether within a single entity or in services requiring collaboration between multiple entities.</w:t>
      </w:r>
    </w:p>
    <w:p w14:paraId="68BE8F36" w14:textId="0A2DF602" w:rsidR="003A6273" w:rsidRPr="002B1A17" w:rsidRDefault="003A6273" w:rsidP="002C1FD1">
      <w:pPr>
        <w:pStyle w:val="Heading3"/>
        <w:keepNext w:val="0"/>
        <w:keepLines w:val="0"/>
        <w:numPr>
          <w:ilvl w:val="0"/>
          <w:numId w:val="3"/>
        </w:numPr>
        <w:tabs>
          <w:tab w:val="clear" w:pos="567"/>
          <w:tab w:val="clear" w:pos="1134"/>
          <w:tab w:val="clear" w:pos="1701"/>
          <w:tab w:val="clear" w:pos="2268"/>
          <w:tab w:val="clear" w:pos="2835"/>
        </w:tabs>
        <w:spacing w:before="120" w:after="120"/>
        <w:ind w:left="851" w:hanging="425"/>
        <w:rPr>
          <w:rFonts w:asciiTheme="minorHAnsi" w:hAnsiTheme="minorHAnsi" w:cstheme="minorHAnsi"/>
        </w:rPr>
      </w:pPr>
      <w:r w:rsidRPr="002B1A17">
        <w:rPr>
          <w:rFonts w:asciiTheme="minorHAnsi" w:hAnsiTheme="minorHAnsi" w:cstheme="minorHAnsi"/>
        </w:rPr>
        <w:t>Operations</w:t>
      </w:r>
    </w:p>
    <w:p w14:paraId="7188E9B3" w14:textId="2BFCB33C" w:rsidR="003A6273" w:rsidRPr="002B1A17" w:rsidRDefault="00A42F6A" w:rsidP="008A7D43">
      <w:pPr>
        <w:pStyle w:val="NormalWeb"/>
        <w:spacing w:before="120" w:beforeAutospacing="0" w:after="120" w:afterAutospacing="0"/>
        <w:rPr>
          <w:rFonts w:asciiTheme="minorHAnsi" w:hAnsiTheme="minorHAnsi" w:cstheme="minorHAnsi"/>
          <w:szCs w:val="20"/>
          <w:lang w:val="en-GB"/>
        </w:rPr>
      </w:pPr>
      <w:r w:rsidRPr="002B1A17">
        <w:rPr>
          <w:rFonts w:asciiTheme="minorHAnsi" w:hAnsiTheme="minorHAnsi" w:cstheme="minorHAnsi"/>
          <w:szCs w:val="20"/>
          <w:lang w:val="en-GB"/>
        </w:rPr>
        <w:t xml:space="preserve">Optimising </w:t>
      </w:r>
      <w:r w:rsidR="0043467D" w:rsidRPr="002B1A17">
        <w:rPr>
          <w:rFonts w:asciiTheme="minorHAnsi" w:hAnsiTheme="minorHAnsi" w:cstheme="minorHAnsi"/>
          <w:szCs w:val="20"/>
          <w:lang w:val="en-GB"/>
        </w:rPr>
        <w:t xml:space="preserve">internal workflows by automating routine tasks, identifying </w:t>
      </w:r>
      <w:r w:rsidR="0043467D" w:rsidRPr="002B1A17">
        <w:rPr>
          <w:rFonts w:asciiTheme="minorHAnsi" w:hAnsiTheme="minorHAnsi" w:cstheme="minorHAnsi"/>
        </w:rPr>
        <w:t>inefficiencies and consolidating redundant steps</w:t>
      </w:r>
      <w:r w:rsidR="003A6273" w:rsidRPr="002B1A17">
        <w:rPr>
          <w:rFonts w:asciiTheme="minorHAnsi" w:hAnsiTheme="minorHAnsi" w:cstheme="minorHAnsi"/>
          <w:szCs w:val="20"/>
          <w:lang w:val="en-GB"/>
        </w:rPr>
        <w:t xml:space="preserve"> </w:t>
      </w:r>
      <w:r w:rsidR="0043467D" w:rsidRPr="002B1A17">
        <w:rPr>
          <w:rFonts w:asciiTheme="minorHAnsi" w:hAnsiTheme="minorHAnsi" w:cstheme="minorHAnsi"/>
          <w:szCs w:val="20"/>
          <w:lang w:val="en-GB"/>
        </w:rPr>
        <w:t>to</w:t>
      </w:r>
      <w:r w:rsidR="003A6273" w:rsidRPr="002B1A17">
        <w:rPr>
          <w:rFonts w:asciiTheme="minorHAnsi" w:hAnsiTheme="minorHAnsi" w:cstheme="minorHAnsi"/>
          <w:szCs w:val="20"/>
          <w:lang w:val="en-GB"/>
        </w:rPr>
        <w:t xml:space="preserve"> ensure efficient delivery.</w:t>
      </w:r>
    </w:p>
    <w:p w14:paraId="6E864215" w14:textId="12A3A3B0" w:rsidR="003A6273" w:rsidRPr="002B1A17" w:rsidRDefault="00237054" w:rsidP="002C1FD1">
      <w:pPr>
        <w:pStyle w:val="Heading2"/>
        <w:keepNext w:val="0"/>
        <w:keepLines w:val="0"/>
        <w:numPr>
          <w:ilvl w:val="0"/>
          <w:numId w:val="2"/>
        </w:numPr>
        <w:tabs>
          <w:tab w:val="clear" w:pos="567"/>
          <w:tab w:val="clear" w:pos="1134"/>
          <w:tab w:val="clear" w:pos="1701"/>
          <w:tab w:val="clear" w:pos="2268"/>
          <w:tab w:val="clear" w:pos="2835"/>
        </w:tabs>
        <w:spacing w:before="360" w:after="120"/>
        <w:ind w:left="0" w:firstLine="0"/>
        <w:rPr>
          <w:rFonts w:asciiTheme="minorHAnsi" w:hAnsiTheme="minorHAnsi" w:cstheme="minorHAnsi"/>
          <w:sz w:val="26"/>
          <w:szCs w:val="26"/>
        </w:rPr>
      </w:pPr>
      <w:r w:rsidRPr="002B1A17">
        <w:rPr>
          <w:rStyle w:val="Strong"/>
          <w:rFonts w:asciiTheme="minorHAnsi" w:hAnsiTheme="minorHAnsi" w:cstheme="minorHAnsi"/>
          <w:b/>
          <w:bCs w:val="0"/>
          <w:sz w:val="26"/>
          <w:szCs w:val="26"/>
        </w:rPr>
        <w:lastRenderedPageBreak/>
        <w:t>Proposal</w:t>
      </w:r>
      <w:r w:rsidR="003A6273" w:rsidRPr="002B1A17">
        <w:rPr>
          <w:rFonts w:asciiTheme="minorHAnsi" w:hAnsiTheme="minorHAnsi" w:cstheme="minorHAnsi"/>
          <w:sz w:val="26"/>
          <w:szCs w:val="26"/>
        </w:rPr>
        <w:t>:</w:t>
      </w:r>
    </w:p>
    <w:p w14:paraId="2FA20815" w14:textId="77777777" w:rsidR="003A6273" w:rsidRPr="002B1A17" w:rsidRDefault="003A6273" w:rsidP="008A7D43">
      <w:pPr>
        <w:pStyle w:val="NormalWeb"/>
        <w:spacing w:before="120" w:beforeAutospacing="0" w:after="120" w:afterAutospacing="0"/>
        <w:rPr>
          <w:rFonts w:asciiTheme="minorHAnsi" w:hAnsiTheme="minorHAnsi" w:cstheme="minorHAnsi"/>
        </w:rPr>
      </w:pPr>
      <w:r w:rsidRPr="002B1A17">
        <w:rPr>
          <w:rFonts w:asciiTheme="minorHAnsi" w:hAnsiTheme="minorHAnsi" w:cstheme="minorHAnsi"/>
        </w:rPr>
        <w:t xml:space="preserve">Based on the program’s key pillars: eliminating unnecessary bureaucracy, streamlining processes, and integrating digital innovations, the UAE proposes the following measures the ITU can consider </w:t>
      </w:r>
      <w:proofErr w:type="gramStart"/>
      <w:r w:rsidRPr="002B1A17">
        <w:rPr>
          <w:rFonts w:asciiTheme="minorHAnsi" w:hAnsiTheme="minorHAnsi" w:cstheme="minorHAnsi"/>
        </w:rPr>
        <w:t>to enhance</w:t>
      </w:r>
      <w:proofErr w:type="gramEnd"/>
      <w:r w:rsidRPr="002B1A17">
        <w:rPr>
          <w:rFonts w:asciiTheme="minorHAnsi" w:hAnsiTheme="minorHAnsi" w:cstheme="minorHAnsi"/>
        </w:rPr>
        <w:t xml:space="preserve"> its ability to achieve its strategic objectives. This can be achieved by incorporating on the following:</w:t>
      </w:r>
    </w:p>
    <w:p w14:paraId="30D4DD50" w14:textId="51E0F550" w:rsidR="0043467D" w:rsidRPr="002B1A17" w:rsidRDefault="0043467D" w:rsidP="002C1FD1">
      <w:pPr>
        <w:pStyle w:val="Heading3"/>
        <w:keepNext w:val="0"/>
        <w:keepLines w:val="0"/>
        <w:numPr>
          <w:ilvl w:val="0"/>
          <w:numId w:val="4"/>
        </w:numPr>
        <w:tabs>
          <w:tab w:val="clear" w:pos="567"/>
          <w:tab w:val="clear" w:pos="1134"/>
          <w:tab w:val="clear" w:pos="1701"/>
          <w:tab w:val="clear" w:pos="2268"/>
          <w:tab w:val="clear" w:pos="2835"/>
        </w:tabs>
        <w:spacing w:before="120" w:after="120"/>
        <w:ind w:left="851" w:hanging="425"/>
        <w:rPr>
          <w:rStyle w:val="Strong"/>
          <w:rFonts w:asciiTheme="minorHAnsi" w:hAnsiTheme="minorHAnsi" w:cstheme="minorHAnsi"/>
          <w:b/>
          <w:bCs w:val="0"/>
        </w:rPr>
      </w:pPr>
      <w:r w:rsidRPr="002B1A17">
        <w:rPr>
          <w:rStyle w:val="Strong"/>
          <w:rFonts w:asciiTheme="minorHAnsi" w:hAnsiTheme="minorHAnsi" w:cstheme="minorHAnsi"/>
          <w:b/>
          <w:bCs w:val="0"/>
        </w:rPr>
        <w:t>Enhance Channel of Service delivery</w:t>
      </w:r>
    </w:p>
    <w:p w14:paraId="68307537" w14:textId="7CE786E3" w:rsidR="0043467D" w:rsidRPr="002B1A17" w:rsidRDefault="0043467D" w:rsidP="008A7D43">
      <w:pPr>
        <w:tabs>
          <w:tab w:val="clear" w:pos="567"/>
          <w:tab w:val="clear" w:pos="1134"/>
          <w:tab w:val="clear" w:pos="1701"/>
          <w:tab w:val="clear" w:pos="2268"/>
          <w:tab w:val="clear" w:pos="2835"/>
        </w:tabs>
        <w:spacing w:after="120"/>
        <w:rPr>
          <w:rFonts w:asciiTheme="minorHAnsi" w:hAnsiTheme="minorHAnsi" w:cstheme="minorHAnsi"/>
          <w:lang w:val="en-US"/>
        </w:rPr>
      </w:pPr>
      <w:r w:rsidRPr="002B1A17">
        <w:rPr>
          <w:rFonts w:asciiTheme="minorHAnsi" w:hAnsiTheme="minorHAnsi" w:cstheme="minorHAnsi"/>
        </w:rPr>
        <w:t xml:space="preserve">The Channel of delivery for the ITU services is its main website, which currently requires </w:t>
      </w:r>
      <w:r w:rsidR="004A1447" w:rsidRPr="002B1A17">
        <w:rPr>
          <w:rFonts w:asciiTheme="minorHAnsi" w:hAnsiTheme="minorHAnsi" w:cstheme="minorHAnsi"/>
        </w:rPr>
        <w:t>the user to click through multiple screens or pages to complete a service. This typically reflects a complex or poorly designed workflow, which leads to longer time.  The ITU may start implementing this model on its main website making it more efficient and optimised.</w:t>
      </w:r>
    </w:p>
    <w:p w14:paraId="761CC932" w14:textId="058740FD" w:rsidR="003A6273" w:rsidRPr="002B1A17" w:rsidRDefault="003A6273" w:rsidP="002C1FD1">
      <w:pPr>
        <w:pStyle w:val="Heading3"/>
        <w:keepNext w:val="0"/>
        <w:keepLines w:val="0"/>
        <w:numPr>
          <w:ilvl w:val="0"/>
          <w:numId w:val="4"/>
        </w:numPr>
        <w:tabs>
          <w:tab w:val="clear" w:pos="567"/>
          <w:tab w:val="clear" w:pos="1134"/>
          <w:tab w:val="clear" w:pos="1701"/>
          <w:tab w:val="clear" w:pos="2268"/>
          <w:tab w:val="clear" w:pos="2835"/>
        </w:tabs>
        <w:spacing w:before="120" w:after="120"/>
        <w:ind w:left="851" w:hanging="425"/>
        <w:rPr>
          <w:rFonts w:asciiTheme="minorHAnsi" w:hAnsiTheme="minorHAnsi" w:cstheme="minorHAnsi"/>
          <w:b w:val="0"/>
          <w:bCs/>
        </w:rPr>
      </w:pPr>
      <w:r w:rsidRPr="002B1A17">
        <w:rPr>
          <w:rStyle w:val="Strong"/>
          <w:rFonts w:asciiTheme="minorHAnsi" w:hAnsiTheme="minorHAnsi" w:cstheme="minorHAnsi"/>
          <w:b/>
          <w:bCs w:val="0"/>
        </w:rPr>
        <w:t>Eliminate Redundant Processes</w:t>
      </w:r>
    </w:p>
    <w:p w14:paraId="495F6C83" w14:textId="51B900BA" w:rsidR="003A6273" w:rsidRPr="002B1A17" w:rsidRDefault="003A6273" w:rsidP="008A7D43">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rPr>
      </w:pPr>
      <w:r w:rsidRPr="002B1A17">
        <w:rPr>
          <w:rFonts w:asciiTheme="minorHAnsi" w:hAnsiTheme="minorHAnsi" w:cstheme="minorHAnsi"/>
        </w:rPr>
        <w:t xml:space="preserve">Considering that the </w:t>
      </w:r>
      <w:r w:rsidR="0043467D" w:rsidRPr="002B1A17">
        <w:rPr>
          <w:rFonts w:asciiTheme="minorHAnsi" w:hAnsiTheme="minorHAnsi" w:cstheme="minorHAnsi"/>
        </w:rPr>
        <w:t>ITU</w:t>
      </w:r>
      <w:r w:rsidRPr="002B1A17">
        <w:rPr>
          <w:rFonts w:asciiTheme="minorHAnsi" w:hAnsiTheme="minorHAnsi" w:cstheme="minorHAnsi"/>
        </w:rPr>
        <w:t xml:space="preserve"> works across multiple sectors and </w:t>
      </w:r>
      <w:r w:rsidR="001E32C5" w:rsidRPr="002B1A17">
        <w:rPr>
          <w:rFonts w:asciiTheme="minorHAnsi" w:hAnsiTheme="minorHAnsi" w:cstheme="minorHAnsi"/>
        </w:rPr>
        <w:t>Member States</w:t>
      </w:r>
      <w:r w:rsidRPr="002B1A17">
        <w:rPr>
          <w:rFonts w:asciiTheme="minorHAnsi" w:hAnsiTheme="minorHAnsi" w:cstheme="minorHAnsi"/>
        </w:rPr>
        <w:t>, analysing and studying the existing cross-sectoral procedures and eliminate redundant processes</w:t>
      </w:r>
      <w:r w:rsidR="00467B5D" w:rsidRPr="002B1A17">
        <w:rPr>
          <w:rFonts w:asciiTheme="minorHAnsi" w:hAnsiTheme="minorHAnsi" w:cstheme="minorHAnsi"/>
        </w:rPr>
        <w:t xml:space="preserve"> would be a crucial requirement</w:t>
      </w:r>
      <w:r w:rsidR="004A1447" w:rsidRPr="002B1A17">
        <w:rPr>
          <w:rFonts w:asciiTheme="minorHAnsi" w:hAnsiTheme="minorHAnsi" w:cstheme="minorHAnsi"/>
        </w:rPr>
        <w:t>. The ITU could map out its procedures across the sectors, particularly processes such as cross-sectorial reporting frameworks, project approvals and reporting frameworks.</w:t>
      </w:r>
    </w:p>
    <w:p w14:paraId="6CD2C66A" w14:textId="4FB94537" w:rsidR="003A6273" w:rsidRPr="002B1A17" w:rsidRDefault="0043467D" w:rsidP="002C1FD1">
      <w:pPr>
        <w:pStyle w:val="Heading3"/>
        <w:keepNext w:val="0"/>
        <w:keepLines w:val="0"/>
        <w:numPr>
          <w:ilvl w:val="0"/>
          <w:numId w:val="4"/>
        </w:numPr>
        <w:tabs>
          <w:tab w:val="clear" w:pos="567"/>
          <w:tab w:val="clear" w:pos="1134"/>
          <w:tab w:val="clear" w:pos="1701"/>
          <w:tab w:val="clear" w:pos="2268"/>
          <w:tab w:val="clear" w:pos="2835"/>
        </w:tabs>
        <w:spacing w:before="120" w:after="120"/>
        <w:ind w:left="851" w:hanging="425"/>
        <w:rPr>
          <w:rStyle w:val="Strong"/>
          <w:rFonts w:asciiTheme="minorHAnsi" w:hAnsiTheme="minorHAnsi" w:cstheme="minorHAnsi"/>
          <w:b/>
          <w:bCs w:val="0"/>
        </w:rPr>
      </w:pPr>
      <w:r w:rsidRPr="002B1A17">
        <w:rPr>
          <w:rStyle w:val="Strong"/>
          <w:rFonts w:asciiTheme="minorHAnsi" w:hAnsiTheme="minorHAnsi" w:cstheme="minorHAnsi"/>
          <w:b/>
          <w:bCs w:val="0"/>
        </w:rPr>
        <w:t>Incorporate innovation in</w:t>
      </w:r>
      <w:r w:rsidR="003A6273" w:rsidRPr="002B1A17">
        <w:rPr>
          <w:rStyle w:val="Strong"/>
          <w:rFonts w:asciiTheme="minorHAnsi" w:hAnsiTheme="minorHAnsi" w:cstheme="minorHAnsi"/>
          <w:b/>
          <w:bCs w:val="0"/>
        </w:rPr>
        <w:t xml:space="preserve"> Service Delivery</w:t>
      </w:r>
      <w:r w:rsidR="008C71C7" w:rsidRPr="002B1A17">
        <w:rPr>
          <w:rStyle w:val="Strong"/>
          <w:rFonts w:asciiTheme="minorHAnsi" w:hAnsiTheme="minorHAnsi" w:cstheme="minorHAnsi"/>
          <w:b/>
          <w:bCs w:val="0"/>
        </w:rPr>
        <w:t xml:space="preserve"> </w:t>
      </w:r>
    </w:p>
    <w:p w14:paraId="6D12AEC4" w14:textId="504533F2" w:rsidR="003A6273" w:rsidRPr="002B1A17" w:rsidRDefault="008C71C7" w:rsidP="008A7D43">
      <w:pPr>
        <w:tabs>
          <w:tab w:val="clear" w:pos="567"/>
          <w:tab w:val="clear" w:pos="1134"/>
          <w:tab w:val="clear" w:pos="1701"/>
          <w:tab w:val="clear" w:pos="2268"/>
          <w:tab w:val="clear" w:pos="2835"/>
        </w:tabs>
        <w:spacing w:after="120"/>
        <w:rPr>
          <w:rFonts w:asciiTheme="minorHAnsi" w:hAnsiTheme="minorHAnsi" w:cstheme="minorHAnsi"/>
        </w:rPr>
      </w:pPr>
      <w:r w:rsidRPr="002B1A17">
        <w:rPr>
          <w:rFonts w:asciiTheme="minorHAnsi" w:hAnsiTheme="minorHAnsi" w:cstheme="minorHAnsi"/>
        </w:rPr>
        <w:t>The ITU, as a global leader in telecommunications, must model the adoption of innovative digital technologies to streamline its service delivery</w:t>
      </w:r>
      <w:r w:rsidR="00A851C4" w:rsidRPr="002B1A17">
        <w:rPr>
          <w:rFonts w:asciiTheme="minorHAnsi" w:hAnsiTheme="minorHAnsi" w:cstheme="minorHAnsi"/>
        </w:rPr>
        <w:t xml:space="preserve"> across all 3 sectors.</w:t>
      </w:r>
    </w:p>
    <w:p w14:paraId="00C78287" w14:textId="3934A4EE" w:rsidR="003A6273" w:rsidRPr="002B1A17" w:rsidRDefault="003A6273" w:rsidP="002C1FD1">
      <w:pPr>
        <w:pStyle w:val="Heading3"/>
        <w:keepNext w:val="0"/>
        <w:keepLines w:val="0"/>
        <w:numPr>
          <w:ilvl w:val="0"/>
          <w:numId w:val="4"/>
        </w:numPr>
        <w:tabs>
          <w:tab w:val="clear" w:pos="567"/>
          <w:tab w:val="clear" w:pos="1134"/>
          <w:tab w:val="clear" w:pos="1701"/>
          <w:tab w:val="clear" w:pos="2268"/>
          <w:tab w:val="clear" w:pos="2835"/>
        </w:tabs>
        <w:spacing w:before="120" w:after="120"/>
        <w:ind w:left="851" w:hanging="425"/>
        <w:rPr>
          <w:rFonts w:asciiTheme="minorHAnsi" w:hAnsiTheme="minorHAnsi" w:cstheme="minorHAnsi"/>
          <w:b w:val="0"/>
          <w:bCs/>
        </w:rPr>
      </w:pPr>
      <w:r w:rsidRPr="002B1A17">
        <w:rPr>
          <w:rStyle w:val="Strong"/>
          <w:rFonts w:asciiTheme="minorHAnsi" w:hAnsiTheme="minorHAnsi" w:cstheme="minorHAnsi"/>
          <w:b/>
          <w:bCs w:val="0"/>
        </w:rPr>
        <w:t>Real-time Feedback and Monitoring</w:t>
      </w:r>
    </w:p>
    <w:p w14:paraId="00E7291F" w14:textId="537C7EFB" w:rsidR="003A6273" w:rsidRPr="002B1A17" w:rsidRDefault="003A6273" w:rsidP="008A7D43">
      <w:pPr>
        <w:tabs>
          <w:tab w:val="clear" w:pos="567"/>
          <w:tab w:val="clear" w:pos="1134"/>
          <w:tab w:val="clear" w:pos="1701"/>
          <w:tab w:val="clear" w:pos="2268"/>
          <w:tab w:val="clear" w:pos="2835"/>
        </w:tabs>
        <w:spacing w:after="120"/>
        <w:rPr>
          <w:rFonts w:asciiTheme="minorHAnsi" w:hAnsiTheme="minorHAnsi" w:cstheme="minorHAnsi"/>
        </w:rPr>
      </w:pPr>
      <w:r w:rsidRPr="002B1A17">
        <w:rPr>
          <w:rFonts w:asciiTheme="minorHAnsi" w:hAnsiTheme="minorHAnsi" w:cstheme="minorHAnsi"/>
        </w:rPr>
        <w:t>Real-time monitoring of implementation will</w:t>
      </w:r>
      <w:r w:rsidR="00467B5D" w:rsidRPr="002B1A17">
        <w:rPr>
          <w:rFonts w:asciiTheme="minorHAnsi" w:hAnsiTheme="minorHAnsi" w:cstheme="minorHAnsi"/>
        </w:rPr>
        <w:t xml:space="preserve"> help the sectors</w:t>
      </w:r>
      <w:r w:rsidRPr="002B1A17">
        <w:rPr>
          <w:rFonts w:asciiTheme="minorHAnsi" w:hAnsiTheme="minorHAnsi" w:cstheme="minorHAnsi"/>
        </w:rPr>
        <w:t xml:space="preserve"> identify bottlenecks and inefficiencies in project deliveries. The ITU could implement similar feedback loops, both internally and externally (e.g., between ITU and </w:t>
      </w:r>
      <w:r w:rsidR="001E32C5" w:rsidRPr="002B1A17">
        <w:rPr>
          <w:rFonts w:asciiTheme="minorHAnsi" w:hAnsiTheme="minorHAnsi" w:cstheme="minorHAnsi"/>
        </w:rPr>
        <w:t>Member States</w:t>
      </w:r>
      <w:r w:rsidRPr="002B1A17">
        <w:rPr>
          <w:rFonts w:asciiTheme="minorHAnsi" w:hAnsiTheme="minorHAnsi" w:cstheme="minorHAnsi"/>
        </w:rPr>
        <w:t>), to monitor the effectiveness of its strategic initiatives, and adjust in real time.</w:t>
      </w:r>
    </w:p>
    <w:p w14:paraId="0F97E654" w14:textId="33A801D3" w:rsidR="006D4FA2" w:rsidRPr="002B1A17" w:rsidRDefault="006D4FA2" w:rsidP="002C1FD1">
      <w:pPr>
        <w:pStyle w:val="Heading3"/>
        <w:keepNext w:val="0"/>
        <w:keepLines w:val="0"/>
        <w:numPr>
          <w:ilvl w:val="0"/>
          <w:numId w:val="4"/>
        </w:numPr>
        <w:tabs>
          <w:tab w:val="clear" w:pos="567"/>
          <w:tab w:val="clear" w:pos="1134"/>
          <w:tab w:val="clear" w:pos="1701"/>
          <w:tab w:val="clear" w:pos="2268"/>
          <w:tab w:val="clear" w:pos="2835"/>
        </w:tabs>
        <w:spacing w:before="120" w:after="120"/>
        <w:ind w:left="851" w:hanging="425"/>
        <w:rPr>
          <w:rStyle w:val="Strong"/>
          <w:rFonts w:asciiTheme="minorHAnsi" w:hAnsiTheme="minorHAnsi" w:cstheme="minorHAnsi"/>
          <w:b/>
          <w:bCs w:val="0"/>
        </w:rPr>
      </w:pPr>
      <w:r w:rsidRPr="002B1A17">
        <w:rPr>
          <w:rStyle w:val="Strong"/>
          <w:rFonts w:asciiTheme="minorHAnsi" w:hAnsiTheme="minorHAnsi" w:cstheme="minorHAnsi"/>
          <w:b/>
          <w:bCs w:val="0"/>
        </w:rPr>
        <w:t>Sharing knowledge and experience</w:t>
      </w:r>
    </w:p>
    <w:p w14:paraId="321AFE3C" w14:textId="0EF5D7C1" w:rsidR="00002195" w:rsidRPr="002B1A17" w:rsidRDefault="00002195" w:rsidP="008A7D43">
      <w:pPr>
        <w:tabs>
          <w:tab w:val="clear" w:pos="567"/>
          <w:tab w:val="clear" w:pos="1134"/>
          <w:tab w:val="clear" w:pos="1701"/>
          <w:tab w:val="clear" w:pos="2268"/>
          <w:tab w:val="clear" w:pos="2835"/>
        </w:tabs>
        <w:spacing w:after="120"/>
        <w:rPr>
          <w:rFonts w:asciiTheme="minorHAnsi" w:hAnsiTheme="minorHAnsi" w:cstheme="minorHAnsi"/>
        </w:rPr>
      </w:pPr>
      <w:r w:rsidRPr="002B1A17">
        <w:rPr>
          <w:rFonts w:asciiTheme="minorHAnsi" w:hAnsiTheme="minorHAnsi" w:cstheme="minorHAnsi"/>
        </w:rPr>
        <w:t xml:space="preserve">Establishing a global knowledge-sharing platform focused on zero bureaucracy in </w:t>
      </w:r>
      <w:r w:rsidR="00A851C4" w:rsidRPr="002B1A17">
        <w:rPr>
          <w:rFonts w:asciiTheme="minorHAnsi" w:hAnsiTheme="minorHAnsi" w:cstheme="minorHAnsi"/>
        </w:rPr>
        <w:t>the ITU.</w:t>
      </w:r>
      <w:r w:rsidRPr="002B1A17">
        <w:rPr>
          <w:rFonts w:asciiTheme="minorHAnsi" w:hAnsiTheme="minorHAnsi" w:cstheme="minorHAnsi"/>
        </w:rPr>
        <w:t xml:space="preserve"> This platform would enable </w:t>
      </w:r>
      <w:r w:rsidR="00A851C4" w:rsidRPr="002B1A17">
        <w:rPr>
          <w:rFonts w:asciiTheme="minorHAnsi" w:hAnsiTheme="minorHAnsi" w:cstheme="minorHAnsi"/>
        </w:rPr>
        <w:t xml:space="preserve">the ITU </w:t>
      </w:r>
      <w:r w:rsidR="001E32C5" w:rsidRPr="002B1A17">
        <w:rPr>
          <w:rFonts w:asciiTheme="minorHAnsi" w:hAnsiTheme="minorHAnsi" w:cstheme="minorHAnsi"/>
        </w:rPr>
        <w:t xml:space="preserve">membership </w:t>
      </w:r>
      <w:r w:rsidRPr="002B1A17">
        <w:rPr>
          <w:rFonts w:asciiTheme="minorHAnsi" w:hAnsiTheme="minorHAnsi" w:cstheme="minorHAnsi"/>
        </w:rPr>
        <w:t xml:space="preserve">to exchange best practices, innovative solutions, and case studies on reducing administrative burdens and enhancing digital service delivery. By fostering collaboration and standardizing effective approaches, the ITU can support </w:t>
      </w:r>
      <w:r w:rsidR="00A851C4" w:rsidRPr="002B1A17">
        <w:rPr>
          <w:rFonts w:asciiTheme="minorHAnsi" w:hAnsiTheme="minorHAnsi" w:cstheme="minorHAnsi"/>
        </w:rPr>
        <w:t xml:space="preserve">its </w:t>
      </w:r>
      <w:r w:rsidR="001E32C5" w:rsidRPr="002B1A17">
        <w:rPr>
          <w:rFonts w:asciiTheme="minorHAnsi" w:hAnsiTheme="minorHAnsi" w:cstheme="minorHAnsi"/>
        </w:rPr>
        <w:t xml:space="preserve">membership </w:t>
      </w:r>
      <w:r w:rsidRPr="002B1A17">
        <w:rPr>
          <w:rFonts w:asciiTheme="minorHAnsi" w:hAnsiTheme="minorHAnsi" w:cstheme="minorHAnsi"/>
        </w:rPr>
        <w:t xml:space="preserve">in accelerating their digital transformation journeys and improving </w:t>
      </w:r>
      <w:r w:rsidR="005F55E2" w:rsidRPr="002B1A17">
        <w:rPr>
          <w:rFonts w:asciiTheme="minorHAnsi" w:hAnsiTheme="minorHAnsi" w:cstheme="minorHAnsi"/>
        </w:rPr>
        <w:t xml:space="preserve">organizational </w:t>
      </w:r>
      <w:r w:rsidRPr="002B1A17">
        <w:rPr>
          <w:rFonts w:asciiTheme="minorHAnsi" w:hAnsiTheme="minorHAnsi" w:cstheme="minorHAnsi"/>
        </w:rPr>
        <w:t>efficiency worldwide.</w:t>
      </w:r>
    </w:p>
    <w:p w14:paraId="3F2146F5" w14:textId="77777777" w:rsidR="003A6273" w:rsidRPr="002B1A17" w:rsidRDefault="003A6273" w:rsidP="002C1FD1">
      <w:pPr>
        <w:pStyle w:val="Heading2"/>
        <w:keepNext w:val="0"/>
        <w:keepLines w:val="0"/>
        <w:numPr>
          <w:ilvl w:val="0"/>
          <w:numId w:val="2"/>
        </w:numPr>
        <w:tabs>
          <w:tab w:val="clear" w:pos="567"/>
          <w:tab w:val="clear" w:pos="1134"/>
          <w:tab w:val="clear" w:pos="1701"/>
          <w:tab w:val="clear" w:pos="2268"/>
          <w:tab w:val="clear" w:pos="2835"/>
        </w:tabs>
        <w:spacing w:before="360" w:after="120"/>
        <w:ind w:left="0" w:firstLine="0"/>
        <w:rPr>
          <w:rFonts w:asciiTheme="minorHAnsi" w:hAnsiTheme="minorHAnsi" w:cstheme="minorHAnsi"/>
          <w:sz w:val="26"/>
          <w:szCs w:val="26"/>
        </w:rPr>
      </w:pPr>
      <w:r w:rsidRPr="002B1A17">
        <w:rPr>
          <w:rStyle w:val="Strong"/>
          <w:rFonts w:asciiTheme="minorHAnsi" w:hAnsiTheme="minorHAnsi" w:cstheme="minorHAnsi"/>
          <w:b/>
          <w:bCs w:val="0"/>
          <w:sz w:val="26"/>
          <w:szCs w:val="26"/>
        </w:rPr>
        <w:t>Expected Outcomes and Benefits</w:t>
      </w:r>
      <w:r w:rsidRPr="002B1A17">
        <w:rPr>
          <w:rFonts w:asciiTheme="minorHAnsi" w:hAnsiTheme="minorHAnsi" w:cstheme="minorHAnsi"/>
          <w:sz w:val="26"/>
          <w:szCs w:val="26"/>
        </w:rPr>
        <w:t>:</w:t>
      </w:r>
    </w:p>
    <w:p w14:paraId="7AABE8EC" w14:textId="77777777" w:rsidR="003A6273" w:rsidRPr="002B1A17" w:rsidRDefault="003A6273" w:rsidP="002C1FD1">
      <w:pPr>
        <w:pStyle w:val="Heading3"/>
        <w:keepNext w:val="0"/>
        <w:keepLines w:val="0"/>
        <w:numPr>
          <w:ilvl w:val="0"/>
          <w:numId w:val="5"/>
        </w:numPr>
        <w:tabs>
          <w:tab w:val="clear" w:pos="567"/>
          <w:tab w:val="clear" w:pos="1134"/>
          <w:tab w:val="clear" w:pos="1701"/>
          <w:tab w:val="clear" w:pos="2268"/>
          <w:tab w:val="clear" w:pos="2835"/>
        </w:tabs>
        <w:spacing w:before="120" w:after="120"/>
        <w:ind w:left="851" w:hanging="425"/>
        <w:rPr>
          <w:rFonts w:asciiTheme="minorHAnsi" w:hAnsiTheme="minorHAnsi" w:cstheme="minorHAnsi"/>
        </w:rPr>
      </w:pPr>
      <w:r w:rsidRPr="002B1A17">
        <w:rPr>
          <w:rStyle w:val="Strong"/>
          <w:rFonts w:asciiTheme="minorHAnsi" w:hAnsiTheme="minorHAnsi" w:cstheme="minorHAnsi"/>
          <w:b/>
          <w:bCs w:val="0"/>
        </w:rPr>
        <w:t>Cost Reduction through Simplified Processes</w:t>
      </w:r>
      <w:r w:rsidRPr="002B1A17">
        <w:rPr>
          <w:rFonts w:asciiTheme="minorHAnsi" w:hAnsiTheme="minorHAnsi" w:cstheme="minorHAnsi"/>
        </w:rPr>
        <w:t xml:space="preserve"> </w:t>
      </w:r>
    </w:p>
    <w:p w14:paraId="30139501" w14:textId="77777777" w:rsidR="003A6273" w:rsidRPr="002B1A17" w:rsidRDefault="003A6273" w:rsidP="008A7D43">
      <w:pPr>
        <w:tabs>
          <w:tab w:val="clear" w:pos="567"/>
          <w:tab w:val="clear" w:pos="1134"/>
          <w:tab w:val="clear" w:pos="1701"/>
          <w:tab w:val="clear" w:pos="2268"/>
          <w:tab w:val="clear" w:pos="2835"/>
        </w:tabs>
        <w:spacing w:after="120"/>
        <w:rPr>
          <w:rFonts w:asciiTheme="minorHAnsi" w:hAnsiTheme="minorHAnsi" w:cstheme="minorHAnsi"/>
        </w:rPr>
      </w:pPr>
      <w:r w:rsidRPr="002B1A17">
        <w:rPr>
          <w:rFonts w:asciiTheme="minorHAnsi" w:hAnsiTheme="minorHAnsi" w:cstheme="minorHAnsi"/>
        </w:rPr>
        <w:t xml:space="preserve">Streamlining governance structures, reducing time spent on bureaucratic approval cycles, and automating services can </w:t>
      </w:r>
      <w:r w:rsidRPr="002B1A17">
        <w:rPr>
          <w:rStyle w:val="Strong"/>
          <w:rFonts w:asciiTheme="minorHAnsi" w:hAnsiTheme="minorHAnsi" w:cstheme="minorHAnsi"/>
          <w:b w:val="0"/>
          <w:bCs w:val="0"/>
        </w:rPr>
        <w:t>reduce overhead costs</w:t>
      </w:r>
      <w:r w:rsidRPr="002B1A17">
        <w:rPr>
          <w:rFonts w:asciiTheme="minorHAnsi" w:hAnsiTheme="minorHAnsi" w:cstheme="minorHAnsi"/>
          <w:b/>
          <w:bCs/>
        </w:rPr>
        <w:t>,</w:t>
      </w:r>
      <w:r w:rsidRPr="002B1A17">
        <w:rPr>
          <w:rFonts w:asciiTheme="minorHAnsi" w:hAnsiTheme="minorHAnsi" w:cstheme="minorHAnsi"/>
        </w:rPr>
        <w:t xml:space="preserve"> helping the ITU optimize its financial resources and ensuring that more funds are directed toward the strategic initiatives.</w:t>
      </w:r>
    </w:p>
    <w:p w14:paraId="7A481729" w14:textId="77777777" w:rsidR="003A6273" w:rsidRPr="002B1A17" w:rsidRDefault="003A6273" w:rsidP="002C1FD1">
      <w:pPr>
        <w:pStyle w:val="Heading3"/>
        <w:keepNext w:val="0"/>
        <w:keepLines w:val="0"/>
        <w:numPr>
          <w:ilvl w:val="0"/>
          <w:numId w:val="5"/>
        </w:numPr>
        <w:tabs>
          <w:tab w:val="clear" w:pos="567"/>
          <w:tab w:val="clear" w:pos="1134"/>
          <w:tab w:val="clear" w:pos="1701"/>
          <w:tab w:val="clear" w:pos="2268"/>
          <w:tab w:val="clear" w:pos="2835"/>
        </w:tabs>
        <w:spacing w:before="120" w:after="120"/>
        <w:ind w:left="851" w:hanging="425"/>
        <w:rPr>
          <w:rFonts w:asciiTheme="minorHAnsi" w:hAnsiTheme="minorHAnsi" w:cstheme="minorHAnsi"/>
        </w:rPr>
      </w:pPr>
      <w:r w:rsidRPr="002B1A17">
        <w:rPr>
          <w:rStyle w:val="Strong"/>
          <w:rFonts w:asciiTheme="minorHAnsi" w:hAnsiTheme="minorHAnsi" w:cstheme="minorHAnsi"/>
          <w:b/>
          <w:bCs w:val="0"/>
        </w:rPr>
        <w:t>Incorporating Data-Driven Decision Making</w:t>
      </w:r>
      <w:r w:rsidRPr="002B1A17">
        <w:rPr>
          <w:rFonts w:asciiTheme="minorHAnsi" w:hAnsiTheme="minorHAnsi" w:cstheme="minorHAnsi"/>
        </w:rPr>
        <w:t>:</w:t>
      </w:r>
    </w:p>
    <w:p w14:paraId="3AAD6AE5" w14:textId="77777777" w:rsidR="003A6273" w:rsidRPr="002B1A17" w:rsidRDefault="003A6273" w:rsidP="008A7D43">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rPr>
      </w:pPr>
      <w:r w:rsidRPr="002B1A17">
        <w:rPr>
          <w:rFonts w:asciiTheme="minorHAnsi" w:hAnsiTheme="minorHAnsi" w:cstheme="minorHAnsi"/>
        </w:rPr>
        <w:t>With data-driven insights, the organization would enhance its ability to identify which areas are facing delays or inefficiencies, the organization can adjust resources or timelines in real time, ensuring that its strategy remains flexible and responsive to emerging global ICT needs.</w:t>
      </w:r>
    </w:p>
    <w:p w14:paraId="27708672" w14:textId="77777777" w:rsidR="003A6273" w:rsidRPr="002B1A17" w:rsidRDefault="003A6273" w:rsidP="008A7D43">
      <w:pPr>
        <w:pStyle w:val="Heading3"/>
        <w:keepNext w:val="0"/>
        <w:keepLines w:val="0"/>
        <w:numPr>
          <w:ilvl w:val="0"/>
          <w:numId w:val="2"/>
        </w:numPr>
        <w:tabs>
          <w:tab w:val="clear" w:pos="567"/>
          <w:tab w:val="clear" w:pos="1134"/>
          <w:tab w:val="clear" w:pos="1701"/>
          <w:tab w:val="clear" w:pos="2268"/>
          <w:tab w:val="clear" w:pos="2835"/>
        </w:tabs>
        <w:spacing w:before="120" w:after="120"/>
        <w:ind w:left="0" w:firstLine="0"/>
        <w:rPr>
          <w:rFonts w:asciiTheme="minorHAnsi" w:hAnsiTheme="minorHAnsi" w:cstheme="minorHAnsi"/>
          <w:sz w:val="26"/>
          <w:szCs w:val="26"/>
        </w:rPr>
      </w:pPr>
      <w:r w:rsidRPr="002B1A17">
        <w:rPr>
          <w:rStyle w:val="Strong"/>
          <w:rFonts w:asciiTheme="minorHAnsi" w:hAnsiTheme="minorHAnsi" w:cstheme="minorHAnsi"/>
          <w:b/>
          <w:bCs w:val="0"/>
          <w:sz w:val="26"/>
          <w:szCs w:val="26"/>
        </w:rPr>
        <w:lastRenderedPageBreak/>
        <w:t>Conclusion</w:t>
      </w:r>
      <w:r w:rsidRPr="002B1A17">
        <w:rPr>
          <w:rFonts w:asciiTheme="minorHAnsi" w:hAnsiTheme="minorHAnsi" w:cstheme="minorHAnsi"/>
          <w:sz w:val="26"/>
          <w:szCs w:val="26"/>
        </w:rPr>
        <w:t>:</w:t>
      </w:r>
    </w:p>
    <w:p w14:paraId="22E29AB5" w14:textId="77777777" w:rsidR="003A6273" w:rsidRPr="002B1A17" w:rsidRDefault="003A6273" w:rsidP="008A7D43">
      <w:pPr>
        <w:pStyle w:val="NormalWeb"/>
        <w:spacing w:before="120" w:beforeAutospacing="0" w:after="120" w:afterAutospacing="0"/>
        <w:rPr>
          <w:rFonts w:asciiTheme="minorHAnsi" w:hAnsiTheme="minorHAnsi" w:cstheme="minorHAnsi"/>
        </w:rPr>
      </w:pPr>
      <w:r w:rsidRPr="002B1A17">
        <w:rPr>
          <w:rFonts w:asciiTheme="minorHAnsi" w:hAnsiTheme="minorHAnsi" w:cstheme="minorHAnsi"/>
        </w:rPr>
        <w:t xml:space="preserve">The UAE’s Zero Government Bureaucracy Program presents encourages reducing inefficiencies and promoting innovation in government services. The ITU is therefore encouraged to incorporate these principles into its Strategic and Financial Plans to support the work of the CWG SFP. </w:t>
      </w:r>
    </w:p>
    <w:p w14:paraId="257674B4" w14:textId="7D70107F" w:rsidR="00A514A4" w:rsidRPr="002B1A17" w:rsidRDefault="008A7D43" w:rsidP="008A7D43">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hAnsiTheme="minorHAnsi" w:cstheme="minorHAnsi"/>
          <w:lang w:val="en-US"/>
        </w:rPr>
      </w:pPr>
      <w:r w:rsidRPr="002B1A17">
        <w:rPr>
          <w:rFonts w:asciiTheme="minorHAnsi" w:hAnsiTheme="minorHAnsi" w:cstheme="minorHAnsi"/>
          <w:lang w:val="en-US"/>
        </w:rPr>
        <w:t>______________</w:t>
      </w:r>
    </w:p>
    <w:sectPr w:rsidR="00A514A4" w:rsidRPr="002B1A17"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526F6" w14:textId="77777777" w:rsidR="000370C4" w:rsidRDefault="000370C4">
      <w:r>
        <w:separator/>
      </w:r>
    </w:p>
  </w:endnote>
  <w:endnote w:type="continuationSeparator" w:id="0">
    <w:p w14:paraId="66B67670" w14:textId="77777777" w:rsidR="000370C4" w:rsidRDefault="0003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0ADC8A39" w:rsidR="00EE49E8" w:rsidRDefault="00EE49E8" w:rsidP="00EE49E8">
          <w:pPr>
            <w:pStyle w:val="Header"/>
            <w:jc w:val="left"/>
            <w:rPr>
              <w:noProof/>
            </w:rPr>
          </w:pPr>
        </w:p>
      </w:tc>
      <w:tc>
        <w:tcPr>
          <w:tcW w:w="8261" w:type="dxa"/>
        </w:tcPr>
        <w:p w14:paraId="2D49E76E" w14:textId="575DD2FF"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40688">
            <w:rPr>
              <w:bCs/>
            </w:rPr>
            <w:t>SFP-1</w:t>
          </w:r>
          <w:r w:rsidR="00A52C84" w:rsidRPr="00623AE3">
            <w:rPr>
              <w:bCs/>
            </w:rPr>
            <w:t>/</w:t>
          </w:r>
          <w:r w:rsidR="001E32C5">
            <w:rPr>
              <w:bCs/>
            </w:rPr>
            <w:t>8</w:t>
          </w:r>
          <w:r w:rsidR="00A52C84" w:rsidRPr="00623AE3">
            <w:rPr>
              <w:bCs/>
            </w:rPr>
            <w:t>-E</w:t>
          </w:r>
          <w:r>
            <w:rPr>
              <w:bCs/>
            </w:rPr>
            <w:tab/>
          </w:r>
          <w:r>
            <w:fldChar w:fldCharType="begin"/>
          </w:r>
          <w:r>
            <w:instrText>PAGE</w:instrText>
          </w:r>
          <w:r>
            <w:fldChar w:fldCharType="separate"/>
          </w:r>
          <w:r w:rsidR="004F218A">
            <w:rPr>
              <w:noProof/>
            </w:rPr>
            <w:t>2</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623A2EE3"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640688">
            <w:rPr>
              <w:bCs/>
            </w:rPr>
            <w:t>SFP-1</w:t>
          </w:r>
          <w:r w:rsidRPr="00623AE3">
            <w:rPr>
              <w:bCs/>
            </w:rPr>
            <w:t>/</w:t>
          </w:r>
          <w:r w:rsidR="001E32C5">
            <w:rPr>
              <w:bCs/>
            </w:rPr>
            <w:t>8</w:t>
          </w:r>
          <w:r w:rsidRPr="00623AE3">
            <w:rPr>
              <w:bCs/>
            </w:rPr>
            <w:t>-E</w:t>
          </w:r>
          <w:r>
            <w:rPr>
              <w:bCs/>
            </w:rPr>
            <w:tab/>
          </w:r>
          <w:r>
            <w:fldChar w:fldCharType="begin"/>
          </w:r>
          <w:r>
            <w:instrText>PAGE</w:instrText>
          </w:r>
          <w:r>
            <w:fldChar w:fldCharType="separate"/>
          </w:r>
          <w:r w:rsidR="00A851C4">
            <w:rPr>
              <w:noProof/>
            </w:rP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0C4D1" w14:textId="77777777" w:rsidR="000370C4" w:rsidRDefault="000370C4">
      <w:r>
        <w:t>____________________</w:t>
      </w:r>
    </w:p>
  </w:footnote>
  <w:footnote w:type="continuationSeparator" w:id="0">
    <w:p w14:paraId="4BF1C04A" w14:textId="77777777" w:rsidR="000370C4" w:rsidRDefault="00037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lang w:val="en-US"/>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lang w:val="en-US"/>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lang w:val="en-US"/>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145CEB67" w:rsidR="00130599" w:rsidRDefault="00130599" w:rsidP="00130599">
                          <w:pPr>
                            <w:spacing w:before="0"/>
                          </w:pPr>
                          <w:r w:rsidRPr="00F74694">
                            <w:rPr>
                              <w:b/>
                              <w:bCs/>
                              <w:szCs w:val="24"/>
                            </w:rPr>
                            <w:t xml:space="preserve">Council Working Group </w:t>
                          </w:r>
                          <w:r w:rsidR="00F74694" w:rsidRPr="00F74694">
                            <w:rPr>
                              <w:b/>
                              <w:bCs/>
                              <w:szCs w:val="24"/>
                            </w:rPr>
                            <w:br/>
                          </w:r>
                          <w:r w:rsidR="00640688">
                            <w:rPr>
                              <w:b/>
                              <w:bCs/>
                              <w:szCs w:val="24"/>
                            </w:rPr>
                            <w:t>for strategic and financial plans 2028-2031</w:t>
                          </w:r>
                          <w:r>
                            <w:br/>
                          </w:r>
                          <w:r w:rsidR="00640688">
                            <w:rPr>
                              <w:sz w:val="20"/>
                            </w:rPr>
                            <w:t>First</w:t>
                          </w:r>
                          <w:r w:rsidRPr="00130599">
                            <w:rPr>
                              <w:sz w:val="20"/>
                            </w:rPr>
                            <w:t xml:space="preserve"> meeting </w:t>
                          </w:r>
                          <w:r w:rsidR="00A94376">
                            <w:rPr>
                              <w:sz w:val="20"/>
                            </w:rPr>
                            <w:t>–</w:t>
                          </w:r>
                          <w:r w:rsidR="00B358B2">
                            <w:rPr>
                              <w:sz w:val="20"/>
                            </w:rPr>
                            <w:t xml:space="preserve"> </w:t>
                          </w:r>
                          <w:r w:rsidR="00E03C3D">
                            <w:rPr>
                              <w:sz w:val="20"/>
                            </w:rPr>
                            <w:t xml:space="preserve">From </w:t>
                          </w:r>
                          <w:r w:rsidR="00640688">
                            <w:rPr>
                              <w:sz w:val="20"/>
                            </w:rPr>
                            <w:t>10 to 11</w:t>
                          </w:r>
                          <w:r w:rsidR="00E03C3D">
                            <w:rPr>
                              <w:sz w:val="20"/>
                            </w:rPr>
                            <w:t xml:space="preserve">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145CEB67" w:rsidR="00130599" w:rsidRDefault="00130599" w:rsidP="00130599">
                    <w:pPr>
                      <w:spacing w:before="0"/>
                    </w:pPr>
                    <w:r w:rsidRPr="00F74694">
                      <w:rPr>
                        <w:b/>
                        <w:bCs/>
                        <w:szCs w:val="24"/>
                      </w:rPr>
                      <w:t xml:space="preserve">Council Working Group </w:t>
                    </w:r>
                    <w:r w:rsidR="00F74694" w:rsidRPr="00F74694">
                      <w:rPr>
                        <w:b/>
                        <w:bCs/>
                        <w:szCs w:val="24"/>
                      </w:rPr>
                      <w:br/>
                    </w:r>
                    <w:r w:rsidR="00640688">
                      <w:rPr>
                        <w:b/>
                        <w:bCs/>
                        <w:szCs w:val="24"/>
                      </w:rPr>
                      <w:t>for strategic and financial plans 2028-2031</w:t>
                    </w:r>
                    <w:r>
                      <w:br/>
                    </w:r>
                    <w:r w:rsidR="00640688">
                      <w:rPr>
                        <w:sz w:val="20"/>
                      </w:rPr>
                      <w:t>First</w:t>
                    </w:r>
                    <w:r w:rsidRPr="00130599">
                      <w:rPr>
                        <w:sz w:val="20"/>
                      </w:rPr>
                      <w:t xml:space="preserve"> meeting </w:t>
                    </w:r>
                    <w:r w:rsidR="00A94376">
                      <w:rPr>
                        <w:sz w:val="20"/>
                      </w:rPr>
                      <w:t>–</w:t>
                    </w:r>
                    <w:r w:rsidR="00B358B2">
                      <w:rPr>
                        <w:sz w:val="20"/>
                      </w:rPr>
                      <w:t xml:space="preserve"> </w:t>
                    </w:r>
                    <w:r w:rsidR="00E03C3D">
                      <w:rPr>
                        <w:sz w:val="20"/>
                      </w:rPr>
                      <w:t xml:space="preserve">From </w:t>
                    </w:r>
                    <w:r w:rsidR="00640688">
                      <w:rPr>
                        <w:sz w:val="20"/>
                      </w:rPr>
                      <w:t>10 to 11</w:t>
                    </w:r>
                    <w:r w:rsidR="00E03C3D">
                      <w:rPr>
                        <w:sz w:val="20"/>
                      </w:rPr>
                      <w:t xml:space="preserve">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6A2D7C"/>
    <w:multiLevelType w:val="hybridMultilevel"/>
    <w:tmpl w:val="5E4E4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124882"/>
    <w:multiLevelType w:val="hybridMultilevel"/>
    <w:tmpl w:val="8F1A5546"/>
    <w:lvl w:ilvl="0" w:tplc="F9CC9C44">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E47A1"/>
    <w:multiLevelType w:val="hybridMultilevel"/>
    <w:tmpl w:val="E9CE0462"/>
    <w:lvl w:ilvl="0" w:tplc="9C76E05E">
      <w:start w:val="1"/>
      <w:numFmt w:val="upperRoman"/>
      <w:lvlText w:val="%1."/>
      <w:lvlJc w:val="left"/>
      <w:pPr>
        <w:ind w:left="630" w:hanging="360"/>
      </w:pPr>
      <w:rPr>
        <w:rFonts w:hint="default"/>
        <w:b/>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54F04685"/>
    <w:multiLevelType w:val="hybridMultilevel"/>
    <w:tmpl w:val="3A5C4C6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123113673">
    <w:abstractNumId w:val="0"/>
  </w:num>
  <w:num w:numId="2" w16cid:durableId="358705330">
    <w:abstractNumId w:val="3"/>
  </w:num>
  <w:num w:numId="3" w16cid:durableId="1129201276">
    <w:abstractNumId w:val="1"/>
  </w:num>
  <w:num w:numId="4" w16cid:durableId="461459011">
    <w:abstractNumId w:val="2"/>
  </w:num>
  <w:num w:numId="5" w16cid:durableId="1685355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E2"/>
    <w:rsid w:val="00002195"/>
    <w:rsid w:val="000210D4"/>
    <w:rsid w:val="0003388A"/>
    <w:rsid w:val="000370C4"/>
    <w:rsid w:val="00063016"/>
    <w:rsid w:val="00066795"/>
    <w:rsid w:val="00076AF6"/>
    <w:rsid w:val="00085CF2"/>
    <w:rsid w:val="000B1705"/>
    <w:rsid w:val="000C2E5C"/>
    <w:rsid w:val="000D75B2"/>
    <w:rsid w:val="001121F5"/>
    <w:rsid w:val="00130599"/>
    <w:rsid w:val="001400DC"/>
    <w:rsid w:val="00140CE1"/>
    <w:rsid w:val="001751FF"/>
    <w:rsid w:val="0017539C"/>
    <w:rsid w:val="00175AC2"/>
    <w:rsid w:val="0017609F"/>
    <w:rsid w:val="0019628A"/>
    <w:rsid w:val="001A7D1D"/>
    <w:rsid w:val="001B51DD"/>
    <w:rsid w:val="001C628E"/>
    <w:rsid w:val="001E0F7B"/>
    <w:rsid w:val="001E0FBE"/>
    <w:rsid w:val="001E32C5"/>
    <w:rsid w:val="002119FD"/>
    <w:rsid w:val="002130E0"/>
    <w:rsid w:val="00215A2C"/>
    <w:rsid w:val="00237054"/>
    <w:rsid w:val="002404ED"/>
    <w:rsid w:val="00244F7F"/>
    <w:rsid w:val="00260ACE"/>
    <w:rsid w:val="00264425"/>
    <w:rsid w:val="00265875"/>
    <w:rsid w:val="0027303B"/>
    <w:rsid w:val="00273D16"/>
    <w:rsid w:val="0028109B"/>
    <w:rsid w:val="002A2188"/>
    <w:rsid w:val="002B1A17"/>
    <w:rsid w:val="002B1F58"/>
    <w:rsid w:val="002C1C7A"/>
    <w:rsid w:val="002C1FD1"/>
    <w:rsid w:val="002C54E2"/>
    <w:rsid w:val="0030160F"/>
    <w:rsid w:val="00320223"/>
    <w:rsid w:val="00322D0D"/>
    <w:rsid w:val="00361465"/>
    <w:rsid w:val="003877F5"/>
    <w:rsid w:val="003942D4"/>
    <w:rsid w:val="003958A8"/>
    <w:rsid w:val="003A6273"/>
    <w:rsid w:val="003C2533"/>
    <w:rsid w:val="003D55B9"/>
    <w:rsid w:val="003D5A7F"/>
    <w:rsid w:val="004016E2"/>
    <w:rsid w:val="0040435A"/>
    <w:rsid w:val="00416A24"/>
    <w:rsid w:val="00431D9E"/>
    <w:rsid w:val="00433CE8"/>
    <w:rsid w:val="0043467D"/>
    <w:rsid w:val="00434A5C"/>
    <w:rsid w:val="004544D9"/>
    <w:rsid w:val="00467B5D"/>
    <w:rsid w:val="00472BAD"/>
    <w:rsid w:val="00473E44"/>
    <w:rsid w:val="00484009"/>
    <w:rsid w:val="00490E72"/>
    <w:rsid w:val="00491157"/>
    <w:rsid w:val="004921C8"/>
    <w:rsid w:val="00495B0B"/>
    <w:rsid w:val="004A1447"/>
    <w:rsid w:val="004A1B8B"/>
    <w:rsid w:val="004D1851"/>
    <w:rsid w:val="004D599D"/>
    <w:rsid w:val="004E2037"/>
    <w:rsid w:val="004E2EA5"/>
    <w:rsid w:val="004E3AEB"/>
    <w:rsid w:val="004F218A"/>
    <w:rsid w:val="0050223C"/>
    <w:rsid w:val="005243FF"/>
    <w:rsid w:val="00564FBC"/>
    <w:rsid w:val="005800BC"/>
    <w:rsid w:val="00582442"/>
    <w:rsid w:val="005A335D"/>
    <w:rsid w:val="005E2BD5"/>
    <w:rsid w:val="005E413D"/>
    <w:rsid w:val="005F3269"/>
    <w:rsid w:val="005F55E2"/>
    <w:rsid w:val="00623AE3"/>
    <w:rsid w:val="00634501"/>
    <w:rsid w:val="00640688"/>
    <w:rsid w:val="0064737F"/>
    <w:rsid w:val="006535F1"/>
    <w:rsid w:val="0065557D"/>
    <w:rsid w:val="00660D50"/>
    <w:rsid w:val="00662984"/>
    <w:rsid w:val="006716BB"/>
    <w:rsid w:val="00676C7D"/>
    <w:rsid w:val="006B1859"/>
    <w:rsid w:val="006B6680"/>
    <w:rsid w:val="006B6DCC"/>
    <w:rsid w:val="006D4FA2"/>
    <w:rsid w:val="00702DEF"/>
    <w:rsid w:val="00706861"/>
    <w:rsid w:val="0075051B"/>
    <w:rsid w:val="00775655"/>
    <w:rsid w:val="00793188"/>
    <w:rsid w:val="00794D34"/>
    <w:rsid w:val="007C458A"/>
    <w:rsid w:val="00813E5E"/>
    <w:rsid w:val="0083581B"/>
    <w:rsid w:val="00863874"/>
    <w:rsid w:val="00864AFF"/>
    <w:rsid w:val="00865925"/>
    <w:rsid w:val="00891503"/>
    <w:rsid w:val="008A7D43"/>
    <w:rsid w:val="008B4A6A"/>
    <w:rsid w:val="008C71C7"/>
    <w:rsid w:val="008C7E27"/>
    <w:rsid w:val="008F7448"/>
    <w:rsid w:val="0090147A"/>
    <w:rsid w:val="009173EF"/>
    <w:rsid w:val="00932906"/>
    <w:rsid w:val="00961B0B"/>
    <w:rsid w:val="00962D33"/>
    <w:rsid w:val="00971C28"/>
    <w:rsid w:val="009B2D4B"/>
    <w:rsid w:val="009B38C3"/>
    <w:rsid w:val="009C253A"/>
    <w:rsid w:val="009E17BD"/>
    <w:rsid w:val="009E485A"/>
    <w:rsid w:val="009F347C"/>
    <w:rsid w:val="00A046E5"/>
    <w:rsid w:val="00A04CEC"/>
    <w:rsid w:val="00A27F92"/>
    <w:rsid w:val="00A32257"/>
    <w:rsid w:val="00A34664"/>
    <w:rsid w:val="00A36D20"/>
    <w:rsid w:val="00A42F6A"/>
    <w:rsid w:val="00A514A4"/>
    <w:rsid w:val="00A52C84"/>
    <w:rsid w:val="00A55622"/>
    <w:rsid w:val="00A83502"/>
    <w:rsid w:val="00A851C4"/>
    <w:rsid w:val="00A94376"/>
    <w:rsid w:val="00AB6C4C"/>
    <w:rsid w:val="00AD15B3"/>
    <w:rsid w:val="00AD3606"/>
    <w:rsid w:val="00AD4A3D"/>
    <w:rsid w:val="00AF6E49"/>
    <w:rsid w:val="00B04A67"/>
    <w:rsid w:val="00B0583C"/>
    <w:rsid w:val="00B358B2"/>
    <w:rsid w:val="00B40A81"/>
    <w:rsid w:val="00B44910"/>
    <w:rsid w:val="00B72267"/>
    <w:rsid w:val="00B76EB6"/>
    <w:rsid w:val="00B7737B"/>
    <w:rsid w:val="00B824C8"/>
    <w:rsid w:val="00B84B9D"/>
    <w:rsid w:val="00BC251A"/>
    <w:rsid w:val="00BD032B"/>
    <w:rsid w:val="00BD1693"/>
    <w:rsid w:val="00BD6503"/>
    <w:rsid w:val="00BE2640"/>
    <w:rsid w:val="00BF44BB"/>
    <w:rsid w:val="00C01189"/>
    <w:rsid w:val="00C30831"/>
    <w:rsid w:val="00C374DE"/>
    <w:rsid w:val="00C47AD4"/>
    <w:rsid w:val="00C52D81"/>
    <w:rsid w:val="00C55198"/>
    <w:rsid w:val="00CA6393"/>
    <w:rsid w:val="00CA7CB8"/>
    <w:rsid w:val="00CB18FF"/>
    <w:rsid w:val="00CD0C08"/>
    <w:rsid w:val="00CE03FB"/>
    <w:rsid w:val="00CE433C"/>
    <w:rsid w:val="00CF0161"/>
    <w:rsid w:val="00CF33F3"/>
    <w:rsid w:val="00D06183"/>
    <w:rsid w:val="00D14C39"/>
    <w:rsid w:val="00D22C42"/>
    <w:rsid w:val="00D34E07"/>
    <w:rsid w:val="00D464CC"/>
    <w:rsid w:val="00D65041"/>
    <w:rsid w:val="00DB00D5"/>
    <w:rsid w:val="00DB1936"/>
    <w:rsid w:val="00DB384B"/>
    <w:rsid w:val="00DC1F70"/>
    <w:rsid w:val="00DF0189"/>
    <w:rsid w:val="00E03C3D"/>
    <w:rsid w:val="00E06FD5"/>
    <w:rsid w:val="00E10E80"/>
    <w:rsid w:val="00E124F0"/>
    <w:rsid w:val="00E227F3"/>
    <w:rsid w:val="00E545C6"/>
    <w:rsid w:val="00E60F04"/>
    <w:rsid w:val="00E65B24"/>
    <w:rsid w:val="00E854E4"/>
    <w:rsid w:val="00E86DBF"/>
    <w:rsid w:val="00EA4273"/>
    <w:rsid w:val="00EB0D6F"/>
    <w:rsid w:val="00EB2232"/>
    <w:rsid w:val="00EC5337"/>
    <w:rsid w:val="00ED454D"/>
    <w:rsid w:val="00EE49E8"/>
    <w:rsid w:val="00F16BAB"/>
    <w:rsid w:val="00F2150A"/>
    <w:rsid w:val="00F231D8"/>
    <w:rsid w:val="00F264CE"/>
    <w:rsid w:val="00F44C00"/>
    <w:rsid w:val="00F45D2C"/>
    <w:rsid w:val="00F46C5F"/>
    <w:rsid w:val="00F632C0"/>
    <w:rsid w:val="00F74694"/>
    <w:rsid w:val="00F94A63"/>
    <w:rsid w:val="00FA1C28"/>
    <w:rsid w:val="00FB1279"/>
    <w:rsid w:val="00FB6B76"/>
    <w:rsid w:val="00FB7596"/>
    <w:rsid w:val="00FD701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FD7016"/>
    <w:rPr>
      <w:color w:val="605E5C"/>
      <w:shd w:val="clear" w:color="auto" w:fill="E1DFDD"/>
    </w:rPr>
  </w:style>
  <w:style w:type="paragraph" w:styleId="NormalWeb">
    <w:name w:val="Normal (Web)"/>
    <w:basedOn w:val="Normal"/>
    <w:uiPriority w:val="99"/>
    <w:unhideWhenUsed/>
    <w:rsid w:val="003A627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Strong">
    <w:name w:val="Strong"/>
    <w:basedOn w:val="DefaultParagraphFont"/>
    <w:uiPriority w:val="22"/>
    <w:qFormat/>
    <w:rsid w:val="003A6273"/>
    <w:rPr>
      <w:b/>
      <w:bCs/>
    </w:rPr>
  </w:style>
  <w:style w:type="paragraph" w:styleId="ListParagraph">
    <w:name w:val="List Paragraph"/>
    <w:basedOn w:val="Normal"/>
    <w:uiPriority w:val="34"/>
    <w:qFormat/>
    <w:rsid w:val="006D4FA2"/>
    <w:pPr>
      <w:ind w:left="720"/>
      <w:contextualSpacing/>
    </w:pPr>
  </w:style>
  <w:style w:type="character" w:styleId="CommentReference">
    <w:name w:val="annotation reference"/>
    <w:basedOn w:val="DefaultParagraphFont"/>
    <w:semiHidden/>
    <w:unhideWhenUsed/>
    <w:rsid w:val="00BF44BB"/>
    <w:rPr>
      <w:sz w:val="16"/>
      <w:szCs w:val="16"/>
    </w:rPr>
  </w:style>
  <w:style w:type="paragraph" w:styleId="CommentText">
    <w:name w:val="annotation text"/>
    <w:basedOn w:val="Normal"/>
    <w:link w:val="CommentTextChar"/>
    <w:semiHidden/>
    <w:unhideWhenUsed/>
    <w:rsid w:val="00BF44BB"/>
    <w:rPr>
      <w:sz w:val="20"/>
    </w:rPr>
  </w:style>
  <w:style w:type="character" w:customStyle="1" w:styleId="CommentTextChar">
    <w:name w:val="Comment Text Char"/>
    <w:basedOn w:val="DefaultParagraphFont"/>
    <w:link w:val="CommentText"/>
    <w:semiHidden/>
    <w:rsid w:val="00BF44BB"/>
    <w:rPr>
      <w:rFonts w:ascii="Calibri" w:hAnsi="Calibri"/>
      <w:lang w:val="en-GB" w:eastAsia="en-US"/>
    </w:rPr>
  </w:style>
  <w:style w:type="paragraph" w:styleId="CommentSubject">
    <w:name w:val="annotation subject"/>
    <w:basedOn w:val="CommentText"/>
    <w:next w:val="CommentText"/>
    <w:link w:val="CommentSubjectChar"/>
    <w:semiHidden/>
    <w:unhideWhenUsed/>
    <w:rsid w:val="00BF44BB"/>
    <w:rPr>
      <w:b/>
      <w:bCs/>
    </w:rPr>
  </w:style>
  <w:style w:type="character" w:customStyle="1" w:styleId="CommentSubjectChar">
    <w:name w:val="Comment Subject Char"/>
    <w:basedOn w:val="CommentTextChar"/>
    <w:link w:val="CommentSubject"/>
    <w:semiHidden/>
    <w:rsid w:val="00BF44BB"/>
    <w:rPr>
      <w:rFonts w:ascii="Calibri" w:hAnsi="Calibri"/>
      <w:b/>
      <w:bCs/>
      <w:lang w:val="en-GB" w:eastAsia="en-US"/>
    </w:rPr>
  </w:style>
  <w:style w:type="paragraph" w:styleId="BalloonText">
    <w:name w:val="Balloon Text"/>
    <w:basedOn w:val="Normal"/>
    <w:link w:val="BalloonTextChar"/>
    <w:semiHidden/>
    <w:unhideWhenUsed/>
    <w:rsid w:val="00BF44B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F44BB"/>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1E3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L-C-0139/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B2CFD4-1004-4C22-845B-AB7BC28D09C6}">
  <ds:schemaRefs>
    <ds:schemaRef ds:uri="http://schemas.openxmlformats.org/officeDocument/2006/bibliography"/>
  </ds:schemaRefs>
</ds:datastoreItem>
</file>

<file path=customXml/itemProps2.xml><?xml version="1.0" encoding="utf-8"?>
<ds:datastoreItem xmlns:ds="http://schemas.openxmlformats.org/officeDocument/2006/customXml" ds:itemID="{493B51E5-6297-42CF-89B9-22D30F7E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BEBAA-DB46-4263-9455-9CD345DF6910}">
  <ds:schemaRefs>
    <ds:schemaRef ds:uri="http://schemas.microsoft.com/sharepoint/v3/contenttype/forms"/>
  </ds:schemaRefs>
</ds:datastoreItem>
</file>

<file path=customXml/itemProps4.xml><?xml version="1.0" encoding="utf-8"?>
<ds:datastoreItem xmlns:ds="http://schemas.openxmlformats.org/officeDocument/2006/customXml" ds:itemID="{13DA1479-EC9B-4158-92FE-4CB181776DAB}">
  <ds:schemaRefs>
    <ds:schemaRef ds:uri="http://purl.org/dc/terms/"/>
    <ds:schemaRef ds:uri="http://schemas.microsoft.com/sharepoint/v3"/>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1aaea1ea-72e4-4374-b05e-72e2f16fb7a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963</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7029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United Arab Emirate's Strategic Approach: Zero Government Bureaucracy Program</dc:title>
  <dc:subject>ITU Council Working Group on Financial and Human Resources</dc:subject>
  <dc:creator/>
  <cp:keywords>CWG-SFP, C24, Council-24</cp:keywords>
  <dc:description/>
  <cp:lastModifiedBy/>
  <cp:revision>1</cp:revision>
  <dcterms:created xsi:type="dcterms:W3CDTF">2024-09-27T08:46:00Z</dcterms:created>
  <dcterms:modified xsi:type="dcterms:W3CDTF">2024-09-27T09:06:00Z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ies>
</file>