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75165" w14:paraId="0043AC80" w14:textId="77777777" w:rsidTr="643B8041">
        <w:trPr>
          <w:cantSplit/>
          <w:trHeight w:val="23"/>
        </w:trPr>
        <w:tc>
          <w:tcPr>
            <w:tcW w:w="3969" w:type="dxa"/>
            <w:vMerge w:val="restart"/>
            <w:tcMar>
              <w:left w:w="0" w:type="dxa"/>
            </w:tcMar>
          </w:tcPr>
          <w:p w14:paraId="60A806D3" w14:textId="6316C87D" w:rsidR="00AD3606" w:rsidRPr="00E85629" w:rsidRDefault="00AD3606" w:rsidP="4E8602DC">
            <w:pPr>
              <w:tabs>
                <w:tab w:val="left" w:pos="851"/>
              </w:tabs>
              <w:spacing w:before="0" w:line="240" w:lineRule="atLeast"/>
              <w:rPr>
                <w:b/>
                <w:bCs/>
              </w:rPr>
            </w:pPr>
            <w:bookmarkStart w:id="0" w:name="dmeeting"/>
            <w:bookmarkStart w:id="1" w:name="dnum"/>
            <w:bookmarkStart w:id="2" w:name="_Hlk133421839"/>
            <w:bookmarkStart w:id="3" w:name="_Hlk133421856"/>
            <w:bookmarkStart w:id="4" w:name="_Hlk133422370"/>
            <w:bookmarkStart w:id="5" w:name="_Hlk133586559"/>
          </w:p>
        </w:tc>
        <w:tc>
          <w:tcPr>
            <w:tcW w:w="5245" w:type="dxa"/>
          </w:tcPr>
          <w:p w14:paraId="291AB2A2" w14:textId="03B71885" w:rsidR="00AD3606" w:rsidRPr="00A94376" w:rsidRDefault="00AD3606" w:rsidP="00472BAD">
            <w:pPr>
              <w:tabs>
                <w:tab w:val="left" w:pos="851"/>
              </w:tabs>
              <w:spacing w:before="0" w:line="240" w:lineRule="atLeast"/>
              <w:jc w:val="right"/>
              <w:rPr>
                <w:b/>
                <w:lang w:val="it-IT"/>
              </w:rPr>
            </w:pPr>
            <w:r w:rsidRPr="00A94376">
              <w:rPr>
                <w:b/>
                <w:lang w:val="it-IT"/>
              </w:rPr>
              <w:t>Document C</w:t>
            </w:r>
            <w:r w:rsidR="00A52C84" w:rsidRPr="00A94376">
              <w:rPr>
                <w:b/>
                <w:lang w:val="it-IT"/>
              </w:rPr>
              <w:t>WG-</w:t>
            </w:r>
            <w:r w:rsidR="00A34373">
              <w:rPr>
                <w:b/>
                <w:lang w:val="it-IT"/>
              </w:rPr>
              <w:t>SFP</w:t>
            </w:r>
            <w:r w:rsidR="00A52C84" w:rsidRPr="00A94376">
              <w:rPr>
                <w:b/>
                <w:lang w:val="it-IT"/>
              </w:rPr>
              <w:t>-</w:t>
            </w:r>
            <w:r w:rsidR="009F0AE1">
              <w:rPr>
                <w:b/>
                <w:lang w:val="it-IT"/>
              </w:rPr>
              <w:t>1</w:t>
            </w:r>
            <w:r w:rsidRPr="00A94376">
              <w:rPr>
                <w:b/>
                <w:lang w:val="it-IT"/>
              </w:rPr>
              <w:t>/</w:t>
            </w:r>
            <w:r w:rsidR="00E75165">
              <w:rPr>
                <w:b/>
                <w:lang w:val="it-IT"/>
              </w:rPr>
              <w:t>5</w:t>
            </w:r>
            <w:r w:rsidR="00D863CB">
              <w:rPr>
                <w:b/>
                <w:lang w:val="it-IT"/>
              </w:rPr>
              <w:t>-E</w:t>
            </w:r>
          </w:p>
        </w:tc>
      </w:tr>
      <w:tr w:rsidR="00AD3606" w:rsidRPr="00A94376" w14:paraId="789B45BA" w14:textId="77777777" w:rsidTr="643B8041">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792B6B7A" w:rsidR="00AD3606" w:rsidRPr="00A94376" w:rsidRDefault="00E75165" w:rsidP="00AD3606">
            <w:pPr>
              <w:tabs>
                <w:tab w:val="left" w:pos="851"/>
              </w:tabs>
              <w:spacing w:before="0"/>
              <w:jc w:val="right"/>
              <w:rPr>
                <w:b/>
              </w:rPr>
            </w:pPr>
            <w:r>
              <w:rPr>
                <w:b/>
              </w:rPr>
              <w:t>11</w:t>
            </w:r>
            <w:r w:rsidR="000722AC">
              <w:rPr>
                <w:b/>
              </w:rPr>
              <w:t xml:space="preserve"> September</w:t>
            </w:r>
            <w:r w:rsidR="00AD3606" w:rsidRPr="00A94376">
              <w:rPr>
                <w:b/>
              </w:rPr>
              <w:t xml:space="preserve"> 202</w:t>
            </w:r>
            <w:r w:rsidR="00A94376" w:rsidRPr="00A94376">
              <w:rPr>
                <w:b/>
              </w:rPr>
              <w:t>4</w:t>
            </w:r>
          </w:p>
        </w:tc>
      </w:tr>
      <w:tr w:rsidR="00AD3606" w:rsidRPr="00813E5E" w14:paraId="58A84C4A" w14:textId="77777777" w:rsidTr="643B8041">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643B8041">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643B8041">
        <w:trPr>
          <w:cantSplit/>
        </w:trPr>
        <w:tc>
          <w:tcPr>
            <w:tcW w:w="9214" w:type="dxa"/>
            <w:gridSpan w:val="2"/>
            <w:tcMar>
              <w:left w:w="0" w:type="dxa"/>
            </w:tcMar>
          </w:tcPr>
          <w:p w14:paraId="4E7CDB90" w14:textId="2548A618" w:rsidR="00AD3606" w:rsidRPr="00676C7D" w:rsidRDefault="00E75165" w:rsidP="00676C7D">
            <w:pPr>
              <w:pStyle w:val="Source"/>
              <w:framePr w:hSpace="0" w:wrap="auto" w:vAnchor="margin" w:hAnchor="text" w:xAlign="left" w:yAlign="inline"/>
            </w:pPr>
            <w:bookmarkStart w:id="8" w:name="dsource" w:colFirst="0" w:colLast="0"/>
            <w:bookmarkEnd w:id="7"/>
            <w:r>
              <w:t>Report by the Secretary-General</w:t>
            </w:r>
          </w:p>
        </w:tc>
      </w:tr>
      <w:tr w:rsidR="00AD3606" w:rsidRPr="00813E5E" w14:paraId="2340750D" w14:textId="77777777" w:rsidTr="643B8041">
        <w:trPr>
          <w:cantSplit/>
        </w:trPr>
        <w:tc>
          <w:tcPr>
            <w:tcW w:w="9214" w:type="dxa"/>
            <w:gridSpan w:val="2"/>
            <w:tcMar>
              <w:left w:w="0" w:type="dxa"/>
            </w:tcMar>
          </w:tcPr>
          <w:p w14:paraId="47B91AA8" w14:textId="4C15A355" w:rsidR="00326AC6" w:rsidRPr="00676C7D" w:rsidRDefault="5A7220FC" w:rsidP="00676C7D">
            <w:pPr>
              <w:pStyle w:val="Subtitle1"/>
              <w:framePr w:hSpace="0" w:wrap="auto" w:xAlign="left" w:yAlign="inline"/>
              <w:rPr>
                <w:rFonts w:asciiTheme="minorHAnsi" w:hAnsiTheme="minorHAnsi" w:cstheme="minorBidi"/>
              </w:rPr>
            </w:pPr>
            <w:bookmarkStart w:id="9" w:name="dtitle1"/>
            <w:bookmarkStart w:id="10" w:name="_Hlk176969686"/>
            <w:bookmarkEnd w:id="8"/>
            <w:r w:rsidRPr="7494767D">
              <w:rPr>
                <w:rFonts w:asciiTheme="minorHAnsi" w:hAnsiTheme="minorHAnsi" w:cstheme="minorBidi"/>
              </w:rPr>
              <w:t xml:space="preserve">ASSESSMENT OF THE </w:t>
            </w:r>
            <w:r w:rsidR="1071B053" w:rsidRPr="26AA2767">
              <w:rPr>
                <w:rFonts w:asciiTheme="minorHAnsi" w:hAnsiTheme="minorHAnsi" w:cstheme="minorBidi"/>
              </w:rPr>
              <w:t>PRELIMINARY AMOUNT OF THE CONTRIBUTORY UNIT</w:t>
            </w:r>
            <w:bookmarkEnd w:id="10"/>
          </w:p>
        </w:tc>
      </w:tr>
      <w:tr w:rsidR="00AD3606" w:rsidRPr="00813E5E" w14:paraId="1F564D2D" w14:textId="77777777" w:rsidTr="643B8041">
        <w:trPr>
          <w:cantSplit/>
        </w:trPr>
        <w:tc>
          <w:tcPr>
            <w:tcW w:w="9214" w:type="dxa"/>
            <w:gridSpan w:val="2"/>
            <w:tcBorders>
              <w:top w:val="single" w:sz="4" w:space="0" w:color="auto"/>
              <w:bottom w:val="single" w:sz="4" w:space="0" w:color="auto"/>
            </w:tcBorders>
            <w:tcMar>
              <w:left w:w="0" w:type="dxa"/>
            </w:tcMar>
          </w:tcPr>
          <w:p w14:paraId="7AD73B47" w14:textId="3A59D05A" w:rsidR="00AD3606" w:rsidRPr="00D863CB" w:rsidRDefault="00F16BAB" w:rsidP="00B70DFF">
            <w:pPr>
              <w:pStyle w:val="Headingb"/>
            </w:pPr>
            <w:r w:rsidRPr="00D863CB">
              <w:t>Purpose</w:t>
            </w:r>
          </w:p>
          <w:p w14:paraId="239B996C" w14:textId="3F8AF82B" w:rsidR="002B35DF" w:rsidRPr="004931E0" w:rsidRDefault="005B2B15" w:rsidP="00E75165">
            <w:pPr>
              <w:tabs>
                <w:tab w:val="clear" w:pos="567"/>
                <w:tab w:val="clear" w:pos="1134"/>
                <w:tab w:val="clear" w:pos="1701"/>
                <w:tab w:val="clear" w:pos="2268"/>
                <w:tab w:val="clear" w:pos="2835"/>
              </w:tabs>
              <w:snapToGrid w:val="0"/>
              <w:spacing w:after="120"/>
              <w:jc w:val="both"/>
              <w:rPr>
                <w:rFonts w:eastAsia="SimSun" w:cs="Calibri"/>
                <w:lang w:val="en-US" w:eastAsia="zh-CN"/>
              </w:rPr>
            </w:pPr>
            <w:r w:rsidRPr="643B8041">
              <w:rPr>
                <w:rFonts w:eastAsia="SimSun" w:cs="Calibri"/>
                <w:lang w:val="en-US" w:eastAsia="zh-CN"/>
              </w:rPr>
              <w:t xml:space="preserve">According to Article 28, No. 161B of the Constitution, at its session preceding the plenipotentiary conference, the Council shall fix the provisional amount of the contributory unit. </w:t>
            </w:r>
            <w:r w:rsidR="00FA7A3B" w:rsidRPr="643B8041">
              <w:rPr>
                <w:rFonts w:eastAsia="SimSun" w:cs="Calibri"/>
                <w:lang w:val="en-US" w:eastAsia="zh-CN"/>
              </w:rPr>
              <w:t>Based on the input from Council, the</w:t>
            </w:r>
            <w:r w:rsidR="002B35DF" w:rsidRPr="643B8041">
              <w:rPr>
                <w:rFonts w:eastAsia="SimSun" w:cs="Calibri"/>
                <w:lang w:val="en-US" w:eastAsia="zh-CN"/>
              </w:rPr>
              <w:t xml:space="preserve"> Plenipotentiary Conference </w:t>
            </w:r>
            <w:r w:rsidR="00FA7A3B" w:rsidRPr="643B8041">
              <w:rPr>
                <w:rFonts w:eastAsia="SimSun" w:cs="Calibri"/>
                <w:lang w:val="en-US" w:eastAsia="zh-CN"/>
              </w:rPr>
              <w:t xml:space="preserve">then sets </w:t>
            </w:r>
            <w:r w:rsidR="002B35DF" w:rsidRPr="643B8041">
              <w:rPr>
                <w:rFonts w:eastAsia="SimSun" w:cs="Calibri"/>
                <w:lang w:val="en-US" w:eastAsia="zh-CN"/>
              </w:rPr>
              <w:t xml:space="preserve">the </w:t>
            </w:r>
            <w:r w:rsidR="76CF5A7A" w:rsidRPr="643B8041">
              <w:rPr>
                <w:rFonts w:eastAsia="SimSun" w:cs="Calibri"/>
                <w:lang w:val="en-US" w:eastAsia="zh-CN"/>
              </w:rPr>
              <w:t xml:space="preserve">bases for the preparation of </w:t>
            </w:r>
            <w:r w:rsidR="002B35DF" w:rsidRPr="643B8041">
              <w:rPr>
                <w:rFonts w:eastAsia="SimSun" w:cs="Calibri"/>
                <w:lang w:val="en-US" w:eastAsia="zh-CN"/>
              </w:rPr>
              <w:t xml:space="preserve">the budget and financial limits for the ITU for </w:t>
            </w:r>
            <w:r w:rsidR="00FA7A3B" w:rsidRPr="643B8041">
              <w:rPr>
                <w:rFonts w:eastAsia="SimSun" w:cs="Calibri"/>
                <w:lang w:val="en-US" w:eastAsia="zh-CN"/>
              </w:rPr>
              <w:t>the following four-year period</w:t>
            </w:r>
            <w:r w:rsidR="002B35DF" w:rsidRPr="643B8041">
              <w:rPr>
                <w:rFonts w:eastAsia="SimSun" w:cs="Calibri"/>
                <w:lang w:val="en-US" w:eastAsia="zh-CN"/>
              </w:rPr>
              <w:t xml:space="preserve">. </w:t>
            </w:r>
            <w:r w:rsidR="00FA7A3B" w:rsidRPr="643B8041">
              <w:rPr>
                <w:rFonts w:eastAsia="SimSun" w:cs="Calibri"/>
                <w:lang w:val="en-US" w:eastAsia="zh-CN"/>
              </w:rPr>
              <w:t xml:space="preserve"> The purpose of this document is to present some elements that could be taken into consideration when considering setting the provisional amount of the contributory unit.</w:t>
            </w:r>
            <w:r w:rsidR="002B35DF" w:rsidRPr="643B8041">
              <w:rPr>
                <w:rFonts w:eastAsia="SimSun" w:cs="Calibri"/>
                <w:lang w:val="en-US" w:eastAsia="zh-CN"/>
              </w:rPr>
              <w:t xml:space="preserve"> </w:t>
            </w:r>
          </w:p>
          <w:p w14:paraId="5076D5C4" w14:textId="28F00572" w:rsidR="00AD3606" w:rsidRPr="00F16BAB" w:rsidRDefault="00AD3606" w:rsidP="00B70DFF">
            <w:pPr>
              <w:pStyle w:val="Headingb"/>
              <w:rPr>
                <w:bCs/>
              </w:rPr>
            </w:pPr>
            <w:r w:rsidRPr="00D863CB">
              <w:t>Action required</w:t>
            </w:r>
          </w:p>
          <w:p w14:paraId="75E45C7E" w14:textId="455A354E" w:rsidR="00D863CB" w:rsidRDefault="02D6FAD9" w:rsidP="74BC59D0">
            <w:pPr>
              <w:spacing w:before="160"/>
              <w:rPr>
                <w:rFonts w:asciiTheme="minorHAnsi" w:eastAsia="SimSun" w:hAnsiTheme="minorHAnsi" w:cstheme="minorBidi"/>
              </w:rPr>
            </w:pPr>
            <w:r w:rsidRPr="74BC59D0">
              <w:rPr>
                <w:rFonts w:asciiTheme="minorHAnsi" w:eastAsia="SimSun" w:hAnsiTheme="minorHAnsi" w:cstheme="minorBidi"/>
              </w:rPr>
              <w:t>This report is transmitted to the CWG-</w:t>
            </w:r>
            <w:r w:rsidR="00581A70">
              <w:rPr>
                <w:rFonts w:asciiTheme="minorHAnsi" w:eastAsia="SimSun" w:hAnsiTheme="minorHAnsi" w:cstheme="minorBidi"/>
              </w:rPr>
              <w:t>SFP</w:t>
            </w:r>
            <w:r w:rsidRPr="74BC59D0">
              <w:rPr>
                <w:rFonts w:asciiTheme="minorHAnsi" w:eastAsia="SimSun" w:hAnsiTheme="minorHAnsi" w:cstheme="minorBidi"/>
              </w:rPr>
              <w:t xml:space="preserve"> for</w:t>
            </w:r>
            <w:r w:rsidRPr="74BC59D0">
              <w:rPr>
                <w:rFonts w:asciiTheme="minorHAnsi" w:eastAsia="SimSun" w:hAnsiTheme="minorHAnsi" w:cstheme="minorBidi"/>
                <w:b/>
                <w:bCs/>
              </w:rPr>
              <w:t xml:space="preserve"> </w:t>
            </w:r>
            <w:r w:rsidR="00581A70">
              <w:rPr>
                <w:rFonts w:asciiTheme="minorHAnsi" w:eastAsia="SimSun" w:hAnsiTheme="minorHAnsi" w:cstheme="minorBidi"/>
                <w:b/>
                <w:bCs/>
              </w:rPr>
              <w:t xml:space="preserve">further </w:t>
            </w:r>
            <w:r w:rsidRPr="74BC59D0">
              <w:rPr>
                <w:rFonts w:asciiTheme="minorHAnsi" w:eastAsia="SimSun" w:hAnsiTheme="minorHAnsi" w:cstheme="minorBidi"/>
                <w:b/>
                <w:bCs/>
              </w:rPr>
              <w:t>consideration</w:t>
            </w:r>
            <w:r w:rsidR="76AB5328" w:rsidRPr="74BC59D0">
              <w:rPr>
                <w:rFonts w:asciiTheme="minorHAnsi" w:eastAsia="SimSun" w:hAnsiTheme="minorHAnsi" w:cstheme="minorBidi"/>
                <w:b/>
                <w:bCs/>
              </w:rPr>
              <w:t xml:space="preserve"> and guidance</w:t>
            </w:r>
            <w:r w:rsidRPr="74BC59D0">
              <w:rPr>
                <w:rFonts w:asciiTheme="minorHAnsi" w:eastAsia="SimSun" w:hAnsiTheme="minorHAnsi" w:cstheme="minorBidi"/>
              </w:rPr>
              <w:t>.</w:t>
            </w:r>
          </w:p>
          <w:p w14:paraId="28E9461C" w14:textId="77777777" w:rsidR="00D863CB" w:rsidRDefault="00D863CB">
            <w:r>
              <w:t>_______________</w:t>
            </w:r>
          </w:p>
          <w:p w14:paraId="00DEE14C" w14:textId="77777777" w:rsidR="00AD3606" w:rsidRPr="00951241" w:rsidRDefault="00AD3606" w:rsidP="00B70DFF">
            <w:pPr>
              <w:pStyle w:val="Headingb"/>
              <w:rPr>
                <w:bCs/>
              </w:rPr>
            </w:pPr>
            <w:r w:rsidRPr="00D863CB">
              <w:t>References</w:t>
            </w:r>
          </w:p>
          <w:p w14:paraId="0175CD6C" w14:textId="0CEA547D" w:rsidR="00AD3606" w:rsidRPr="00E75165" w:rsidRDefault="00E75165" w:rsidP="00E75165">
            <w:pPr>
              <w:spacing w:before="160" w:after="120"/>
              <w:rPr>
                <w:i/>
                <w:iCs/>
                <w:sz w:val="22"/>
                <w:szCs w:val="22"/>
              </w:rPr>
            </w:pPr>
            <w:hyperlink r:id="rId11" w:history="1">
              <w:r w:rsidR="005B2B15" w:rsidRPr="00E75165">
                <w:rPr>
                  <w:rStyle w:val="Hyperlink"/>
                  <w:bCs/>
                  <w:i/>
                  <w:iCs/>
                  <w:sz w:val="22"/>
                  <w:szCs w:val="22"/>
                  <w:lang w:val="en-US"/>
                </w:rPr>
                <w:t>CS/Art. 8, CS/Art. 28, CS/Art. 33</w:t>
              </w:r>
            </w:hyperlink>
            <w:r w:rsidR="005B2B15" w:rsidRPr="00E75165">
              <w:rPr>
                <w:bCs/>
                <w:i/>
                <w:iCs/>
                <w:sz w:val="22"/>
                <w:szCs w:val="22"/>
                <w:lang w:val="en-US"/>
              </w:rPr>
              <w:t xml:space="preserve">; </w:t>
            </w:r>
            <w:hyperlink r:id="rId12" w:history="1">
              <w:r w:rsidR="00012168" w:rsidRPr="00E75165">
                <w:rPr>
                  <w:rStyle w:val="Hyperlink"/>
                  <w:rFonts w:asciiTheme="minorHAnsi" w:hAnsiTheme="minorHAnsi" w:cstheme="minorHAnsi"/>
                  <w:i/>
                  <w:iCs/>
                  <w:sz w:val="22"/>
                  <w:szCs w:val="22"/>
                </w:rPr>
                <w:t>Decision 5 (Rev. Bucharest, 2022)</w:t>
              </w:r>
            </w:hyperlink>
            <w:r w:rsidR="00230BFE" w:rsidRPr="00E75165">
              <w:rPr>
                <w:rFonts w:asciiTheme="minorHAnsi" w:hAnsiTheme="minorHAnsi" w:cstheme="minorHAnsi"/>
                <w:i/>
                <w:iCs/>
                <w:sz w:val="22"/>
                <w:szCs w:val="22"/>
              </w:rPr>
              <w:t xml:space="preserve"> </w:t>
            </w:r>
          </w:p>
        </w:tc>
      </w:tr>
    </w:tbl>
    <w:p w14:paraId="4CDB8B60" w14:textId="77777777" w:rsidR="00E227F3" w:rsidRPr="00046F67" w:rsidRDefault="00E227F3" w:rsidP="00046F67">
      <w:pPr>
        <w:tabs>
          <w:tab w:val="clear" w:pos="567"/>
          <w:tab w:val="clear" w:pos="1134"/>
          <w:tab w:val="clear" w:pos="1701"/>
          <w:tab w:val="clear" w:pos="2268"/>
          <w:tab w:val="clear" w:pos="2835"/>
        </w:tabs>
        <w:overflowPunct/>
        <w:autoSpaceDE/>
        <w:autoSpaceDN/>
        <w:adjustRightInd/>
        <w:spacing w:before="0"/>
        <w:textAlignment w:val="auto"/>
        <w:rPr>
          <w:sz w:val="22"/>
          <w:szCs w:val="22"/>
        </w:rPr>
      </w:pPr>
      <w:bookmarkStart w:id="11" w:name="_Hlk133421428"/>
      <w:bookmarkEnd w:id="2"/>
      <w:bookmarkEnd w:id="9"/>
    </w:p>
    <w:p w14:paraId="304A5D14" w14:textId="36444AFD" w:rsidR="00012168" w:rsidRDefault="00012168">
      <w:pPr>
        <w:tabs>
          <w:tab w:val="clear" w:pos="567"/>
          <w:tab w:val="clear" w:pos="1134"/>
          <w:tab w:val="clear" w:pos="1701"/>
          <w:tab w:val="clear" w:pos="2268"/>
          <w:tab w:val="clear" w:pos="2835"/>
        </w:tabs>
        <w:overflowPunct/>
        <w:autoSpaceDE/>
        <w:autoSpaceDN/>
        <w:adjustRightInd/>
        <w:spacing w:before="0"/>
        <w:textAlignment w:val="auto"/>
        <w:rPr>
          <w:rFonts w:ascii="Tahoma" w:hAnsi="Tahoma" w:cs="Tahoma"/>
          <w:b/>
          <w:bCs/>
          <w:sz w:val="22"/>
          <w:szCs w:val="22"/>
        </w:rPr>
      </w:pPr>
      <w:bookmarkStart w:id="12" w:name="_Hlk175217732"/>
      <w:bookmarkEnd w:id="3"/>
      <w:bookmarkEnd w:id="4"/>
      <w:bookmarkEnd w:id="5"/>
      <w:bookmarkEnd w:id="11"/>
      <w:r>
        <w:rPr>
          <w:rFonts w:ascii="Tahoma" w:hAnsi="Tahoma" w:cs="Tahoma"/>
          <w:b/>
          <w:bCs/>
          <w:sz w:val="22"/>
          <w:szCs w:val="22"/>
        </w:rPr>
        <w:br w:type="page"/>
      </w:r>
    </w:p>
    <w:p w14:paraId="5BAF5D33" w14:textId="72836D9B" w:rsidR="00046F67" w:rsidRPr="00B70DFF" w:rsidRDefault="00346D89" w:rsidP="00B70DFF">
      <w:pPr>
        <w:pStyle w:val="Headingb"/>
      </w:pPr>
      <w:r>
        <w:lastRenderedPageBreak/>
        <w:t>Background</w:t>
      </w:r>
    </w:p>
    <w:p w14:paraId="2D5D4FD5" w14:textId="33189610" w:rsidR="001C1BA4" w:rsidRPr="00A0359C" w:rsidRDefault="001C1BA4" w:rsidP="002064FB">
      <w:pPr>
        <w:tabs>
          <w:tab w:val="clear" w:pos="567"/>
          <w:tab w:val="clear" w:pos="1134"/>
          <w:tab w:val="clear" w:pos="1701"/>
          <w:tab w:val="clear" w:pos="2268"/>
          <w:tab w:val="clear" w:pos="2835"/>
        </w:tabs>
        <w:snapToGrid w:val="0"/>
        <w:spacing w:before="240" w:after="120"/>
        <w:jc w:val="both"/>
        <w:rPr>
          <w:rFonts w:eastAsia="SimSun" w:cs="Calibri"/>
          <w:lang w:val="en-US" w:eastAsia="zh-CN"/>
        </w:rPr>
      </w:pPr>
      <w:r w:rsidRPr="546648DC">
        <w:rPr>
          <w:rFonts w:eastAsia="SimSun" w:cs="Calibri"/>
          <w:lang w:val="en-US" w:eastAsia="zh-CN"/>
        </w:rPr>
        <w:t>1</w:t>
      </w:r>
      <w:r>
        <w:rPr>
          <w:rFonts w:eastAsia="SimSun"/>
        </w:rPr>
        <w:tab/>
      </w:r>
      <w:r w:rsidRPr="546648DC">
        <w:rPr>
          <w:rFonts w:eastAsia="SimSun" w:cs="Calibri"/>
          <w:lang w:val="en-US" w:eastAsia="zh-CN"/>
        </w:rPr>
        <w:t>The Plenipotentiary Conference establish</w:t>
      </w:r>
      <w:r w:rsidR="00337AC2" w:rsidRPr="546648DC">
        <w:rPr>
          <w:rFonts w:eastAsia="SimSun" w:cs="Calibri"/>
          <w:lang w:val="en-US" w:eastAsia="zh-CN"/>
        </w:rPr>
        <w:t>es</w:t>
      </w:r>
      <w:r w:rsidRPr="546648DC">
        <w:rPr>
          <w:rFonts w:eastAsia="SimSun" w:cs="Calibri"/>
          <w:lang w:val="en-US" w:eastAsia="zh-CN"/>
        </w:rPr>
        <w:t xml:space="preserve"> the </w:t>
      </w:r>
      <w:r w:rsidRPr="546648DC" w:rsidDel="00337AC2">
        <w:rPr>
          <w:rFonts w:eastAsia="SimSun" w:cs="Calibri"/>
          <w:lang w:val="en-US" w:eastAsia="zh-CN"/>
        </w:rPr>
        <w:t xml:space="preserve">basis for the </w:t>
      </w:r>
      <w:r w:rsidRPr="546648DC">
        <w:rPr>
          <w:rFonts w:eastAsia="SimSun" w:cs="Calibri"/>
          <w:lang w:val="en-US" w:eastAsia="zh-CN"/>
        </w:rPr>
        <w:t>budget of the Union and determine</w:t>
      </w:r>
      <w:r w:rsidR="00337AC2" w:rsidRPr="546648DC">
        <w:rPr>
          <w:rFonts w:eastAsia="SimSun" w:cs="Calibri"/>
          <w:lang w:val="en-US" w:eastAsia="zh-CN"/>
        </w:rPr>
        <w:t>s</w:t>
      </w:r>
      <w:r w:rsidRPr="546648DC">
        <w:rPr>
          <w:rFonts w:eastAsia="SimSun" w:cs="Calibri"/>
          <w:lang w:val="en-US" w:eastAsia="zh-CN"/>
        </w:rPr>
        <w:t xml:space="preserve"> related financial limits, after considering all relevant aspects of the work of the Union </w:t>
      </w:r>
      <w:r w:rsidR="00337AC2" w:rsidRPr="546648DC">
        <w:rPr>
          <w:rFonts w:eastAsia="SimSun" w:cs="Calibri"/>
          <w:lang w:val="en-US" w:eastAsia="zh-CN"/>
        </w:rPr>
        <w:t xml:space="preserve">during </w:t>
      </w:r>
      <w:r w:rsidRPr="546648DC">
        <w:rPr>
          <w:rFonts w:eastAsia="SimSun" w:cs="Calibri"/>
          <w:lang w:val="en-US" w:eastAsia="zh-CN"/>
        </w:rPr>
        <w:t>the period concerned (Article 8, No. 51 of the Constitution)</w:t>
      </w:r>
      <w:r w:rsidR="004D18DD">
        <w:rPr>
          <w:rFonts w:eastAsia="SimSun" w:cs="Calibri"/>
          <w:lang w:val="en-US" w:eastAsia="zh-CN"/>
        </w:rPr>
        <w:t xml:space="preserve"> and upon the recommendation from the Council</w:t>
      </w:r>
      <w:r w:rsidRPr="546648DC">
        <w:rPr>
          <w:rFonts w:eastAsia="SimSun" w:cs="Calibri"/>
          <w:lang w:val="en-US" w:eastAsia="zh-CN"/>
        </w:rPr>
        <w:t>.</w:t>
      </w:r>
    </w:p>
    <w:p w14:paraId="6FCC6B8D" w14:textId="4861D547" w:rsidR="001C1BA4" w:rsidRDefault="001C1BA4" w:rsidP="001C1BA4">
      <w:pPr>
        <w:tabs>
          <w:tab w:val="clear" w:pos="567"/>
          <w:tab w:val="clear" w:pos="1134"/>
          <w:tab w:val="clear" w:pos="1701"/>
          <w:tab w:val="clear" w:pos="2268"/>
          <w:tab w:val="clear" w:pos="2835"/>
        </w:tabs>
        <w:snapToGrid w:val="0"/>
        <w:spacing w:after="120"/>
        <w:jc w:val="both"/>
        <w:rPr>
          <w:rFonts w:eastAsia="SimSun" w:cs="Calibri"/>
          <w:bCs/>
          <w:szCs w:val="24"/>
          <w:lang w:val="en-US" w:eastAsia="zh-CN"/>
        </w:rPr>
      </w:pPr>
      <w:r>
        <w:rPr>
          <w:rFonts w:eastAsia="SimSun" w:cs="Calibri"/>
          <w:bCs/>
          <w:szCs w:val="24"/>
          <w:lang w:val="en-US" w:eastAsia="zh-CN"/>
        </w:rPr>
        <w:t>2</w:t>
      </w:r>
      <w:r w:rsidRPr="00A0359C">
        <w:rPr>
          <w:rFonts w:eastAsia="SimSun" w:cs="Calibri"/>
          <w:bCs/>
          <w:szCs w:val="24"/>
          <w:lang w:val="en-US" w:eastAsia="zh-CN"/>
        </w:rPr>
        <w:tab/>
        <w:t>According to Article 28</w:t>
      </w:r>
      <w:r>
        <w:rPr>
          <w:rFonts w:eastAsia="SimSun" w:cs="Calibri"/>
          <w:bCs/>
          <w:szCs w:val="24"/>
          <w:lang w:val="en-US" w:eastAsia="zh-CN"/>
        </w:rPr>
        <w:t>,</w:t>
      </w:r>
      <w:r w:rsidRPr="00A0359C">
        <w:rPr>
          <w:rFonts w:eastAsia="SimSun" w:cs="Calibri"/>
          <w:bCs/>
          <w:szCs w:val="24"/>
          <w:lang w:val="en-US" w:eastAsia="zh-CN"/>
        </w:rPr>
        <w:t xml:space="preserve"> No</w:t>
      </w:r>
      <w:r>
        <w:rPr>
          <w:rFonts w:eastAsia="SimSun" w:cs="Calibri"/>
          <w:bCs/>
          <w:szCs w:val="24"/>
          <w:lang w:val="en-US" w:eastAsia="zh-CN"/>
        </w:rPr>
        <w:t>.</w:t>
      </w:r>
      <w:r w:rsidRPr="00A0359C">
        <w:rPr>
          <w:rFonts w:eastAsia="SimSun" w:cs="Calibri"/>
          <w:bCs/>
          <w:szCs w:val="24"/>
          <w:lang w:val="en-US" w:eastAsia="zh-CN"/>
        </w:rPr>
        <w:t xml:space="preserve"> 161B of the Constitution, at its session preceding the </w:t>
      </w:r>
      <w:r>
        <w:rPr>
          <w:rFonts w:eastAsia="SimSun" w:cs="Calibri"/>
          <w:bCs/>
          <w:szCs w:val="24"/>
          <w:lang w:val="en-US" w:eastAsia="zh-CN"/>
        </w:rPr>
        <w:t>p</w:t>
      </w:r>
      <w:r w:rsidRPr="00A0359C">
        <w:rPr>
          <w:rFonts w:eastAsia="SimSun" w:cs="Calibri"/>
          <w:bCs/>
          <w:szCs w:val="24"/>
          <w:lang w:val="en-US" w:eastAsia="zh-CN"/>
        </w:rPr>
        <w:t xml:space="preserve">lenipotentiary </w:t>
      </w:r>
      <w:r>
        <w:rPr>
          <w:rFonts w:eastAsia="SimSun" w:cs="Calibri"/>
          <w:bCs/>
          <w:szCs w:val="24"/>
          <w:lang w:val="en-US" w:eastAsia="zh-CN"/>
        </w:rPr>
        <w:t>c</w:t>
      </w:r>
      <w:r w:rsidRPr="00A0359C">
        <w:rPr>
          <w:rFonts w:eastAsia="SimSun" w:cs="Calibri"/>
          <w:bCs/>
          <w:szCs w:val="24"/>
          <w:lang w:val="en-US" w:eastAsia="zh-CN"/>
        </w:rPr>
        <w:t xml:space="preserve">onference, the Council shall fix the provisional amount of the contributory unit, based on the draft financial plan for the corresponding period and </w:t>
      </w:r>
      <w:r w:rsidR="00337AC2">
        <w:rPr>
          <w:rFonts w:eastAsia="SimSun" w:cs="Calibri"/>
          <w:bCs/>
          <w:szCs w:val="24"/>
          <w:lang w:val="en-US" w:eastAsia="zh-CN"/>
        </w:rPr>
        <w:t xml:space="preserve">the </w:t>
      </w:r>
      <w:r w:rsidRPr="00A0359C">
        <w:rPr>
          <w:rFonts w:eastAsia="SimSun" w:cs="Calibri"/>
          <w:bCs/>
          <w:szCs w:val="24"/>
          <w:lang w:val="en-US" w:eastAsia="zh-CN"/>
        </w:rPr>
        <w:t>total number of contributory units.</w:t>
      </w:r>
    </w:p>
    <w:p w14:paraId="104703E0" w14:textId="60DCDA5A" w:rsidR="001C1BA4" w:rsidRDefault="001C1BA4" w:rsidP="001C1BA4">
      <w:pPr>
        <w:tabs>
          <w:tab w:val="clear" w:pos="567"/>
          <w:tab w:val="clear" w:pos="1134"/>
          <w:tab w:val="clear" w:pos="1701"/>
          <w:tab w:val="clear" w:pos="2268"/>
          <w:tab w:val="clear" w:pos="2835"/>
        </w:tabs>
        <w:snapToGrid w:val="0"/>
        <w:spacing w:after="120"/>
        <w:jc w:val="both"/>
        <w:rPr>
          <w:rFonts w:eastAsia="SimSun" w:cs="Calibri"/>
          <w:bCs/>
          <w:szCs w:val="24"/>
          <w:lang w:val="en-US" w:eastAsia="zh-CN"/>
        </w:rPr>
      </w:pPr>
      <w:r>
        <w:rPr>
          <w:rFonts w:eastAsia="SimSun" w:cs="Calibri"/>
          <w:bCs/>
          <w:szCs w:val="24"/>
          <w:lang w:val="en-US" w:eastAsia="zh-CN"/>
        </w:rPr>
        <w:t>3</w:t>
      </w:r>
      <w:r>
        <w:rPr>
          <w:rFonts w:eastAsia="SimSun" w:cs="Calibri"/>
          <w:bCs/>
          <w:szCs w:val="24"/>
          <w:lang w:val="en-US" w:eastAsia="zh-CN"/>
        </w:rPr>
        <w:tab/>
        <w:t xml:space="preserve">In this </w:t>
      </w:r>
      <w:r w:rsidR="007272F3">
        <w:rPr>
          <w:rFonts w:eastAsia="SimSun" w:cs="Calibri"/>
          <w:bCs/>
          <w:szCs w:val="24"/>
          <w:lang w:val="en-US" w:eastAsia="zh-CN"/>
        </w:rPr>
        <w:t>framework</w:t>
      </w:r>
      <w:r>
        <w:rPr>
          <w:rFonts w:eastAsia="SimSun" w:cs="Calibri"/>
          <w:bCs/>
          <w:szCs w:val="24"/>
          <w:lang w:val="en-US" w:eastAsia="zh-CN"/>
        </w:rPr>
        <w:t xml:space="preserve">, Decision 5 (Rev. Bucharest, 2022) </w:t>
      </w:r>
      <w:r w:rsidRPr="008D48C8">
        <w:rPr>
          <w:rFonts w:eastAsia="SimSun" w:cs="Calibri"/>
          <w:bCs/>
          <w:i/>
          <w:iCs/>
          <w:szCs w:val="24"/>
          <w:lang w:val="en-US" w:eastAsia="zh-CN"/>
        </w:rPr>
        <w:t>invites the Council</w:t>
      </w:r>
      <w:r>
        <w:rPr>
          <w:rFonts w:eastAsia="SimSun" w:cs="Calibri"/>
          <w:bCs/>
          <w:szCs w:val="24"/>
          <w:lang w:val="en-US" w:eastAsia="zh-CN"/>
        </w:rPr>
        <w:t xml:space="preserve"> to fix, to the extent practicable, the preliminary amount of the contributory unit for the period 2028-2031 at its 2025 ordinary session and </w:t>
      </w:r>
      <w:r w:rsidRPr="008D48C8">
        <w:rPr>
          <w:rFonts w:eastAsia="SimSun" w:cs="Calibri"/>
          <w:bCs/>
          <w:i/>
          <w:iCs/>
          <w:szCs w:val="24"/>
          <w:lang w:val="en-US" w:eastAsia="zh-CN"/>
        </w:rPr>
        <w:t>invites Member States</w:t>
      </w:r>
      <w:r>
        <w:rPr>
          <w:rFonts w:eastAsia="SimSun" w:cs="Calibri"/>
          <w:bCs/>
          <w:szCs w:val="24"/>
          <w:lang w:val="en-US" w:eastAsia="zh-CN"/>
        </w:rPr>
        <w:t xml:space="preserve"> to announce their provisional class of contribution for the period 2028-2031 before the end of the calendar year 2025.</w:t>
      </w:r>
    </w:p>
    <w:p w14:paraId="03A32145" w14:textId="7715CD7B" w:rsidR="002A4823" w:rsidRDefault="60317DE5" w:rsidP="74BC59D0">
      <w:pPr>
        <w:tabs>
          <w:tab w:val="clear" w:pos="567"/>
          <w:tab w:val="clear" w:pos="1134"/>
          <w:tab w:val="clear" w:pos="1701"/>
          <w:tab w:val="clear" w:pos="2268"/>
          <w:tab w:val="clear" w:pos="2835"/>
        </w:tabs>
        <w:snapToGrid w:val="0"/>
        <w:spacing w:after="120"/>
        <w:jc w:val="both"/>
        <w:rPr>
          <w:rFonts w:eastAsia="SimSun" w:cs="Calibri"/>
          <w:lang w:val="en-US" w:eastAsia="zh-CN"/>
        </w:rPr>
      </w:pPr>
      <w:r w:rsidRPr="382D4B9D">
        <w:rPr>
          <w:rFonts w:eastAsia="SimSun" w:cs="Calibri"/>
          <w:lang w:val="en-US" w:eastAsia="zh-CN"/>
        </w:rPr>
        <w:t>4</w:t>
      </w:r>
      <w:r w:rsidR="37643545">
        <w:tab/>
      </w:r>
      <w:r w:rsidR="26C6ED6E" w:rsidRPr="382D4B9D">
        <w:rPr>
          <w:rFonts w:eastAsia="SimSun" w:cs="Calibri"/>
          <w:lang w:val="en-US" w:eastAsia="zh-CN"/>
        </w:rPr>
        <w:t xml:space="preserve">Membership </w:t>
      </w:r>
      <w:r w:rsidR="23B53814" w:rsidRPr="382D4B9D">
        <w:rPr>
          <w:rFonts w:eastAsia="SimSun" w:cs="Calibri"/>
          <w:lang w:val="en-US" w:eastAsia="zh-CN"/>
        </w:rPr>
        <w:t xml:space="preserve">is already </w:t>
      </w:r>
      <w:r w:rsidR="26C6ED6E" w:rsidRPr="382D4B9D">
        <w:rPr>
          <w:rFonts w:eastAsia="SimSun" w:cs="Calibri"/>
          <w:lang w:val="en-US" w:eastAsia="zh-CN"/>
        </w:rPr>
        <w:t xml:space="preserve">aware of the challenges experienced by ITU in respect of its financial situation. Over the past years, due to </w:t>
      </w:r>
      <w:r w:rsidR="4C4BB449" w:rsidRPr="382D4B9D">
        <w:rPr>
          <w:rFonts w:eastAsia="SimSun" w:cs="Calibri"/>
          <w:lang w:val="en-US" w:eastAsia="zh-CN"/>
        </w:rPr>
        <w:t xml:space="preserve">a significantly expanded </w:t>
      </w:r>
      <w:r w:rsidR="2BE179E9" w:rsidRPr="382D4B9D">
        <w:rPr>
          <w:rFonts w:eastAsia="SimSun" w:cs="Calibri"/>
          <w:lang w:val="en-US" w:eastAsia="zh-CN"/>
        </w:rPr>
        <w:t>requests from the Member States enshrined in Resolutions and Decisions of ITU gover</w:t>
      </w:r>
      <w:r w:rsidR="76F5B5BA" w:rsidRPr="382D4B9D">
        <w:rPr>
          <w:rFonts w:eastAsia="SimSun" w:cs="Calibri"/>
          <w:lang w:val="en-US" w:eastAsia="zh-CN"/>
        </w:rPr>
        <w:t>ning bodies coupled with inflationary economic environment</w:t>
      </w:r>
      <w:r w:rsidR="4C4BB449" w:rsidRPr="382D4B9D">
        <w:rPr>
          <w:rFonts w:eastAsia="SimSun" w:cs="Calibri"/>
          <w:lang w:val="en-US" w:eastAsia="zh-CN"/>
        </w:rPr>
        <w:t xml:space="preserve">, </w:t>
      </w:r>
      <w:r w:rsidR="26C6ED6E" w:rsidRPr="382D4B9D">
        <w:rPr>
          <w:rFonts w:eastAsia="SimSun" w:cs="Calibri"/>
          <w:lang w:val="en-US" w:eastAsia="zh-CN"/>
        </w:rPr>
        <w:t>ITU</w:t>
      </w:r>
      <w:r w:rsidR="4C4BB449" w:rsidRPr="382D4B9D">
        <w:rPr>
          <w:rFonts w:eastAsia="SimSun" w:cs="Calibri"/>
          <w:lang w:val="en-US" w:eastAsia="zh-CN"/>
        </w:rPr>
        <w:t xml:space="preserve">’s </w:t>
      </w:r>
      <w:r w:rsidR="47C9EE36" w:rsidRPr="382D4B9D">
        <w:rPr>
          <w:rFonts w:eastAsia="SimSun" w:cs="Calibri"/>
          <w:lang w:val="en-US" w:eastAsia="zh-CN"/>
        </w:rPr>
        <w:t xml:space="preserve">operations </w:t>
      </w:r>
      <w:r w:rsidR="4C4BB449" w:rsidRPr="382D4B9D">
        <w:rPr>
          <w:rFonts w:eastAsia="SimSun" w:cs="Calibri"/>
          <w:lang w:val="en-US" w:eastAsia="zh-CN"/>
        </w:rPr>
        <w:t>have become increasingly difficult to f</w:t>
      </w:r>
      <w:r w:rsidR="45D1AF61" w:rsidRPr="382D4B9D">
        <w:rPr>
          <w:rFonts w:eastAsia="SimSun" w:cs="Calibri"/>
          <w:lang w:val="en-US" w:eastAsia="zh-CN"/>
        </w:rPr>
        <w:t>inance</w:t>
      </w:r>
      <w:r w:rsidR="4C4BB449" w:rsidRPr="382D4B9D">
        <w:rPr>
          <w:rFonts w:eastAsia="SimSun" w:cs="Calibri"/>
          <w:lang w:val="en-US" w:eastAsia="zh-CN"/>
        </w:rPr>
        <w:t xml:space="preserve"> with the current funding levels. </w:t>
      </w:r>
    </w:p>
    <w:p w14:paraId="27BA87FF" w14:textId="35B20158" w:rsidR="004341EA" w:rsidRPr="00826743" w:rsidRDefault="002107C7" w:rsidP="002064FB">
      <w:pPr>
        <w:pStyle w:val="Headingb"/>
        <w:spacing w:before="240"/>
        <w:rPr>
          <w:rFonts w:eastAsia="SimSun" w:cs="Calibri"/>
          <w:bCs/>
          <w:szCs w:val="24"/>
          <w:lang w:val="en-US" w:eastAsia="zh-CN"/>
        </w:rPr>
      </w:pPr>
      <w:r>
        <w:rPr>
          <w:rFonts w:eastAsia="SimSun" w:cs="Calibri"/>
          <w:bCs/>
          <w:szCs w:val="24"/>
          <w:lang w:val="en-US" w:eastAsia="zh-CN"/>
        </w:rPr>
        <w:t>The Context for</w:t>
      </w:r>
      <w:r w:rsidR="004D18DD">
        <w:rPr>
          <w:rFonts w:eastAsia="SimSun" w:cs="Calibri"/>
          <w:bCs/>
          <w:szCs w:val="24"/>
          <w:lang w:val="en-US" w:eastAsia="zh-CN"/>
        </w:rPr>
        <w:t xml:space="preserve"> an</w:t>
      </w:r>
      <w:r>
        <w:rPr>
          <w:rFonts w:eastAsia="SimSun" w:cs="Calibri"/>
          <w:bCs/>
          <w:szCs w:val="24"/>
          <w:lang w:val="en-US" w:eastAsia="zh-CN"/>
        </w:rPr>
        <w:t xml:space="preserve"> Increase of ITU’s Funding</w:t>
      </w:r>
    </w:p>
    <w:p w14:paraId="362861A3" w14:textId="0240DC5E" w:rsidR="007B283D" w:rsidRDefault="004341EA" w:rsidP="007B283D">
      <w:r>
        <w:rPr>
          <w:noProof/>
        </w:rPr>
        <w:drawing>
          <wp:inline distT="0" distB="0" distL="0" distR="0" wp14:anchorId="0D52B0D5" wp14:editId="71EE3BEF">
            <wp:extent cx="5760085" cy="3239770"/>
            <wp:effectExtent l="0" t="0" r="0" b="0"/>
            <wp:docPr id="142827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755"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60085" cy="3239770"/>
                    </a:xfrm>
                    <a:prstGeom prst="rect">
                      <a:avLst/>
                    </a:prstGeom>
                  </pic:spPr>
                </pic:pic>
              </a:graphicData>
            </a:graphic>
          </wp:inline>
        </w:drawing>
      </w:r>
    </w:p>
    <w:p w14:paraId="1D54781F" w14:textId="711381DB" w:rsidR="001C14A9" w:rsidRDefault="00D00C0E" w:rsidP="002064FB">
      <w:pPr>
        <w:tabs>
          <w:tab w:val="clear" w:pos="567"/>
          <w:tab w:val="clear" w:pos="1134"/>
          <w:tab w:val="clear" w:pos="1701"/>
          <w:tab w:val="clear" w:pos="2268"/>
          <w:tab w:val="clear" w:pos="2835"/>
        </w:tabs>
        <w:snapToGrid w:val="0"/>
        <w:spacing w:after="120"/>
        <w:jc w:val="both"/>
        <w:rPr>
          <w:rFonts w:eastAsia="SimSun"/>
        </w:rPr>
      </w:pPr>
      <w:r w:rsidRPr="3544C056">
        <w:rPr>
          <w:rFonts w:eastAsia="SimSun" w:cs="Calibri"/>
          <w:lang w:val="en-US" w:eastAsia="zh-CN"/>
        </w:rPr>
        <w:t>5</w:t>
      </w:r>
      <w:r w:rsidR="007272F3">
        <w:rPr>
          <w:rFonts w:eastAsia="SimSun"/>
        </w:rPr>
        <w:tab/>
      </w:r>
      <w:r w:rsidR="00074DCB">
        <w:rPr>
          <w:rFonts w:eastAsia="SimSun"/>
        </w:rPr>
        <w:t xml:space="preserve">Figure 1 above </w:t>
      </w:r>
      <w:r w:rsidR="00862FD1">
        <w:rPr>
          <w:rFonts w:eastAsia="SimSun"/>
        </w:rPr>
        <w:t>identifies</w:t>
      </w:r>
      <w:r w:rsidR="004D18DD">
        <w:rPr>
          <w:rFonts w:eastAsia="SimSun"/>
        </w:rPr>
        <w:t xml:space="preserve"> t</w:t>
      </w:r>
      <w:r w:rsidR="00A70557">
        <w:rPr>
          <w:rFonts w:eastAsia="SimSun"/>
        </w:rPr>
        <w:t xml:space="preserve">he </w:t>
      </w:r>
      <w:r w:rsidR="004A1722">
        <w:rPr>
          <w:rFonts w:eastAsia="SimSun"/>
        </w:rPr>
        <w:t>direct extrapolation of the Consumer Price Increase</w:t>
      </w:r>
      <w:r w:rsidR="00862FD1">
        <w:rPr>
          <w:rFonts w:eastAsia="SimSun"/>
        </w:rPr>
        <w:t xml:space="preserve"> as applied to the contributory unit</w:t>
      </w:r>
      <w:r w:rsidR="004A1722">
        <w:rPr>
          <w:rFonts w:eastAsia="SimSun"/>
        </w:rPr>
        <w:t xml:space="preserve">, as well as key </w:t>
      </w:r>
      <w:r w:rsidR="00862FD1">
        <w:rPr>
          <w:rFonts w:eastAsia="SimSun"/>
        </w:rPr>
        <w:t>increases in expenses which necessitate</w:t>
      </w:r>
      <w:r w:rsidR="00A70557">
        <w:rPr>
          <w:rFonts w:eastAsia="SimSun"/>
        </w:rPr>
        <w:t xml:space="preserve"> </w:t>
      </w:r>
      <w:r w:rsidR="00E73DE5">
        <w:rPr>
          <w:rFonts w:eastAsia="SimSun"/>
        </w:rPr>
        <w:t xml:space="preserve">an increase in funding </w:t>
      </w:r>
      <w:r w:rsidR="004D18DD">
        <w:rPr>
          <w:rFonts w:eastAsia="SimSun"/>
        </w:rPr>
        <w:t>for ITU</w:t>
      </w:r>
      <w:r w:rsidR="00862FD1">
        <w:rPr>
          <w:rFonts w:eastAsia="SimSun"/>
        </w:rPr>
        <w:t>.</w:t>
      </w:r>
    </w:p>
    <w:p w14:paraId="77C80C1A" w14:textId="371CB8FA" w:rsidR="00667AD0" w:rsidRPr="006462E5" w:rsidRDefault="00A86903" w:rsidP="002064FB">
      <w:pPr>
        <w:tabs>
          <w:tab w:val="clear" w:pos="567"/>
          <w:tab w:val="clear" w:pos="1134"/>
          <w:tab w:val="clear" w:pos="1701"/>
          <w:tab w:val="clear" w:pos="2268"/>
          <w:tab w:val="clear" w:pos="2835"/>
        </w:tabs>
        <w:snapToGrid w:val="0"/>
        <w:spacing w:after="120"/>
        <w:jc w:val="both"/>
        <w:rPr>
          <w:rFonts w:eastAsia="SimSun"/>
        </w:rPr>
      </w:pPr>
      <w:r w:rsidRPr="3544C056">
        <w:rPr>
          <w:rFonts w:eastAsia="SimSun" w:cs="Calibri"/>
          <w:lang w:val="en-US" w:eastAsia="zh-CN"/>
        </w:rPr>
        <w:t>Each of the</w:t>
      </w:r>
      <w:r w:rsidR="00F058DE">
        <w:rPr>
          <w:rFonts w:eastAsia="SimSun" w:cs="Calibri"/>
          <w:lang w:val="en-US" w:eastAsia="zh-CN"/>
        </w:rPr>
        <w:t>se</w:t>
      </w:r>
      <w:r w:rsidRPr="3544C056">
        <w:rPr>
          <w:rFonts w:eastAsia="SimSun" w:cs="Calibri"/>
          <w:lang w:val="en-US" w:eastAsia="zh-CN"/>
        </w:rPr>
        <w:t xml:space="preserve"> elements are </w:t>
      </w:r>
      <w:r w:rsidR="4368149D" w:rsidRPr="2536F37C">
        <w:rPr>
          <w:rFonts w:eastAsia="SimSun" w:cs="Calibri"/>
          <w:lang w:val="en-US" w:eastAsia="zh-CN"/>
        </w:rPr>
        <w:t xml:space="preserve">further </w:t>
      </w:r>
      <w:r w:rsidRPr="2536F37C">
        <w:rPr>
          <w:rFonts w:eastAsia="SimSun" w:cs="Calibri"/>
          <w:lang w:val="en-US" w:eastAsia="zh-CN"/>
        </w:rPr>
        <w:t xml:space="preserve">elaborated </w:t>
      </w:r>
      <w:r w:rsidR="00270AEA">
        <w:rPr>
          <w:rFonts w:eastAsia="SimSun" w:cs="Calibri"/>
          <w:lang w:val="en-US" w:eastAsia="zh-CN"/>
        </w:rPr>
        <w:t>o</w:t>
      </w:r>
      <w:r w:rsidR="589FDE72" w:rsidRPr="2536F37C">
        <w:rPr>
          <w:rFonts w:eastAsia="SimSun" w:cs="Calibri"/>
          <w:lang w:val="en-US" w:eastAsia="zh-CN"/>
        </w:rPr>
        <w:t>n</w:t>
      </w:r>
      <w:r w:rsidR="006437CE">
        <w:rPr>
          <w:rFonts w:eastAsia="SimSun" w:cs="Calibri"/>
          <w:lang w:val="en-US" w:eastAsia="zh-CN"/>
        </w:rPr>
        <w:t xml:space="preserve"> in</w:t>
      </w:r>
      <w:r w:rsidR="589FDE72" w:rsidRPr="2536F37C">
        <w:rPr>
          <w:rFonts w:eastAsia="SimSun" w:cs="Calibri"/>
          <w:lang w:val="en-US" w:eastAsia="zh-CN"/>
        </w:rPr>
        <w:t xml:space="preserve"> </w:t>
      </w:r>
      <w:r w:rsidR="009F7394">
        <w:rPr>
          <w:rFonts w:eastAsia="SimSun" w:cs="Calibri"/>
          <w:lang w:val="en-US" w:eastAsia="zh-CN"/>
        </w:rPr>
        <w:t>the next section</w:t>
      </w:r>
      <w:r w:rsidR="00ED5704">
        <w:rPr>
          <w:rFonts w:eastAsia="SimSun" w:cs="Calibri"/>
          <w:lang w:val="en-US" w:eastAsia="zh-CN"/>
        </w:rPr>
        <w:t>s</w:t>
      </w:r>
      <w:r w:rsidR="009F7394">
        <w:rPr>
          <w:rFonts w:eastAsia="SimSun" w:cs="Calibri"/>
          <w:lang w:val="en-US" w:eastAsia="zh-CN"/>
        </w:rPr>
        <w:t xml:space="preserve"> of this document. </w:t>
      </w:r>
    </w:p>
    <w:p w14:paraId="6D389E67" w14:textId="612C513E" w:rsidR="000D597F" w:rsidRPr="006462E5" w:rsidRDefault="004D18DD" w:rsidP="006462E5">
      <w:pPr>
        <w:keepNext/>
        <w:tabs>
          <w:tab w:val="clear" w:pos="567"/>
          <w:tab w:val="clear" w:pos="1134"/>
          <w:tab w:val="clear" w:pos="1701"/>
          <w:tab w:val="clear" w:pos="2268"/>
          <w:tab w:val="clear" w:pos="2835"/>
        </w:tabs>
        <w:snapToGrid w:val="0"/>
        <w:spacing w:after="120"/>
        <w:jc w:val="both"/>
        <w:rPr>
          <w:rFonts w:eastAsia="SimSun" w:cs="Calibri"/>
          <w:b/>
          <w:szCs w:val="24"/>
          <w:lang w:val="en-US" w:eastAsia="zh-CN"/>
        </w:rPr>
      </w:pPr>
      <w:r>
        <w:rPr>
          <w:rFonts w:eastAsia="SimSun" w:cs="Calibri"/>
          <w:b/>
          <w:szCs w:val="24"/>
          <w:lang w:val="en-US" w:eastAsia="zh-CN"/>
        </w:rPr>
        <w:lastRenderedPageBreak/>
        <w:t>6</w:t>
      </w:r>
      <w:r>
        <w:rPr>
          <w:rFonts w:eastAsia="SimSun" w:cs="Calibri"/>
          <w:b/>
          <w:szCs w:val="24"/>
          <w:lang w:val="en-US" w:eastAsia="zh-CN"/>
        </w:rPr>
        <w:tab/>
      </w:r>
      <w:r w:rsidR="00435EA4">
        <w:rPr>
          <w:rFonts w:eastAsia="SimSun" w:cs="Calibri"/>
          <w:b/>
          <w:szCs w:val="24"/>
          <w:lang w:val="en-US" w:eastAsia="zh-CN"/>
        </w:rPr>
        <w:t xml:space="preserve">Geneva Consumer </w:t>
      </w:r>
      <w:r w:rsidR="00326AC6" w:rsidRPr="006462E5">
        <w:rPr>
          <w:rFonts w:eastAsia="SimSun" w:cs="Calibri"/>
          <w:b/>
          <w:szCs w:val="24"/>
          <w:lang w:val="en-US" w:eastAsia="zh-CN"/>
        </w:rPr>
        <w:t xml:space="preserve">Price </w:t>
      </w:r>
      <w:r w:rsidR="000D597F" w:rsidRPr="006462E5">
        <w:rPr>
          <w:rFonts w:eastAsia="SimSun" w:cs="Calibri"/>
          <w:b/>
          <w:szCs w:val="24"/>
          <w:lang w:val="en-US" w:eastAsia="zh-CN"/>
        </w:rPr>
        <w:t>I</w:t>
      </w:r>
      <w:r w:rsidR="00326AC6" w:rsidRPr="006462E5">
        <w:rPr>
          <w:rFonts w:eastAsia="SimSun" w:cs="Calibri"/>
          <w:b/>
          <w:szCs w:val="24"/>
          <w:lang w:val="en-US" w:eastAsia="zh-CN"/>
        </w:rPr>
        <w:t>ndex</w:t>
      </w:r>
    </w:p>
    <w:p w14:paraId="1FA420DB" w14:textId="1A78E172" w:rsidR="007272F3" w:rsidRPr="00E14687" w:rsidRDefault="71565288" w:rsidP="00E14687">
      <w:pPr>
        <w:tabs>
          <w:tab w:val="clear" w:pos="567"/>
          <w:tab w:val="clear" w:pos="1134"/>
          <w:tab w:val="clear" w:pos="1701"/>
          <w:tab w:val="clear" w:pos="2268"/>
          <w:tab w:val="clear" w:pos="2835"/>
        </w:tabs>
        <w:snapToGrid w:val="0"/>
        <w:spacing w:before="240" w:after="120"/>
        <w:jc w:val="both"/>
        <w:rPr>
          <w:rFonts w:eastAsia="SimSun" w:cs="Calibri"/>
          <w:lang w:eastAsia="zh-CN"/>
        </w:rPr>
      </w:pPr>
      <w:r w:rsidRPr="382D4B9D">
        <w:rPr>
          <w:rFonts w:eastAsia="SimSun" w:cs="Calibri"/>
          <w:lang w:val="en-US" w:eastAsia="zh-CN"/>
        </w:rPr>
        <w:t>The amount of the contributory unit has remained unchanged since 2006</w:t>
      </w:r>
      <w:r w:rsidR="3D9ADE52" w:rsidRPr="382D4B9D">
        <w:rPr>
          <w:rFonts w:eastAsia="SimSun" w:cs="Calibri"/>
          <w:lang w:val="en-US" w:eastAsia="zh-CN"/>
        </w:rPr>
        <w:t>,</w:t>
      </w:r>
      <w:r w:rsidRPr="382D4B9D">
        <w:rPr>
          <w:rFonts w:eastAsia="SimSun" w:cs="Calibri"/>
          <w:lang w:val="en-US" w:eastAsia="zh-CN"/>
        </w:rPr>
        <w:t xml:space="preserve"> a zero-nominal growth, despite a Geneva consumer price index (GCPI) that has increased by 10.5% during this timeframe. </w:t>
      </w:r>
      <w:r w:rsidR="00FD61BC">
        <w:rPr>
          <w:rFonts w:eastAsia="SimSun" w:cs="Calibri"/>
          <w:lang w:val="en-US" w:eastAsia="zh-CN"/>
        </w:rPr>
        <w:t>T</w:t>
      </w:r>
      <w:r w:rsidR="3D9ADE52" w:rsidRPr="382D4B9D">
        <w:rPr>
          <w:rFonts w:eastAsia="SimSun" w:cs="Calibri"/>
          <w:lang w:val="en-US" w:eastAsia="zh-CN"/>
        </w:rPr>
        <w:t>he majority of ITU’s costs are incurred in Switzerland, t</w:t>
      </w:r>
      <w:r w:rsidRPr="382D4B9D">
        <w:rPr>
          <w:rFonts w:eastAsia="SimSun" w:cs="Calibri"/>
          <w:lang w:val="en-US" w:eastAsia="zh-CN"/>
        </w:rPr>
        <w:t xml:space="preserve">his </w:t>
      </w:r>
      <w:r w:rsidR="3D9ADE52" w:rsidRPr="382D4B9D">
        <w:rPr>
          <w:rFonts w:eastAsia="SimSun" w:cs="Calibri"/>
          <w:lang w:val="en-US" w:eastAsia="zh-CN"/>
        </w:rPr>
        <w:t xml:space="preserve">lack of revenue growth </w:t>
      </w:r>
      <w:r w:rsidRPr="382D4B9D">
        <w:rPr>
          <w:rFonts w:eastAsia="SimSun" w:cs="Calibri"/>
          <w:lang w:val="en-US" w:eastAsia="zh-CN"/>
        </w:rPr>
        <w:t xml:space="preserve">has significantly </w:t>
      </w:r>
      <w:r w:rsidR="2BB6ADCF" w:rsidRPr="382D4B9D">
        <w:rPr>
          <w:rFonts w:eastAsia="SimSun" w:cs="Calibri"/>
          <w:lang w:val="en-US" w:eastAsia="zh-CN"/>
        </w:rPr>
        <w:t>imperi</w:t>
      </w:r>
      <w:r w:rsidR="3D9ADE52" w:rsidRPr="382D4B9D">
        <w:rPr>
          <w:rFonts w:eastAsia="SimSun" w:cs="Calibri"/>
          <w:lang w:val="en-US" w:eastAsia="zh-CN"/>
        </w:rPr>
        <w:t>led</w:t>
      </w:r>
      <w:r w:rsidRPr="382D4B9D">
        <w:rPr>
          <w:rFonts w:eastAsia="SimSun" w:cs="Calibri"/>
          <w:lang w:val="en-US" w:eastAsia="zh-CN"/>
        </w:rPr>
        <w:t xml:space="preserve"> ITU’s ability to </w:t>
      </w:r>
      <w:r w:rsidR="2BB6ADCF" w:rsidRPr="382D4B9D">
        <w:rPr>
          <w:rFonts w:eastAsia="SimSun" w:cs="Calibri"/>
          <w:lang w:val="en-US" w:eastAsia="zh-CN"/>
        </w:rPr>
        <w:t xml:space="preserve">implement its strategic </w:t>
      </w:r>
      <w:proofErr w:type="gramStart"/>
      <w:r w:rsidR="2BB6ADCF" w:rsidRPr="382D4B9D">
        <w:rPr>
          <w:rFonts w:eastAsia="SimSun" w:cs="Calibri"/>
          <w:lang w:val="en-US" w:eastAsia="zh-CN"/>
        </w:rPr>
        <w:t>plan</w:t>
      </w:r>
      <w:proofErr w:type="gramEnd"/>
      <w:r w:rsidR="2BB6ADCF" w:rsidRPr="382D4B9D">
        <w:rPr>
          <w:rFonts w:eastAsia="SimSun" w:cs="Calibri"/>
          <w:lang w:val="en-US" w:eastAsia="zh-CN"/>
        </w:rPr>
        <w:t xml:space="preserve"> and the priorities laid down therein.</w:t>
      </w:r>
      <w:r w:rsidR="6C69D2EF" w:rsidRPr="382D4B9D">
        <w:rPr>
          <w:rFonts w:eastAsia="SimSun" w:cs="Calibri"/>
          <w:lang w:eastAsia="zh-CN"/>
        </w:rPr>
        <w:t xml:space="preserve"> </w:t>
      </w:r>
      <w:r w:rsidR="00E14687">
        <w:rPr>
          <w:rFonts w:eastAsia="SimSun" w:cs="Calibri"/>
          <w:lang w:eastAsia="zh-CN"/>
        </w:rPr>
        <w:t xml:space="preserve">This is particularly impactful since ITU’s staff salaries, which comprise more than 80% of budgeted expenses, are index linked through the review processes carried out by the ICSC. </w:t>
      </w:r>
    </w:p>
    <w:p w14:paraId="4AB42C8E" w14:textId="245900F5" w:rsidR="00BC728D" w:rsidRPr="00BC728D" w:rsidRDefault="00E14687" w:rsidP="002064FB">
      <w:pPr>
        <w:tabs>
          <w:tab w:val="clear" w:pos="567"/>
          <w:tab w:val="clear" w:pos="1134"/>
          <w:tab w:val="clear" w:pos="1701"/>
          <w:tab w:val="clear" w:pos="2268"/>
          <w:tab w:val="clear" w:pos="2835"/>
        </w:tabs>
        <w:snapToGrid w:val="0"/>
        <w:spacing w:after="120"/>
        <w:jc w:val="both"/>
        <w:rPr>
          <w:rFonts w:eastAsia="SimSun" w:cs="Calibri"/>
          <w:lang w:eastAsia="zh-CN"/>
        </w:rPr>
      </w:pPr>
      <w:r>
        <w:rPr>
          <w:rFonts w:eastAsia="SimSun" w:cs="Calibri"/>
          <w:lang w:eastAsia="zh-CN"/>
        </w:rPr>
        <w:t>Several o</w:t>
      </w:r>
      <w:r w:rsidR="44AB5577" w:rsidRPr="00E14687">
        <w:rPr>
          <w:rFonts w:eastAsia="SimSun" w:cs="Calibri"/>
          <w:lang w:eastAsia="zh-CN"/>
        </w:rPr>
        <w:t xml:space="preserve">ther </w:t>
      </w:r>
      <w:r>
        <w:rPr>
          <w:rFonts w:eastAsia="SimSun" w:cs="Calibri"/>
          <w:lang w:eastAsia="zh-CN"/>
        </w:rPr>
        <w:t xml:space="preserve">UN and </w:t>
      </w:r>
      <w:r w:rsidR="44AB5577" w:rsidRPr="00E14687">
        <w:rPr>
          <w:rFonts w:eastAsia="SimSun" w:cs="Calibri"/>
          <w:lang w:eastAsia="zh-CN"/>
        </w:rPr>
        <w:t xml:space="preserve">international organizations </w:t>
      </w:r>
      <w:r>
        <w:rPr>
          <w:rFonts w:eastAsia="SimSun" w:cs="Calibri"/>
          <w:lang w:eastAsia="zh-CN"/>
        </w:rPr>
        <w:t xml:space="preserve">have addressed similar challenges by adjusting </w:t>
      </w:r>
      <w:r w:rsidR="44AB5577" w:rsidRPr="00E14687">
        <w:rPr>
          <w:rFonts w:eastAsia="SimSun" w:cs="Calibri"/>
          <w:lang w:eastAsia="zh-CN"/>
        </w:rPr>
        <w:t xml:space="preserve">their financial contributions to </w:t>
      </w:r>
      <w:r w:rsidR="44AB5577" w:rsidRPr="382D4B9D">
        <w:rPr>
          <w:rFonts w:eastAsia="SimSun" w:cs="Calibri"/>
          <w:lang w:eastAsia="zh-CN"/>
        </w:rPr>
        <w:t xml:space="preserve">account for inflation. Without a </w:t>
      </w:r>
      <w:r>
        <w:rPr>
          <w:rFonts w:eastAsia="SimSun" w:cs="Calibri"/>
          <w:lang w:eastAsia="zh-CN"/>
        </w:rPr>
        <w:t>similar approach</w:t>
      </w:r>
      <w:r w:rsidR="44AB5577" w:rsidRPr="382D4B9D">
        <w:rPr>
          <w:rFonts w:eastAsia="SimSun" w:cs="Calibri"/>
          <w:lang w:eastAsia="zh-CN"/>
        </w:rPr>
        <w:t>, ITU risks falling behind in its ability to attract and retain talent, invest in new technologies, and sustain its operational capacity at the levels required by its stakeholders.</w:t>
      </w:r>
      <w:r w:rsidR="00921B4D">
        <w:rPr>
          <w:rFonts w:eastAsia="SimSun" w:cs="Calibri"/>
          <w:lang w:eastAsia="zh-CN"/>
        </w:rPr>
        <w:t xml:space="preserve"> </w:t>
      </w:r>
    </w:p>
    <w:p w14:paraId="7D1E236A" w14:textId="24F071E9" w:rsidR="00BC728D" w:rsidRPr="00BC728D" w:rsidRDefault="00BC728D" w:rsidP="006F5266">
      <w:pPr>
        <w:keepNext/>
        <w:tabs>
          <w:tab w:val="clear" w:pos="567"/>
          <w:tab w:val="clear" w:pos="1134"/>
          <w:tab w:val="clear" w:pos="1701"/>
          <w:tab w:val="clear" w:pos="2268"/>
          <w:tab w:val="clear" w:pos="2835"/>
        </w:tabs>
        <w:snapToGrid w:val="0"/>
        <w:spacing w:before="240" w:after="120"/>
        <w:jc w:val="both"/>
        <w:rPr>
          <w:rFonts w:eastAsia="SimSun" w:cs="Calibri"/>
          <w:bCs/>
          <w:szCs w:val="24"/>
          <w:lang w:eastAsia="zh-CN"/>
        </w:rPr>
      </w:pPr>
      <w:r w:rsidRPr="00BC728D">
        <w:rPr>
          <w:rFonts w:eastAsia="SimSun" w:cs="Calibri"/>
          <w:b/>
          <w:bCs/>
          <w:szCs w:val="24"/>
          <w:lang w:eastAsia="zh-CN"/>
        </w:rPr>
        <w:t>Impact:</w:t>
      </w:r>
    </w:p>
    <w:p w14:paraId="0841A5ED" w14:textId="11E35485" w:rsidR="00BC728D" w:rsidRPr="00BC728D" w:rsidRDefault="7DC8AD66" w:rsidP="00097CD5">
      <w:pPr>
        <w:tabs>
          <w:tab w:val="clear" w:pos="567"/>
          <w:tab w:val="clear" w:pos="1134"/>
          <w:tab w:val="clear" w:pos="1701"/>
          <w:tab w:val="clear" w:pos="2268"/>
          <w:tab w:val="clear" w:pos="2835"/>
        </w:tabs>
        <w:snapToGrid w:val="0"/>
        <w:spacing w:before="240" w:after="120"/>
        <w:jc w:val="both"/>
        <w:rPr>
          <w:rFonts w:eastAsia="SimSun" w:cs="Calibri"/>
          <w:lang w:eastAsia="zh-CN"/>
        </w:rPr>
      </w:pPr>
      <w:r w:rsidRPr="382D4B9D">
        <w:rPr>
          <w:rFonts w:eastAsia="SimSun" w:cs="Calibri"/>
          <w:lang w:eastAsia="zh-CN"/>
        </w:rPr>
        <w:t xml:space="preserve">ITU is currently under financial strain to maintain its operational activities at the same level of quality and efficiency. Without an increase in </w:t>
      </w:r>
      <w:r w:rsidR="66F927CF" w:rsidRPr="382D4B9D">
        <w:rPr>
          <w:rFonts w:eastAsia="SimSun" w:cs="Calibri"/>
          <w:lang w:eastAsia="zh-CN"/>
        </w:rPr>
        <w:t>funding</w:t>
      </w:r>
      <w:r w:rsidRPr="382D4B9D">
        <w:rPr>
          <w:rFonts w:eastAsia="SimSun" w:cs="Calibri"/>
          <w:lang w:eastAsia="zh-CN"/>
        </w:rPr>
        <w:t>, ITU risks compromising the quality of its services or being forced to cut costs in areas that could affect its core functions.</w:t>
      </w:r>
      <w:r w:rsidR="00C41A90" w:rsidRPr="382D4B9D">
        <w:rPr>
          <w:rFonts w:eastAsia="SimSun" w:cs="Calibri"/>
          <w:lang w:eastAsia="zh-CN"/>
        </w:rPr>
        <w:t xml:space="preserve"> </w:t>
      </w:r>
      <w:r w:rsidR="66F927CF" w:rsidRPr="382D4B9D">
        <w:rPr>
          <w:rFonts w:eastAsia="SimSun" w:cs="Calibri"/>
          <w:lang w:eastAsia="zh-CN"/>
        </w:rPr>
        <w:t>The discussion below</w:t>
      </w:r>
      <w:r w:rsidR="0A9B3C5A" w:rsidRPr="382D4B9D">
        <w:rPr>
          <w:rFonts w:eastAsia="SimSun" w:cs="Calibri"/>
          <w:lang w:eastAsia="zh-CN"/>
        </w:rPr>
        <w:t xml:space="preserve"> more specifically</w:t>
      </w:r>
      <w:r w:rsidR="66F927CF" w:rsidRPr="382D4B9D">
        <w:rPr>
          <w:rFonts w:eastAsia="SimSun" w:cs="Calibri"/>
          <w:lang w:eastAsia="zh-CN"/>
        </w:rPr>
        <w:t xml:space="preserve"> identifies</w:t>
      </w:r>
      <w:r w:rsidR="258B60D3" w:rsidRPr="382D4B9D">
        <w:rPr>
          <w:rFonts w:eastAsia="SimSun" w:cs="Calibri"/>
          <w:lang w:eastAsia="zh-CN"/>
        </w:rPr>
        <w:t xml:space="preserve"> each area of additional costs that should be considered by membership in determining an appropriate increased funding target for ITU.</w:t>
      </w:r>
    </w:p>
    <w:p w14:paraId="20117DFE" w14:textId="02506D04" w:rsidR="000D597F" w:rsidRDefault="00F10358" w:rsidP="002064FB">
      <w:pPr>
        <w:tabs>
          <w:tab w:val="clear" w:pos="567"/>
          <w:tab w:val="clear" w:pos="1134"/>
          <w:tab w:val="clear" w:pos="1701"/>
          <w:tab w:val="clear" w:pos="2268"/>
          <w:tab w:val="clear" w:pos="2835"/>
        </w:tabs>
        <w:overflowPunct/>
        <w:autoSpaceDE/>
        <w:autoSpaceDN/>
        <w:adjustRightInd/>
        <w:spacing w:before="240" w:after="120"/>
        <w:textAlignment w:val="auto"/>
        <w:rPr>
          <w:rFonts w:eastAsia="SimSun" w:cs="Calibri"/>
          <w:lang w:val="en-US" w:eastAsia="zh-CN"/>
        </w:rPr>
      </w:pPr>
      <w:r w:rsidRPr="643B8041">
        <w:rPr>
          <w:rFonts w:eastAsia="SimSun" w:cs="Calibri"/>
          <w:b/>
          <w:bCs/>
          <w:lang w:val="en-US" w:eastAsia="zh-CN"/>
        </w:rPr>
        <w:t>7</w:t>
      </w:r>
      <w:r>
        <w:tab/>
      </w:r>
      <w:r w:rsidR="005E51B2">
        <w:rPr>
          <w:rFonts w:eastAsia="SimSun" w:cs="Calibri"/>
          <w:b/>
          <w:bCs/>
          <w:lang w:val="en-US" w:eastAsia="zh-CN"/>
        </w:rPr>
        <w:t>P</w:t>
      </w:r>
      <w:r w:rsidR="00326AC6" w:rsidRPr="643B8041">
        <w:rPr>
          <w:rFonts w:eastAsia="SimSun" w:cs="Calibri"/>
          <w:b/>
          <w:bCs/>
          <w:lang w:val="en-US" w:eastAsia="zh-CN"/>
        </w:rPr>
        <w:t>ost</w:t>
      </w:r>
      <w:r w:rsidR="009A1E9F">
        <w:rPr>
          <w:rFonts w:eastAsia="SimSun" w:cs="Calibri"/>
          <w:b/>
          <w:bCs/>
          <w:lang w:val="en-US" w:eastAsia="zh-CN"/>
        </w:rPr>
        <w:t xml:space="preserve"> C</w:t>
      </w:r>
      <w:r w:rsidR="00326AC6" w:rsidRPr="643B8041">
        <w:rPr>
          <w:rFonts w:eastAsia="SimSun" w:cs="Calibri"/>
          <w:b/>
          <w:bCs/>
          <w:lang w:val="en-US" w:eastAsia="zh-CN"/>
        </w:rPr>
        <w:t xml:space="preserve">onference </w:t>
      </w:r>
      <w:r w:rsidR="009A1E9F">
        <w:rPr>
          <w:rFonts w:eastAsia="SimSun" w:cs="Calibri"/>
          <w:b/>
          <w:bCs/>
          <w:lang w:val="en-US" w:eastAsia="zh-CN"/>
        </w:rPr>
        <w:t>W</w:t>
      </w:r>
      <w:r w:rsidR="00326AC6" w:rsidRPr="643B8041">
        <w:rPr>
          <w:rFonts w:eastAsia="SimSun" w:cs="Calibri"/>
          <w:b/>
          <w:bCs/>
          <w:lang w:val="en-US" w:eastAsia="zh-CN"/>
        </w:rPr>
        <w:t>ork</w:t>
      </w:r>
      <w:r w:rsidR="00756684">
        <w:rPr>
          <w:rFonts w:eastAsia="SimSun" w:cs="Calibri"/>
          <w:b/>
          <w:bCs/>
          <w:lang w:val="en-US" w:eastAsia="zh-CN"/>
        </w:rPr>
        <w:t xml:space="preserve"> and </w:t>
      </w:r>
      <w:r w:rsidR="007E31C6">
        <w:rPr>
          <w:rFonts w:eastAsia="SimSun" w:cs="Calibri"/>
          <w:b/>
          <w:bCs/>
          <w:lang w:val="en-US" w:eastAsia="zh-CN"/>
        </w:rPr>
        <w:t xml:space="preserve">Global </w:t>
      </w:r>
      <w:r w:rsidR="00756684">
        <w:rPr>
          <w:rFonts w:eastAsia="SimSun" w:cs="Calibri"/>
          <w:b/>
          <w:bCs/>
          <w:lang w:val="en-US" w:eastAsia="zh-CN"/>
        </w:rPr>
        <w:t>Digital</w:t>
      </w:r>
      <w:r w:rsidR="007E31C6">
        <w:rPr>
          <w:rFonts w:eastAsia="SimSun" w:cs="Calibri"/>
          <w:b/>
          <w:bCs/>
          <w:lang w:val="en-US" w:eastAsia="zh-CN"/>
        </w:rPr>
        <w:t xml:space="preserve"> Advancement</w:t>
      </w:r>
    </w:p>
    <w:p w14:paraId="19A9A187" w14:textId="5B7E21E7" w:rsidR="00326AC6" w:rsidRDefault="6DC7E1F6">
      <w:pPr>
        <w:tabs>
          <w:tab w:val="clear" w:pos="567"/>
          <w:tab w:val="clear" w:pos="1134"/>
          <w:tab w:val="clear" w:pos="1701"/>
          <w:tab w:val="clear" w:pos="2268"/>
          <w:tab w:val="clear" w:pos="2835"/>
        </w:tabs>
        <w:snapToGrid w:val="0"/>
        <w:spacing w:before="240" w:after="120"/>
        <w:rPr>
          <w:rFonts w:eastAsia="SimSun" w:cs="Calibri"/>
          <w:lang w:val="en-US" w:eastAsia="zh-CN"/>
        </w:rPr>
      </w:pPr>
      <w:r w:rsidRPr="30AB054D">
        <w:rPr>
          <w:rFonts w:eastAsia="SimSun" w:cs="Calibri"/>
          <w:lang w:val="en-US" w:eastAsia="zh-CN"/>
        </w:rPr>
        <w:t xml:space="preserve">In recent years, </w:t>
      </w:r>
      <w:r w:rsidR="009A1E9F" w:rsidRPr="30AB054D">
        <w:rPr>
          <w:rFonts w:eastAsia="SimSun" w:cs="Calibri"/>
          <w:lang w:val="en-US" w:eastAsia="zh-CN"/>
        </w:rPr>
        <w:t xml:space="preserve">the decisions and resolutions made by </w:t>
      </w:r>
      <w:r w:rsidR="60317DE5" w:rsidRPr="30AB054D">
        <w:rPr>
          <w:rFonts w:eastAsia="SimSun" w:cs="Calibri"/>
          <w:lang w:val="en-US" w:eastAsia="zh-CN"/>
        </w:rPr>
        <w:t>Wor</w:t>
      </w:r>
      <w:r w:rsidR="009A1E9F" w:rsidRPr="30AB054D">
        <w:rPr>
          <w:rFonts w:eastAsia="SimSun" w:cs="Calibri"/>
          <w:lang w:val="en-US" w:eastAsia="zh-CN"/>
        </w:rPr>
        <w:t>l</w:t>
      </w:r>
      <w:r w:rsidR="60317DE5" w:rsidRPr="30AB054D">
        <w:rPr>
          <w:rFonts w:eastAsia="SimSun" w:cs="Calibri"/>
          <w:lang w:val="en-US" w:eastAsia="zh-CN"/>
        </w:rPr>
        <w:t xml:space="preserve">d Conferences and Assemblies </w:t>
      </w:r>
      <w:r w:rsidRPr="30AB054D">
        <w:rPr>
          <w:rFonts w:eastAsia="SimSun" w:cs="Calibri"/>
          <w:lang w:val="en-US" w:eastAsia="zh-CN"/>
        </w:rPr>
        <w:t xml:space="preserve">have resulted in significant financial implications for the Union. </w:t>
      </w:r>
      <w:r w:rsidR="58F53700" w:rsidRPr="30AB054D">
        <w:rPr>
          <w:rFonts w:eastAsia="SimSun" w:cs="Calibri"/>
          <w:lang w:val="en-US" w:eastAsia="zh-CN"/>
        </w:rPr>
        <w:t>By way of example, during the period of the Financial Plan 202</w:t>
      </w:r>
      <w:r w:rsidR="4D776439" w:rsidRPr="30AB054D">
        <w:rPr>
          <w:rFonts w:eastAsia="SimSun" w:cs="Calibri"/>
          <w:lang w:val="en-US" w:eastAsia="zh-CN"/>
        </w:rPr>
        <w:t>0</w:t>
      </w:r>
      <w:r w:rsidR="58F53700" w:rsidRPr="30AB054D">
        <w:rPr>
          <w:rFonts w:eastAsia="SimSun" w:cs="Calibri"/>
          <w:lang w:val="en-US" w:eastAsia="zh-CN"/>
        </w:rPr>
        <w:t xml:space="preserve"> to 202</w:t>
      </w:r>
      <w:r w:rsidR="4D776439" w:rsidRPr="30AB054D">
        <w:rPr>
          <w:rFonts w:eastAsia="SimSun" w:cs="Calibri"/>
          <w:lang w:val="en-US" w:eastAsia="zh-CN"/>
        </w:rPr>
        <w:t>3</w:t>
      </w:r>
      <w:r w:rsidR="58F53700" w:rsidRPr="30AB054D">
        <w:rPr>
          <w:rFonts w:eastAsia="SimSun" w:cs="Calibri"/>
          <w:lang w:val="en-US" w:eastAsia="zh-CN"/>
        </w:rPr>
        <w:t xml:space="preserve">, such </w:t>
      </w:r>
      <w:r w:rsidR="23EC6540" w:rsidRPr="30AB054D">
        <w:rPr>
          <w:rFonts w:eastAsia="SimSun" w:cs="Calibri"/>
          <w:lang w:val="en-US" w:eastAsia="zh-CN"/>
        </w:rPr>
        <w:t>conference outcome</w:t>
      </w:r>
      <w:r w:rsidR="009A1E9F" w:rsidRPr="30AB054D">
        <w:rPr>
          <w:rFonts w:eastAsia="SimSun" w:cs="Calibri"/>
          <w:lang w:val="en-US" w:eastAsia="zh-CN"/>
        </w:rPr>
        <w:t>s</w:t>
      </w:r>
      <w:r w:rsidR="793D6F02" w:rsidRPr="30AB054D">
        <w:rPr>
          <w:rFonts w:eastAsia="SimSun" w:cs="Calibri"/>
          <w:lang w:val="en-US" w:eastAsia="zh-CN"/>
        </w:rPr>
        <w:t xml:space="preserve"> </w:t>
      </w:r>
      <w:r w:rsidR="007247F6" w:rsidRPr="30AB054D">
        <w:rPr>
          <w:rFonts w:eastAsia="SimSun" w:cs="Calibri"/>
          <w:lang w:val="en-US" w:eastAsia="zh-CN"/>
        </w:rPr>
        <w:t>required</w:t>
      </w:r>
      <w:r w:rsidR="58F53700" w:rsidRPr="30AB054D">
        <w:rPr>
          <w:rFonts w:eastAsia="SimSun" w:cs="Calibri"/>
          <w:lang w:val="en-US" w:eastAsia="zh-CN"/>
        </w:rPr>
        <w:t xml:space="preserve"> </w:t>
      </w:r>
      <w:r w:rsidR="00F341DB" w:rsidRPr="30AB054D">
        <w:rPr>
          <w:rFonts w:eastAsia="SimSun" w:cs="Calibri"/>
          <w:lang w:val="en-US" w:eastAsia="zh-CN"/>
        </w:rPr>
        <w:t>approximately</w:t>
      </w:r>
      <w:r w:rsidR="4257175A" w:rsidRPr="30AB054D">
        <w:rPr>
          <w:rFonts w:eastAsia="SimSun" w:cs="Calibri"/>
          <w:lang w:val="en-US" w:eastAsia="zh-CN"/>
        </w:rPr>
        <w:t xml:space="preserve"> </w:t>
      </w:r>
      <w:r w:rsidR="58F53700" w:rsidRPr="30AB054D">
        <w:rPr>
          <w:rFonts w:eastAsia="SimSun" w:cs="Calibri"/>
          <w:lang w:val="en-US" w:eastAsia="zh-CN"/>
        </w:rPr>
        <w:t>CHF</w:t>
      </w:r>
      <w:r w:rsidR="145FA1DB" w:rsidRPr="30AB054D">
        <w:rPr>
          <w:rFonts w:eastAsia="SimSun" w:cs="Calibri"/>
          <w:lang w:val="en-US" w:eastAsia="zh-CN"/>
        </w:rPr>
        <w:t> </w:t>
      </w:r>
      <w:r w:rsidR="4257175A" w:rsidRPr="30AB054D">
        <w:rPr>
          <w:rFonts w:eastAsia="SimSun" w:cs="Calibri"/>
          <w:lang w:val="en-US" w:eastAsia="zh-CN"/>
        </w:rPr>
        <w:t>4</w:t>
      </w:r>
      <w:r w:rsidR="145FA1DB" w:rsidRPr="30AB054D">
        <w:rPr>
          <w:rFonts w:eastAsia="SimSun" w:cs="Calibri"/>
          <w:lang w:val="en-US" w:eastAsia="zh-CN"/>
        </w:rPr>
        <w:t xml:space="preserve"> million</w:t>
      </w:r>
      <w:r w:rsidR="00F341DB" w:rsidRPr="30AB054D">
        <w:rPr>
          <w:rFonts w:eastAsia="SimSun" w:cs="Calibri"/>
          <w:lang w:val="en-US" w:eastAsia="zh-CN"/>
        </w:rPr>
        <w:t xml:space="preserve"> for full implementation</w:t>
      </w:r>
      <w:r w:rsidR="00755510" w:rsidRPr="30AB054D">
        <w:rPr>
          <w:rFonts w:eastAsia="SimSun" w:cs="Calibri"/>
          <w:lang w:val="en-US" w:eastAsia="zh-CN"/>
        </w:rPr>
        <w:t xml:space="preserve">, and ITU was required to </w:t>
      </w:r>
      <w:r w:rsidR="00940C60" w:rsidRPr="30AB054D">
        <w:rPr>
          <w:rFonts w:eastAsia="SimSun" w:cs="Calibri"/>
          <w:lang w:val="en-US" w:eastAsia="zh-CN"/>
        </w:rPr>
        <w:t>undertake a prioritization exercise to balance its budget for 2022 and 2023</w:t>
      </w:r>
      <w:r w:rsidR="00A239E3" w:rsidRPr="30AB054D">
        <w:rPr>
          <w:rFonts w:eastAsia="SimSun" w:cs="Calibri"/>
          <w:lang w:val="en-US" w:eastAsia="zh-CN"/>
        </w:rPr>
        <w:t xml:space="preserve"> </w:t>
      </w:r>
      <w:r w:rsidR="00940C60" w:rsidRPr="30AB054D">
        <w:rPr>
          <w:rFonts w:eastAsia="SimSun" w:cs="Calibri"/>
          <w:lang w:val="en-US" w:eastAsia="zh-CN"/>
        </w:rPr>
        <w:t>(</w:t>
      </w:r>
      <w:r w:rsidR="002A3E6F" w:rsidRPr="30AB054D">
        <w:rPr>
          <w:rFonts w:eastAsia="SimSun" w:cs="Calibri"/>
          <w:lang w:val="en-US" w:eastAsia="zh-CN"/>
        </w:rPr>
        <w:t xml:space="preserve">classifying some of these </w:t>
      </w:r>
      <w:r w:rsidR="002A3E6F" w:rsidRPr="00D52168">
        <w:rPr>
          <w:rFonts w:eastAsia="SimSun" w:cs="Calibri"/>
          <w:spacing w:val="-2"/>
          <w:lang w:val="en-US" w:eastAsia="zh-CN"/>
        </w:rPr>
        <w:t>activities as u</w:t>
      </w:r>
      <w:r w:rsidR="00940C60" w:rsidRPr="00D52168">
        <w:rPr>
          <w:rFonts w:eastAsia="SimSun" w:cs="Calibri"/>
          <w:spacing w:val="-2"/>
          <w:lang w:val="en-US" w:eastAsia="zh-CN"/>
        </w:rPr>
        <w:t xml:space="preserve">nfunded </w:t>
      </w:r>
      <w:r w:rsidR="002A3E6F" w:rsidRPr="00D52168">
        <w:rPr>
          <w:rFonts w:eastAsia="SimSun" w:cs="Calibri"/>
          <w:spacing w:val="-2"/>
          <w:lang w:val="en-US" w:eastAsia="zh-CN"/>
        </w:rPr>
        <w:t>m</w:t>
      </w:r>
      <w:r w:rsidR="00940C60" w:rsidRPr="00D52168">
        <w:rPr>
          <w:rFonts w:eastAsia="SimSun" w:cs="Calibri"/>
          <w:spacing w:val="-2"/>
          <w:lang w:val="en-US" w:eastAsia="zh-CN"/>
        </w:rPr>
        <w:t xml:space="preserve">andatory </w:t>
      </w:r>
      <w:r w:rsidR="002A3E6F" w:rsidRPr="00D52168">
        <w:rPr>
          <w:rFonts w:eastAsia="SimSun" w:cs="Calibri"/>
          <w:spacing w:val="-2"/>
          <w:lang w:val="en-US" w:eastAsia="zh-CN"/>
        </w:rPr>
        <w:t>a</w:t>
      </w:r>
      <w:r w:rsidR="00940C60" w:rsidRPr="00D52168">
        <w:rPr>
          <w:rFonts w:eastAsia="SimSun" w:cs="Calibri"/>
          <w:spacing w:val="-2"/>
          <w:lang w:val="en-US" w:eastAsia="zh-CN"/>
        </w:rPr>
        <w:t>ctivit</w:t>
      </w:r>
      <w:r w:rsidR="002A3E6F" w:rsidRPr="00D52168">
        <w:rPr>
          <w:rFonts w:eastAsia="SimSun" w:cs="Calibri"/>
          <w:spacing w:val="-2"/>
          <w:lang w:val="en-US" w:eastAsia="zh-CN"/>
        </w:rPr>
        <w:t>ies</w:t>
      </w:r>
      <w:r w:rsidR="00940C60" w:rsidRPr="00D52168">
        <w:rPr>
          <w:rFonts w:eastAsia="SimSun" w:cs="Calibri"/>
          <w:spacing w:val="-2"/>
          <w:lang w:val="en-US" w:eastAsia="zh-CN"/>
        </w:rPr>
        <w:t>)</w:t>
      </w:r>
      <w:r w:rsidR="58F53700" w:rsidRPr="00D52168">
        <w:rPr>
          <w:rFonts w:eastAsia="SimSun" w:cs="Calibri"/>
          <w:spacing w:val="-2"/>
          <w:lang w:val="en-US" w:eastAsia="zh-CN"/>
        </w:rPr>
        <w:t xml:space="preserve">. To date, </w:t>
      </w:r>
      <w:r w:rsidR="00F341DB" w:rsidRPr="00D52168">
        <w:rPr>
          <w:rFonts w:eastAsia="SimSun" w:cs="Calibri"/>
          <w:spacing w:val="-2"/>
          <w:lang w:val="en-US" w:eastAsia="zh-CN"/>
        </w:rPr>
        <w:t>an additional CHF 12 million of expenses</w:t>
      </w:r>
      <w:r w:rsidR="00F341DB" w:rsidRPr="30AB054D">
        <w:rPr>
          <w:rFonts w:eastAsia="SimSun" w:cs="Calibri"/>
          <w:lang w:val="en-US" w:eastAsia="zh-CN"/>
        </w:rPr>
        <w:t xml:space="preserve"> </w:t>
      </w:r>
      <w:r w:rsidR="00F341DB" w:rsidRPr="00D52168">
        <w:rPr>
          <w:rFonts w:eastAsia="SimSun" w:cs="Calibri"/>
          <w:spacing w:val="-2"/>
          <w:lang w:val="en-US" w:eastAsia="zh-CN"/>
        </w:rPr>
        <w:t>have already been added to ITU’s</w:t>
      </w:r>
      <w:r w:rsidR="5C73D8B5" w:rsidRPr="00D52168">
        <w:rPr>
          <w:rFonts w:eastAsia="SimSun" w:cs="Calibri"/>
          <w:spacing w:val="-2"/>
          <w:lang w:val="en-US" w:eastAsia="zh-CN"/>
        </w:rPr>
        <w:t xml:space="preserve"> Financial Plan </w:t>
      </w:r>
      <w:r w:rsidR="00F341DB" w:rsidRPr="00D52168">
        <w:rPr>
          <w:rFonts w:eastAsia="SimSun" w:cs="Calibri"/>
          <w:spacing w:val="-2"/>
          <w:lang w:val="en-US" w:eastAsia="zh-CN"/>
        </w:rPr>
        <w:t xml:space="preserve">for </w:t>
      </w:r>
      <w:r w:rsidR="4867BFF4" w:rsidRPr="00D52168">
        <w:rPr>
          <w:rFonts w:eastAsia="SimSun" w:cs="Calibri"/>
          <w:spacing w:val="-2"/>
          <w:lang w:val="en-US" w:eastAsia="zh-CN"/>
        </w:rPr>
        <w:t>2024 – 2027</w:t>
      </w:r>
      <w:r w:rsidR="00F341DB" w:rsidRPr="00D52168">
        <w:rPr>
          <w:rFonts w:eastAsia="SimSun" w:cs="Calibri"/>
          <w:spacing w:val="-2"/>
          <w:lang w:val="en-US" w:eastAsia="zh-CN"/>
        </w:rPr>
        <w:t>,</w:t>
      </w:r>
      <w:r w:rsidR="4867BFF4" w:rsidRPr="00D52168">
        <w:rPr>
          <w:rFonts w:eastAsia="SimSun" w:cs="Calibri"/>
          <w:spacing w:val="-2"/>
          <w:lang w:val="en-US" w:eastAsia="zh-CN"/>
        </w:rPr>
        <w:t xml:space="preserve"> without any related increase</w:t>
      </w:r>
      <w:r w:rsidR="4867BFF4" w:rsidRPr="30AB054D">
        <w:rPr>
          <w:rFonts w:eastAsia="SimSun" w:cs="Calibri"/>
          <w:lang w:val="en-US" w:eastAsia="zh-CN"/>
        </w:rPr>
        <w:t xml:space="preserve"> </w:t>
      </w:r>
      <w:r w:rsidR="4867BFF4" w:rsidRPr="00D52168">
        <w:rPr>
          <w:rFonts w:eastAsia="SimSun" w:cs="Calibri"/>
          <w:spacing w:val="-2"/>
          <w:lang w:val="en-US" w:eastAsia="zh-CN"/>
        </w:rPr>
        <w:t>in funding.</w:t>
      </w:r>
      <w:r w:rsidRPr="00D52168">
        <w:rPr>
          <w:rFonts w:eastAsia="SimSun" w:cs="Calibri"/>
          <w:spacing w:val="-2"/>
          <w:lang w:val="en-US" w:eastAsia="zh-CN"/>
        </w:rPr>
        <w:t xml:space="preserve"> </w:t>
      </w:r>
      <w:r w:rsidR="069F69C6" w:rsidRPr="00D52168">
        <w:rPr>
          <w:rFonts w:eastAsia="SimSun" w:cs="Calibri"/>
          <w:spacing w:val="-2"/>
          <w:lang w:val="en-US" w:eastAsia="zh-CN"/>
        </w:rPr>
        <w:t>Without additional funding</w:t>
      </w:r>
      <w:r w:rsidRPr="00D52168">
        <w:rPr>
          <w:rFonts w:eastAsia="SimSun" w:cs="Calibri"/>
          <w:spacing w:val="-2"/>
          <w:lang w:val="en-US" w:eastAsia="zh-CN"/>
        </w:rPr>
        <w:t xml:space="preserve">, such activities put significant pressure </w:t>
      </w:r>
      <w:r w:rsidR="53CD29D8" w:rsidRPr="00D52168">
        <w:rPr>
          <w:rFonts w:eastAsia="SimSun" w:cs="Calibri"/>
          <w:spacing w:val="-2"/>
          <w:lang w:val="en-US" w:eastAsia="zh-CN"/>
        </w:rPr>
        <w:t xml:space="preserve">on </w:t>
      </w:r>
      <w:r w:rsidRPr="00D52168">
        <w:rPr>
          <w:rFonts w:eastAsia="SimSun" w:cs="Calibri"/>
          <w:spacing w:val="-2"/>
          <w:lang w:val="en-US" w:eastAsia="zh-CN"/>
        </w:rPr>
        <w:t xml:space="preserve">the </w:t>
      </w:r>
      <w:r w:rsidR="6C96A617" w:rsidRPr="00D52168">
        <w:rPr>
          <w:rFonts w:eastAsia="SimSun" w:cs="Calibri"/>
          <w:spacing w:val="-2"/>
          <w:lang w:val="en-US" w:eastAsia="zh-CN"/>
        </w:rPr>
        <w:t>finances</w:t>
      </w:r>
      <w:r w:rsidR="6C96A617" w:rsidRPr="30AB054D">
        <w:rPr>
          <w:rFonts w:eastAsia="SimSun" w:cs="Calibri"/>
          <w:lang w:val="en-US" w:eastAsia="zh-CN"/>
        </w:rPr>
        <w:t xml:space="preserve"> of </w:t>
      </w:r>
      <w:r w:rsidRPr="30AB054D">
        <w:rPr>
          <w:rFonts w:eastAsia="SimSun" w:cs="Calibri"/>
          <w:lang w:val="en-US" w:eastAsia="zh-CN"/>
        </w:rPr>
        <w:t xml:space="preserve">the Union and limit its ability to respond </w:t>
      </w:r>
      <w:r w:rsidR="04B7651B" w:rsidRPr="30AB054D">
        <w:rPr>
          <w:rFonts w:eastAsia="SimSun" w:cs="Calibri"/>
          <w:lang w:val="en-US" w:eastAsia="zh-CN"/>
        </w:rPr>
        <w:t xml:space="preserve">effectively </w:t>
      </w:r>
      <w:r w:rsidRPr="30AB054D">
        <w:rPr>
          <w:rFonts w:eastAsia="SimSun" w:cs="Calibri"/>
          <w:lang w:val="en-US" w:eastAsia="zh-CN"/>
        </w:rPr>
        <w:t>to membership’s expectations.</w:t>
      </w:r>
      <w:r w:rsidR="151CA399" w:rsidRPr="30AB054D">
        <w:rPr>
          <w:rFonts w:eastAsia="SimSun" w:cs="Calibri"/>
          <w:lang w:val="en-US" w:eastAsia="zh-CN"/>
        </w:rPr>
        <w:t xml:space="preserve"> </w:t>
      </w:r>
    </w:p>
    <w:bookmarkEnd w:id="12"/>
    <w:p w14:paraId="7186E99E" w14:textId="77777777" w:rsidR="00513841" w:rsidRDefault="00B90ED6" w:rsidP="002064FB">
      <w:pPr>
        <w:spacing w:after="120"/>
        <w:rPr>
          <w:rFonts w:eastAsia="SimSun"/>
        </w:rPr>
      </w:pPr>
      <w:r w:rsidRPr="30AB054D">
        <w:rPr>
          <w:rFonts w:eastAsia="SimSun"/>
        </w:rPr>
        <w:t xml:space="preserve">The rapid increase in the use of digital technologies has </w:t>
      </w:r>
      <w:r w:rsidR="00680344" w:rsidRPr="30AB054D">
        <w:rPr>
          <w:rFonts w:eastAsia="SimSun"/>
        </w:rPr>
        <w:t xml:space="preserve">also </w:t>
      </w:r>
      <w:r w:rsidRPr="30AB054D">
        <w:rPr>
          <w:rFonts w:eastAsia="SimSun"/>
        </w:rPr>
        <w:t>significantly heightened the demand for ITU’s expertise across its membership. As countries increasingly adopt digital solutions to drive economic growth, social inclusion, and innovation, the need for specialized knowledge and support from ITU has grown exponentially. This surge in demand encompasses a wide array of areas, including cybersecurity, digital infrastructure development, and capacity-building initiatives. Consequently, ITU is faced with the dual challenge of scaling its operations to meet these heightened expectations while navigating the financial constraints imposed by its current funding framework.</w:t>
      </w:r>
    </w:p>
    <w:p w14:paraId="12F625E6" w14:textId="5EEAD1FE" w:rsidR="00B52108" w:rsidRPr="006462E5" w:rsidRDefault="00BD27E9" w:rsidP="002064FB">
      <w:pPr>
        <w:keepNext/>
        <w:spacing w:after="120"/>
        <w:rPr>
          <w:rFonts w:eastAsia="SimSun"/>
          <w:b/>
          <w:bCs/>
        </w:rPr>
      </w:pPr>
      <w:r w:rsidRPr="006462E5">
        <w:rPr>
          <w:rFonts w:eastAsia="SimSun"/>
          <w:b/>
          <w:bCs/>
        </w:rPr>
        <w:t>Impact</w:t>
      </w:r>
      <w:r w:rsidR="00D11F37" w:rsidRPr="006462E5">
        <w:rPr>
          <w:rFonts w:eastAsia="SimSun"/>
          <w:b/>
          <w:bCs/>
        </w:rPr>
        <w:t>:</w:t>
      </w:r>
    </w:p>
    <w:p w14:paraId="0F62E52F" w14:textId="781DAE1A" w:rsidR="00BD27E9" w:rsidRPr="006462E5" w:rsidRDefault="00BD27E9" w:rsidP="002064FB">
      <w:pPr>
        <w:spacing w:after="120"/>
        <w:rPr>
          <w:rFonts w:eastAsia="SimSun"/>
        </w:rPr>
      </w:pPr>
      <w:r w:rsidRPr="00BD27E9">
        <w:rPr>
          <w:rFonts w:eastAsia="SimSun"/>
        </w:rPr>
        <w:t>In summary, the expanded mandates and post-conference work have created a significant financial and operational burden on the Union, limiting its ability to meet the growing expectations of its members and potentially compromising the quality of its services. The Union needs to address these challenges by seeking additional funding or re-evaluating its approach to managing these expanded activities.</w:t>
      </w:r>
    </w:p>
    <w:p w14:paraId="4F52AF2C" w14:textId="072C32B7" w:rsidR="000D597F" w:rsidRDefault="002A3E6F" w:rsidP="382D4B9D">
      <w:pPr>
        <w:pStyle w:val="Reasons"/>
        <w:keepNext/>
        <w:spacing w:before="240"/>
        <w:rPr>
          <w:rFonts w:eastAsia="SimSun" w:cs="Calibri"/>
          <w:lang w:eastAsia="zh-CN"/>
        </w:rPr>
      </w:pPr>
      <w:r>
        <w:lastRenderedPageBreak/>
        <w:t>8</w:t>
      </w:r>
      <w:r w:rsidR="000452B2">
        <w:tab/>
      </w:r>
      <w:r w:rsidR="76BC152C" w:rsidRPr="382D4B9D">
        <w:rPr>
          <w:rFonts w:eastAsia="SimSun" w:cs="Calibri"/>
          <w:b/>
          <w:bCs/>
          <w:lang w:eastAsia="zh-CN"/>
        </w:rPr>
        <w:t xml:space="preserve">Need </w:t>
      </w:r>
      <w:r w:rsidR="2FD84CDF" w:rsidRPr="382D4B9D">
        <w:rPr>
          <w:rFonts w:eastAsia="SimSun" w:cs="Calibri"/>
          <w:b/>
          <w:bCs/>
          <w:lang w:eastAsia="zh-CN"/>
        </w:rPr>
        <w:t xml:space="preserve">to </w:t>
      </w:r>
      <w:r w:rsidR="77CF741A" w:rsidRPr="382D4B9D">
        <w:rPr>
          <w:rFonts w:eastAsia="SimSun" w:cs="Calibri"/>
          <w:b/>
          <w:bCs/>
          <w:lang w:eastAsia="zh-CN"/>
        </w:rPr>
        <w:t>Fund Long Term obligations</w:t>
      </w:r>
      <w:r w:rsidR="76BC152C" w:rsidRPr="382D4B9D">
        <w:rPr>
          <w:rFonts w:eastAsia="SimSun" w:cs="Calibri"/>
          <w:lang w:eastAsia="zh-CN"/>
        </w:rPr>
        <w:t xml:space="preserve"> </w:t>
      </w:r>
    </w:p>
    <w:p w14:paraId="195BC9DF" w14:textId="7EF3428D" w:rsidR="00CE3168" w:rsidRPr="00CE3168" w:rsidRDefault="0CECC92C" w:rsidP="382D4B9D">
      <w:pPr>
        <w:pStyle w:val="Reasons"/>
        <w:spacing w:before="240"/>
        <w:rPr>
          <w:rFonts w:eastAsia="SimSun" w:cs="Calibri"/>
          <w:lang w:val="en-GB" w:eastAsia="zh-CN"/>
        </w:rPr>
      </w:pPr>
      <w:r w:rsidRPr="382D4B9D">
        <w:rPr>
          <w:rFonts w:eastAsia="SimSun" w:cs="Calibri"/>
          <w:lang w:val="en-GB" w:eastAsia="zh-CN"/>
        </w:rPr>
        <w:t xml:space="preserve">ITU is currently facing several significant obligations that are critical to the organization’s long-term sustainability and operational resilience. These obligations include the building project, </w:t>
      </w:r>
      <w:r w:rsidR="2635115F" w:rsidRPr="382D4B9D">
        <w:rPr>
          <w:rFonts w:eastAsia="SimSun" w:cs="Calibri"/>
          <w:lang w:val="en-GB" w:eastAsia="zh-CN"/>
        </w:rPr>
        <w:t xml:space="preserve">maintenance of current buildings, </w:t>
      </w:r>
      <w:r w:rsidRPr="382D4B9D">
        <w:rPr>
          <w:rFonts w:eastAsia="SimSun" w:cs="Calibri"/>
          <w:lang w:val="en-GB" w:eastAsia="zh-CN"/>
        </w:rPr>
        <w:t>the necessity to maintain reserves for After Service Health Insurance (ASHI), and other contingency reserves. Addressing these obligations effectively is essential not only for ITU's ongoing operations but also for its ability to manage and mitigate financial uncertainties.</w:t>
      </w:r>
    </w:p>
    <w:p w14:paraId="715C3B89" w14:textId="77777777" w:rsidR="00CE3168" w:rsidRPr="006462E5" w:rsidRDefault="00CE3168" w:rsidP="006462E5">
      <w:pPr>
        <w:pStyle w:val="Reasons"/>
        <w:spacing w:before="240"/>
        <w:rPr>
          <w:rFonts w:eastAsia="SimSun" w:cs="Calibri"/>
          <w:b/>
          <w:szCs w:val="24"/>
          <w:lang w:val="en-GB" w:eastAsia="zh-CN"/>
        </w:rPr>
      </w:pPr>
      <w:r w:rsidRPr="00CE3168">
        <w:rPr>
          <w:rFonts w:eastAsia="SimSun" w:cs="Calibri"/>
          <w:b/>
          <w:bCs/>
          <w:szCs w:val="24"/>
          <w:lang w:val="en-GB" w:eastAsia="zh-CN"/>
        </w:rPr>
        <w:t>The Building Project:</w:t>
      </w:r>
    </w:p>
    <w:p w14:paraId="7A64FA91" w14:textId="54090F21" w:rsidR="00CE3168" w:rsidRPr="00CE3168" w:rsidRDefault="00CE3168" w:rsidP="00A87809">
      <w:pPr>
        <w:pStyle w:val="Reasons"/>
        <w:spacing w:before="240"/>
        <w:rPr>
          <w:rFonts w:eastAsia="SimSun" w:cs="Calibri"/>
          <w:lang w:val="en-GB" w:eastAsia="zh-CN"/>
        </w:rPr>
      </w:pPr>
      <w:r w:rsidRPr="643B8041">
        <w:rPr>
          <w:rFonts w:eastAsia="SimSun" w:cs="Calibri"/>
          <w:lang w:val="en-GB" w:eastAsia="zh-CN"/>
        </w:rPr>
        <w:t>The building project represents a major capital investment for ITU, aimed at modernizing and expanding its physical infrastructure. This project is not just about improving facilities; it is a strategic investment in the future of ITU, ensuring that the organization has the physical capacity to support its growing functions and the evolving needs of its Member States.</w:t>
      </w:r>
    </w:p>
    <w:p w14:paraId="0EED7A00" w14:textId="4A0FC549" w:rsidR="00CE3168" w:rsidRPr="00CE3168" w:rsidRDefault="0CECC92C" w:rsidP="00A87809">
      <w:pPr>
        <w:pStyle w:val="Reasons"/>
        <w:numPr>
          <w:ilvl w:val="0"/>
          <w:numId w:val="18"/>
        </w:numPr>
        <w:spacing w:before="240"/>
        <w:rPr>
          <w:rFonts w:eastAsia="SimSun" w:cs="Calibri"/>
          <w:lang w:val="en-GB" w:eastAsia="zh-CN"/>
        </w:rPr>
      </w:pPr>
      <w:r w:rsidRPr="382D4B9D">
        <w:rPr>
          <w:rFonts w:eastAsia="SimSun" w:cs="Calibri"/>
          <w:b/>
          <w:bCs/>
          <w:lang w:val="en-GB" w:eastAsia="zh-CN"/>
        </w:rPr>
        <w:t>Financial Commitment</w:t>
      </w:r>
      <w:r w:rsidR="17BF3711" w:rsidRPr="382D4B9D">
        <w:rPr>
          <w:rFonts w:eastAsia="SimSun" w:cs="Calibri"/>
          <w:b/>
          <w:bCs/>
          <w:lang w:val="en-GB" w:eastAsia="zh-CN"/>
        </w:rPr>
        <w:t xml:space="preserve"> for the building project</w:t>
      </w:r>
      <w:r w:rsidRPr="382D4B9D">
        <w:rPr>
          <w:rFonts w:eastAsia="SimSun" w:cs="Calibri"/>
          <w:b/>
          <w:bCs/>
          <w:lang w:val="en-GB" w:eastAsia="zh-CN"/>
        </w:rPr>
        <w:t>:</w:t>
      </w:r>
      <w:r w:rsidRPr="382D4B9D">
        <w:rPr>
          <w:rFonts w:eastAsia="SimSun" w:cs="Calibri"/>
          <w:lang w:val="en-GB" w:eastAsia="zh-CN"/>
        </w:rPr>
        <w:t xml:space="preserve"> The building project will require substantial financial resources</w:t>
      </w:r>
      <w:r w:rsidR="5CA96E96" w:rsidRPr="382D4B9D">
        <w:rPr>
          <w:rFonts w:eastAsia="SimSun" w:cs="Calibri"/>
          <w:lang w:val="en-GB" w:eastAsia="zh-CN"/>
        </w:rPr>
        <w:t xml:space="preserve">. While this is mostly funded from the </w:t>
      </w:r>
      <w:r w:rsidR="1539E2E2" w:rsidRPr="382D4B9D">
        <w:rPr>
          <w:rFonts w:eastAsia="SimSun" w:cs="Calibri"/>
          <w:lang w:val="en-GB" w:eastAsia="zh-CN"/>
        </w:rPr>
        <w:t xml:space="preserve">interest free </w:t>
      </w:r>
      <w:r w:rsidR="5CA96E96" w:rsidRPr="382D4B9D">
        <w:rPr>
          <w:rFonts w:eastAsia="SimSun" w:cs="Calibri"/>
          <w:lang w:val="en-GB" w:eastAsia="zh-CN"/>
        </w:rPr>
        <w:t>S</w:t>
      </w:r>
      <w:r w:rsidR="48A623D2" w:rsidRPr="382D4B9D">
        <w:rPr>
          <w:rFonts w:eastAsia="SimSun" w:cs="Calibri"/>
          <w:lang w:val="en-GB" w:eastAsia="zh-CN"/>
        </w:rPr>
        <w:t>wiss</w:t>
      </w:r>
      <w:r w:rsidR="5DE62637" w:rsidRPr="382D4B9D">
        <w:rPr>
          <w:rFonts w:eastAsia="SimSun" w:cs="Calibri"/>
          <w:lang w:val="en-GB" w:eastAsia="zh-CN"/>
        </w:rPr>
        <w:t xml:space="preserve"> loan, repayments (at </w:t>
      </w:r>
      <w:r w:rsidR="00D52168">
        <w:rPr>
          <w:rFonts w:eastAsia="SimSun" w:cs="Calibri"/>
          <w:lang w:val="en-GB" w:eastAsia="zh-CN"/>
        </w:rPr>
        <w:t xml:space="preserve">CHF </w:t>
      </w:r>
      <w:r w:rsidR="5DE62637" w:rsidRPr="382D4B9D">
        <w:rPr>
          <w:rFonts w:eastAsia="SimSun" w:cs="Calibri"/>
          <w:lang w:val="en-GB" w:eastAsia="zh-CN"/>
        </w:rPr>
        <w:t>3 million a year) will have to be included in the financial plan.</w:t>
      </w:r>
      <w:r w:rsidR="006C08C7">
        <w:rPr>
          <w:rFonts w:eastAsia="SimSun" w:cs="Calibri"/>
          <w:lang w:val="en-GB" w:eastAsia="zh-CN"/>
        </w:rPr>
        <w:t xml:space="preserve"> </w:t>
      </w:r>
      <w:r w:rsidR="70B27A57" w:rsidRPr="382D4B9D">
        <w:rPr>
          <w:rFonts w:eastAsia="SimSun" w:cs="Calibri"/>
          <w:lang w:val="en-GB" w:eastAsia="zh-CN"/>
        </w:rPr>
        <w:t>Furthermore, t</w:t>
      </w:r>
      <w:r w:rsidRPr="382D4B9D">
        <w:rPr>
          <w:rFonts w:eastAsia="SimSun" w:cs="Calibri"/>
          <w:lang w:val="en-GB" w:eastAsia="zh-CN"/>
        </w:rPr>
        <w:t xml:space="preserve">o ensure the project remains on track and does not face delays, or compromises in quality ITU need sufficient reserves to </w:t>
      </w:r>
      <w:r w:rsidR="6F0493C3" w:rsidRPr="382D4B9D">
        <w:rPr>
          <w:rFonts w:eastAsia="SimSun" w:cs="Calibri"/>
          <w:lang w:val="en-GB" w:eastAsia="zh-CN"/>
        </w:rPr>
        <w:t xml:space="preserve">fund a risk register fund and </w:t>
      </w:r>
      <w:r w:rsidRPr="382D4B9D">
        <w:rPr>
          <w:rFonts w:eastAsia="SimSun" w:cs="Calibri"/>
          <w:lang w:val="en-GB" w:eastAsia="zh-CN"/>
        </w:rPr>
        <w:t>ensure contingencies are met as quality and ultimate delays in delivery of the building could negatively impact ITU’s ability to serve its stakeholders effectively.</w:t>
      </w:r>
    </w:p>
    <w:p w14:paraId="7BE95FDE" w14:textId="406937A9" w:rsidR="00E54183" w:rsidRDefault="51B3982C" w:rsidP="002064FB">
      <w:pPr>
        <w:pStyle w:val="Reasons"/>
        <w:numPr>
          <w:ilvl w:val="0"/>
          <w:numId w:val="18"/>
        </w:numPr>
        <w:spacing w:before="60"/>
        <w:ind w:left="714" w:hanging="357"/>
        <w:rPr>
          <w:rFonts w:eastAsia="SimSun" w:cs="Calibri"/>
          <w:lang w:val="en-GB" w:eastAsia="zh-CN"/>
        </w:rPr>
      </w:pPr>
      <w:r w:rsidRPr="547D3AA4">
        <w:rPr>
          <w:rFonts w:eastAsia="SimSun" w:cs="Calibri"/>
          <w:b/>
          <w:bCs/>
          <w:lang w:val="en-GB" w:eastAsia="zh-CN"/>
        </w:rPr>
        <w:t>Business continuity:</w:t>
      </w:r>
      <w:r w:rsidRPr="547D3AA4">
        <w:rPr>
          <w:rFonts w:eastAsia="SimSun" w:cs="Calibri"/>
          <w:lang w:val="en-GB" w:eastAsia="zh-CN"/>
        </w:rPr>
        <w:t xml:space="preserve"> </w:t>
      </w:r>
      <w:r w:rsidR="00FD5362" w:rsidRPr="547D3AA4">
        <w:rPr>
          <w:rFonts w:eastAsia="SimSun" w:cs="Calibri"/>
          <w:lang w:val="en-GB" w:eastAsia="zh-CN"/>
        </w:rPr>
        <w:t xml:space="preserve">During the </w:t>
      </w:r>
      <w:r w:rsidRPr="547D3AA4">
        <w:rPr>
          <w:rFonts w:eastAsia="SimSun" w:cs="Calibri"/>
          <w:lang w:val="en-GB" w:eastAsia="zh-CN"/>
        </w:rPr>
        <w:t xml:space="preserve">building project </w:t>
      </w:r>
      <w:r w:rsidR="00FD5362" w:rsidRPr="547D3AA4">
        <w:rPr>
          <w:rFonts w:eastAsia="SimSun" w:cs="Calibri"/>
          <w:lang w:val="en-GB" w:eastAsia="zh-CN"/>
        </w:rPr>
        <w:t xml:space="preserve">ITU will incur an increase in costs to </w:t>
      </w:r>
      <w:r w:rsidR="00FD5362" w:rsidRPr="00D52168">
        <w:rPr>
          <w:rFonts w:eastAsia="SimSun" w:cs="Calibri"/>
          <w:spacing w:val="-2"/>
          <w:lang w:val="en-GB" w:eastAsia="zh-CN"/>
        </w:rPr>
        <w:t>cover business continuity needs</w:t>
      </w:r>
      <w:r w:rsidR="41293161" w:rsidRPr="00D52168">
        <w:rPr>
          <w:rFonts w:eastAsia="SimSun" w:cs="Calibri"/>
          <w:spacing w:val="-2"/>
          <w:lang w:val="en-GB" w:eastAsia="zh-CN"/>
        </w:rPr>
        <w:t>, particularly in relation to Conferences and Meetings</w:t>
      </w:r>
      <w:r w:rsidR="00FD5362" w:rsidRPr="00D52168">
        <w:rPr>
          <w:rFonts w:eastAsia="SimSun" w:cs="Calibri"/>
          <w:spacing w:val="-2"/>
          <w:lang w:val="en-GB" w:eastAsia="zh-CN"/>
        </w:rPr>
        <w:t>.</w:t>
      </w:r>
      <w:r w:rsidR="00FD5362" w:rsidRPr="547D3AA4">
        <w:rPr>
          <w:rFonts w:eastAsia="SimSun" w:cs="Calibri"/>
          <w:lang w:val="en-GB" w:eastAsia="zh-CN"/>
        </w:rPr>
        <w:t xml:space="preserve"> </w:t>
      </w:r>
      <w:r w:rsidR="00FD5362" w:rsidRPr="00D52168">
        <w:rPr>
          <w:rFonts w:eastAsia="SimSun" w:cs="Calibri"/>
          <w:spacing w:val="-2"/>
          <w:lang w:val="en-GB" w:eastAsia="zh-CN"/>
        </w:rPr>
        <w:t xml:space="preserve">An </w:t>
      </w:r>
      <w:r w:rsidRPr="00D52168">
        <w:rPr>
          <w:rFonts w:eastAsia="SimSun" w:cs="Calibri"/>
          <w:spacing w:val="-2"/>
          <w:lang w:val="en-GB" w:eastAsia="zh-CN"/>
        </w:rPr>
        <w:t xml:space="preserve">initial assessment was </w:t>
      </w:r>
      <w:r w:rsidR="00FD5362" w:rsidRPr="00D52168">
        <w:rPr>
          <w:rFonts w:eastAsia="SimSun" w:cs="Calibri"/>
          <w:spacing w:val="-2"/>
          <w:lang w:val="en-GB" w:eastAsia="zh-CN"/>
        </w:rPr>
        <w:t xml:space="preserve">done in the amount of </w:t>
      </w:r>
      <w:r w:rsidR="00D52168">
        <w:rPr>
          <w:rFonts w:eastAsia="SimSun" w:cs="Calibri"/>
          <w:spacing w:val="-2"/>
          <w:lang w:val="en-GB" w:eastAsia="zh-CN"/>
        </w:rPr>
        <w:t xml:space="preserve">CHF </w:t>
      </w:r>
      <w:r w:rsidR="602D85CF" w:rsidRPr="00D52168">
        <w:rPr>
          <w:rFonts w:eastAsia="SimSun" w:cs="Calibri"/>
          <w:spacing w:val="-2"/>
          <w:lang w:val="en-GB" w:eastAsia="zh-CN"/>
        </w:rPr>
        <w:t>30</w:t>
      </w:r>
      <w:r w:rsidR="00101FDA" w:rsidRPr="00D52168">
        <w:rPr>
          <w:rFonts w:eastAsia="SimSun" w:cs="Calibri"/>
          <w:spacing w:val="-2"/>
          <w:lang w:val="en-GB" w:eastAsia="zh-CN"/>
        </w:rPr>
        <w:t xml:space="preserve"> million</w:t>
      </w:r>
      <w:r w:rsidRPr="00D52168">
        <w:rPr>
          <w:rFonts w:eastAsia="SimSun" w:cs="Calibri"/>
          <w:spacing w:val="-2"/>
          <w:lang w:val="en-GB" w:eastAsia="zh-CN"/>
        </w:rPr>
        <w:t xml:space="preserve"> over the </w:t>
      </w:r>
      <w:r w:rsidR="00101FDA" w:rsidRPr="00D52168">
        <w:rPr>
          <w:rFonts w:eastAsia="SimSun" w:cs="Calibri"/>
          <w:spacing w:val="-2"/>
          <w:lang w:val="en-GB" w:eastAsia="zh-CN"/>
        </w:rPr>
        <w:t>4-year</w:t>
      </w:r>
      <w:r w:rsidRPr="00D52168">
        <w:rPr>
          <w:rFonts w:eastAsia="SimSun" w:cs="Calibri"/>
          <w:spacing w:val="-2"/>
          <w:lang w:val="en-GB" w:eastAsia="zh-CN"/>
        </w:rPr>
        <w:t xml:space="preserve"> period</w:t>
      </w:r>
      <w:r w:rsidR="00FD5362" w:rsidRPr="00D52168">
        <w:rPr>
          <w:rFonts w:eastAsia="SimSun" w:cs="Calibri"/>
          <w:spacing w:val="-2"/>
          <w:lang w:val="en-GB" w:eastAsia="zh-CN"/>
        </w:rPr>
        <w:t>.</w:t>
      </w:r>
    </w:p>
    <w:p w14:paraId="63B2D07F" w14:textId="41EC42C8" w:rsidR="47FB6164" w:rsidRPr="00E54183" w:rsidRDefault="47FB6164" w:rsidP="002064FB">
      <w:pPr>
        <w:pStyle w:val="Reasons"/>
        <w:numPr>
          <w:ilvl w:val="0"/>
          <w:numId w:val="18"/>
        </w:numPr>
        <w:spacing w:before="60"/>
        <w:ind w:left="714" w:hanging="357"/>
        <w:rPr>
          <w:rFonts w:eastAsia="SimSun" w:cs="Calibri"/>
          <w:lang w:val="en-GB" w:eastAsia="zh-CN"/>
        </w:rPr>
      </w:pPr>
      <w:r w:rsidRPr="00E54183">
        <w:rPr>
          <w:rFonts w:eastAsia="SimSun" w:cs="Calibri"/>
          <w:b/>
          <w:bCs/>
          <w:lang w:val="en-GB" w:eastAsia="zh-CN"/>
        </w:rPr>
        <w:t>Facilities Maintenance, Renovation and Capital Replenishment:</w:t>
      </w:r>
      <w:r w:rsidRPr="00E54183">
        <w:rPr>
          <w:rFonts w:eastAsia="SimSun" w:cs="Calibri"/>
          <w:lang w:val="en-GB" w:eastAsia="zh-CN"/>
        </w:rPr>
        <w:t xml:space="preserve"> </w:t>
      </w:r>
      <w:r w:rsidR="00A87809">
        <w:rPr>
          <w:rFonts w:eastAsia="SimSun" w:cs="Calibri"/>
          <w:lang w:val="en-GB" w:eastAsia="zh-CN"/>
        </w:rPr>
        <w:t xml:space="preserve">Having regard to the significant investment in the new building and the ITU Campus in general, </w:t>
      </w:r>
      <w:r w:rsidR="003C418A">
        <w:rPr>
          <w:rFonts w:eastAsia="SimSun" w:cs="Calibri"/>
          <w:lang w:val="en-GB" w:eastAsia="zh-CN"/>
        </w:rPr>
        <w:t xml:space="preserve">it would be prudent to </w:t>
      </w:r>
      <w:r w:rsidR="000B776A">
        <w:rPr>
          <w:rFonts w:eastAsia="SimSun" w:cs="Calibri"/>
          <w:lang w:val="en-GB" w:eastAsia="zh-CN"/>
        </w:rPr>
        <w:t>enhance ITU’s</w:t>
      </w:r>
      <w:r w:rsidR="003C418A">
        <w:rPr>
          <w:rFonts w:eastAsia="SimSun" w:cs="Calibri"/>
          <w:lang w:val="en-GB" w:eastAsia="zh-CN"/>
        </w:rPr>
        <w:t xml:space="preserve"> </w:t>
      </w:r>
      <w:r w:rsidR="00231E24" w:rsidRPr="00DE1822">
        <w:t xml:space="preserve">Building Fund </w:t>
      </w:r>
      <w:r w:rsidR="000B776A">
        <w:t xml:space="preserve">to properly account for </w:t>
      </w:r>
      <w:r w:rsidR="00231E24" w:rsidRPr="00DE1822">
        <w:t xml:space="preserve">the </w:t>
      </w:r>
      <w:r w:rsidR="000B776A">
        <w:t xml:space="preserve">ongoing </w:t>
      </w:r>
      <w:r w:rsidR="00231E24" w:rsidRPr="00DE1822">
        <w:t>costs of major repairs, renovation, upgrading of the building and replacement of the building</w:t>
      </w:r>
      <w:r w:rsidR="00231E24">
        <w:t>s’</w:t>
      </w:r>
      <w:r w:rsidR="00231E24" w:rsidRPr="00DE1822">
        <w:t xml:space="preserve"> equipment</w:t>
      </w:r>
      <w:r w:rsidR="00231E24">
        <w:t>, in line with Article 21 of ITU Financial Rules and Regulations</w:t>
      </w:r>
      <w:r w:rsidR="00231E24" w:rsidRPr="00DE1822">
        <w:t xml:space="preserve">. The objective is to have sufficient and dedicated funding to handle substantive capital expenditure, which are not covered by yearly routine maintenance funded through </w:t>
      </w:r>
      <w:r w:rsidR="00231E24">
        <w:t>the annual operational budget.</w:t>
      </w:r>
      <w:r w:rsidR="000C1A54">
        <w:t xml:space="preserve"> It is recommended that a suitable provision would be CHF 2 million per year.</w:t>
      </w:r>
    </w:p>
    <w:p w14:paraId="476E0613" w14:textId="77777777" w:rsidR="00CE3168" w:rsidRPr="00CE3168" w:rsidRDefault="00CE3168" w:rsidP="006462E5">
      <w:pPr>
        <w:pStyle w:val="Reasons"/>
        <w:spacing w:before="240"/>
        <w:rPr>
          <w:rFonts w:eastAsia="SimSun" w:cs="Calibri"/>
          <w:bCs/>
          <w:szCs w:val="24"/>
          <w:lang w:val="en-GB" w:eastAsia="zh-CN"/>
        </w:rPr>
      </w:pPr>
      <w:r w:rsidRPr="00CE3168">
        <w:rPr>
          <w:rFonts w:eastAsia="SimSun" w:cs="Calibri"/>
          <w:b/>
          <w:bCs/>
          <w:szCs w:val="24"/>
          <w:lang w:val="en-GB" w:eastAsia="zh-CN"/>
        </w:rPr>
        <w:t>After Service Health Insurance (ASHI):</w:t>
      </w:r>
    </w:p>
    <w:p w14:paraId="62EBE9F5" w14:textId="2BB99F86" w:rsidR="00CE3168" w:rsidRPr="00CE3168" w:rsidRDefault="0CECC92C" w:rsidP="382D4B9D">
      <w:pPr>
        <w:pStyle w:val="Reasons"/>
        <w:numPr>
          <w:ilvl w:val="0"/>
          <w:numId w:val="19"/>
        </w:numPr>
        <w:spacing w:before="240"/>
        <w:rPr>
          <w:rFonts w:eastAsia="SimSun" w:cs="Calibri"/>
          <w:lang w:val="en-GB" w:eastAsia="zh-CN"/>
        </w:rPr>
      </w:pPr>
      <w:r w:rsidRPr="382D4B9D">
        <w:rPr>
          <w:rFonts w:eastAsia="SimSun" w:cs="Calibri"/>
          <w:b/>
          <w:bCs/>
          <w:lang w:val="en-GB" w:eastAsia="zh-CN"/>
        </w:rPr>
        <w:t>Long-Term Obligation:</w:t>
      </w:r>
      <w:r w:rsidRPr="382D4B9D">
        <w:rPr>
          <w:rFonts w:eastAsia="SimSun" w:cs="Calibri"/>
          <w:lang w:val="en-GB" w:eastAsia="zh-CN"/>
        </w:rPr>
        <w:t xml:space="preserve"> ASHI represents a significant long-term financial obligation for </w:t>
      </w:r>
      <w:r w:rsidR="0057709A">
        <w:rPr>
          <w:rFonts w:eastAsia="SimSun" w:cs="Calibri"/>
          <w:lang w:val="en-GB" w:eastAsia="zh-CN"/>
        </w:rPr>
        <w:t xml:space="preserve">United Nations agencies, </w:t>
      </w:r>
      <w:r w:rsidR="00775CF4">
        <w:rPr>
          <w:rFonts w:eastAsia="SimSun" w:cs="Calibri"/>
          <w:lang w:val="en-GB" w:eastAsia="zh-CN"/>
        </w:rPr>
        <w:t xml:space="preserve">including </w:t>
      </w:r>
      <w:r w:rsidRPr="382D4B9D">
        <w:rPr>
          <w:rFonts w:eastAsia="SimSun" w:cs="Calibri"/>
          <w:lang w:val="en-GB" w:eastAsia="zh-CN"/>
        </w:rPr>
        <w:t>ITU</w:t>
      </w:r>
      <w:r w:rsidR="008E27DE">
        <w:rPr>
          <w:rFonts w:eastAsia="SimSun" w:cs="Calibri"/>
          <w:lang w:val="en-GB" w:eastAsia="zh-CN"/>
        </w:rPr>
        <w:t>.</w:t>
      </w:r>
      <w:r w:rsidRPr="382D4B9D">
        <w:rPr>
          <w:rFonts w:eastAsia="SimSun" w:cs="Calibri"/>
          <w:lang w:val="en-GB" w:eastAsia="zh-CN"/>
        </w:rPr>
        <w:t xml:space="preserve"> </w:t>
      </w:r>
      <w:r w:rsidR="0019775C">
        <w:rPr>
          <w:rFonts w:eastAsia="SimSun" w:cs="Calibri"/>
          <w:lang w:val="en-GB" w:eastAsia="zh-CN"/>
        </w:rPr>
        <w:t>I</w:t>
      </w:r>
      <w:r w:rsidRPr="382D4B9D">
        <w:rPr>
          <w:rFonts w:eastAsia="SimSun" w:cs="Calibri"/>
          <w:lang w:val="en-GB" w:eastAsia="zh-CN"/>
        </w:rPr>
        <w:t>t involves providing health insurance benefits to retired employees</w:t>
      </w:r>
      <w:r w:rsidR="007E4C4C">
        <w:rPr>
          <w:rFonts w:eastAsia="SimSun" w:cs="Calibri"/>
          <w:lang w:val="en-GB" w:eastAsia="zh-CN"/>
        </w:rPr>
        <w:t xml:space="preserve"> of all UN System entities</w:t>
      </w:r>
      <w:r w:rsidRPr="382D4B9D">
        <w:rPr>
          <w:rFonts w:eastAsia="SimSun" w:cs="Calibri"/>
          <w:lang w:val="en-GB" w:eastAsia="zh-CN"/>
        </w:rPr>
        <w:t>. These benefits are a critical component of ITU’s commitment to its workforce, ensuring that former employees continue to receive necessary health coverage after their service has ended.</w:t>
      </w:r>
      <w:r w:rsidR="00902829">
        <w:rPr>
          <w:rFonts w:eastAsia="SimSun" w:cs="Calibri"/>
          <w:lang w:val="en-GB" w:eastAsia="zh-CN"/>
        </w:rPr>
        <w:t xml:space="preserve"> At present the ASHI liability </w:t>
      </w:r>
      <w:r w:rsidR="00236E7E">
        <w:rPr>
          <w:rFonts w:eastAsia="SimSun" w:cs="Calibri"/>
          <w:lang w:val="en-GB" w:eastAsia="zh-CN"/>
        </w:rPr>
        <w:t xml:space="preserve">is </w:t>
      </w:r>
      <w:r w:rsidR="003E5A31">
        <w:rPr>
          <w:rFonts w:eastAsia="SimSun" w:cs="Calibri"/>
          <w:lang w:val="en-GB" w:eastAsia="zh-CN"/>
        </w:rPr>
        <w:t>approximately CHF </w:t>
      </w:r>
      <w:r w:rsidR="00385BDC">
        <w:rPr>
          <w:rFonts w:eastAsia="SimSun" w:cs="Calibri"/>
          <w:lang w:val="en-GB" w:eastAsia="zh-CN"/>
        </w:rPr>
        <w:t>375</w:t>
      </w:r>
      <w:r w:rsidR="003E5A31">
        <w:rPr>
          <w:rFonts w:eastAsia="SimSun" w:cs="Calibri"/>
          <w:lang w:val="en-GB" w:eastAsia="zh-CN"/>
        </w:rPr>
        <w:t> million for which ITU has a reserve of CHF 14 million.</w:t>
      </w:r>
      <w:r w:rsidR="005237F2">
        <w:rPr>
          <w:rFonts w:eastAsia="SimSun" w:cs="Calibri"/>
          <w:lang w:val="en-GB" w:eastAsia="zh-CN"/>
        </w:rPr>
        <w:t xml:space="preserve"> </w:t>
      </w:r>
    </w:p>
    <w:p w14:paraId="0F7B3ACB" w14:textId="13E93E97" w:rsidR="00CE3168" w:rsidRPr="00CE3168" w:rsidRDefault="0CECC92C" w:rsidP="002064FB">
      <w:pPr>
        <w:pStyle w:val="Reasons"/>
        <w:numPr>
          <w:ilvl w:val="0"/>
          <w:numId w:val="19"/>
        </w:numPr>
        <w:spacing w:before="60" w:after="120"/>
        <w:ind w:left="714" w:hanging="357"/>
        <w:rPr>
          <w:rFonts w:eastAsia="SimSun" w:cs="Calibri"/>
          <w:lang w:val="en-GB" w:eastAsia="zh-CN"/>
        </w:rPr>
      </w:pPr>
      <w:r w:rsidRPr="382D4B9D">
        <w:rPr>
          <w:rFonts w:eastAsia="SimSun" w:cs="Calibri"/>
          <w:b/>
          <w:bCs/>
          <w:lang w:val="en-GB" w:eastAsia="zh-CN"/>
        </w:rPr>
        <w:t>Reserve Requirements:</w:t>
      </w:r>
      <w:r w:rsidRPr="382D4B9D">
        <w:rPr>
          <w:rFonts w:eastAsia="SimSun" w:cs="Calibri"/>
          <w:lang w:val="en-GB" w:eastAsia="zh-CN"/>
        </w:rPr>
        <w:t xml:space="preserve"> </w:t>
      </w:r>
      <w:r w:rsidR="00A64B46">
        <w:rPr>
          <w:rFonts w:eastAsia="SimSun" w:cs="Calibri"/>
          <w:lang w:val="en-GB" w:eastAsia="zh-CN"/>
        </w:rPr>
        <w:t xml:space="preserve">Building a </w:t>
      </w:r>
      <w:r w:rsidRPr="382D4B9D">
        <w:rPr>
          <w:rFonts w:eastAsia="SimSun" w:cs="Calibri"/>
          <w:lang w:val="en-GB" w:eastAsia="zh-CN"/>
        </w:rPr>
        <w:t>reserve</w:t>
      </w:r>
      <w:r w:rsidR="00AE7979">
        <w:rPr>
          <w:rFonts w:eastAsia="SimSun" w:cs="Calibri"/>
          <w:lang w:val="en-GB" w:eastAsia="zh-CN"/>
        </w:rPr>
        <w:t xml:space="preserve"> is essential </w:t>
      </w:r>
      <w:r w:rsidR="000A6AF4">
        <w:rPr>
          <w:rFonts w:eastAsia="SimSun" w:cs="Calibri"/>
          <w:lang w:val="en-GB" w:eastAsia="zh-CN"/>
        </w:rPr>
        <w:t xml:space="preserve">to </w:t>
      </w:r>
      <w:r w:rsidRPr="382D4B9D">
        <w:rPr>
          <w:rFonts w:eastAsia="SimSun" w:cs="Calibri"/>
          <w:lang w:val="en-GB" w:eastAsia="zh-CN"/>
        </w:rPr>
        <w:t xml:space="preserve">cover future liabilities and ensure that ITU can meet its commitments to retirees without placing undue strain on its current operational budget. </w:t>
      </w:r>
      <w:r w:rsidR="00B71E04">
        <w:rPr>
          <w:rFonts w:eastAsia="SimSun" w:cs="Calibri"/>
          <w:lang w:val="en-GB" w:eastAsia="zh-CN"/>
        </w:rPr>
        <w:t>Many UN agencies ha</w:t>
      </w:r>
      <w:r w:rsidR="0008685F">
        <w:rPr>
          <w:rFonts w:eastAsia="SimSun" w:cs="Calibri"/>
          <w:lang w:val="en-GB" w:eastAsia="zh-CN"/>
        </w:rPr>
        <w:t>ve</w:t>
      </w:r>
      <w:r w:rsidR="00B71E04">
        <w:rPr>
          <w:rFonts w:eastAsia="SimSun" w:cs="Calibri"/>
          <w:lang w:val="en-GB" w:eastAsia="zh-CN"/>
        </w:rPr>
        <w:t xml:space="preserve"> commenced financing this </w:t>
      </w:r>
      <w:r w:rsidR="000077E2">
        <w:rPr>
          <w:rFonts w:eastAsia="SimSun" w:cs="Calibri"/>
          <w:lang w:val="en-GB" w:eastAsia="zh-CN"/>
        </w:rPr>
        <w:lastRenderedPageBreak/>
        <w:t>liability</w:t>
      </w:r>
      <w:r w:rsidR="00C81A13">
        <w:rPr>
          <w:rFonts w:eastAsia="SimSun" w:cs="Calibri"/>
          <w:lang w:val="en-GB" w:eastAsia="zh-CN"/>
        </w:rPr>
        <w:t xml:space="preserve"> </w:t>
      </w:r>
      <w:r w:rsidR="001C7143">
        <w:rPr>
          <w:rFonts w:eastAsia="SimSun" w:cs="Calibri"/>
          <w:lang w:val="en-GB" w:eastAsia="zh-CN"/>
        </w:rPr>
        <w:t>and have a clear long</w:t>
      </w:r>
      <w:r w:rsidR="005E3A53">
        <w:rPr>
          <w:rFonts w:eastAsia="SimSun" w:cs="Calibri"/>
          <w:lang w:val="en-GB" w:eastAsia="zh-CN"/>
        </w:rPr>
        <w:t>-</w:t>
      </w:r>
      <w:r w:rsidR="001C7143">
        <w:rPr>
          <w:rFonts w:eastAsia="SimSun" w:cs="Calibri"/>
          <w:lang w:val="en-GB" w:eastAsia="zh-CN"/>
        </w:rPr>
        <w:t xml:space="preserve">term plan in place which </w:t>
      </w:r>
      <w:r w:rsidR="005164BF">
        <w:rPr>
          <w:rFonts w:eastAsia="SimSun" w:cs="Calibri"/>
          <w:lang w:val="en-GB" w:eastAsia="zh-CN"/>
        </w:rPr>
        <w:t xml:space="preserve">avoids jeopardizing their </w:t>
      </w:r>
      <w:r w:rsidR="00326840">
        <w:rPr>
          <w:rFonts w:eastAsia="SimSun" w:cs="Calibri"/>
          <w:lang w:val="en-GB" w:eastAsia="zh-CN"/>
        </w:rPr>
        <w:t xml:space="preserve">obligations </w:t>
      </w:r>
      <w:r w:rsidR="001A3B3D">
        <w:rPr>
          <w:rFonts w:eastAsia="SimSun" w:cs="Calibri"/>
          <w:lang w:val="en-GB" w:eastAsia="zh-CN"/>
        </w:rPr>
        <w:t xml:space="preserve">to former employees. </w:t>
      </w:r>
      <w:r w:rsidR="001D6276">
        <w:rPr>
          <w:rFonts w:eastAsia="SimSun" w:cs="Calibri"/>
          <w:lang w:val="en-GB" w:eastAsia="zh-CN"/>
        </w:rPr>
        <w:t xml:space="preserve">Figure 2 </w:t>
      </w:r>
      <w:r w:rsidR="007E4C4C">
        <w:rPr>
          <w:rFonts w:eastAsia="SimSun" w:cs="Calibri"/>
          <w:lang w:val="en-GB" w:eastAsia="zh-CN"/>
        </w:rPr>
        <w:t>proposes</w:t>
      </w:r>
      <w:r w:rsidR="006B14AE">
        <w:rPr>
          <w:rFonts w:eastAsia="SimSun" w:cs="Calibri"/>
          <w:lang w:val="en-GB" w:eastAsia="zh-CN"/>
        </w:rPr>
        <w:t xml:space="preserve"> an initial financing </w:t>
      </w:r>
      <w:r w:rsidR="00142F9C">
        <w:rPr>
          <w:rFonts w:eastAsia="SimSun" w:cs="Calibri"/>
          <w:lang w:val="en-GB" w:eastAsia="zh-CN"/>
        </w:rPr>
        <w:t xml:space="preserve">level of </w:t>
      </w:r>
      <w:r w:rsidR="00711635">
        <w:rPr>
          <w:rFonts w:eastAsia="SimSun" w:cs="Calibri"/>
          <w:lang w:val="en-GB" w:eastAsia="zh-CN"/>
        </w:rPr>
        <w:t>CHF 3.7</w:t>
      </w:r>
      <w:r w:rsidR="00B41BD0">
        <w:rPr>
          <w:rFonts w:eastAsia="SimSun" w:cs="Calibri"/>
          <w:lang w:val="en-GB" w:eastAsia="zh-CN"/>
        </w:rPr>
        <w:t xml:space="preserve">5 million </w:t>
      </w:r>
      <w:r w:rsidR="0018503C">
        <w:rPr>
          <w:rFonts w:eastAsia="SimSun" w:cs="Calibri"/>
          <w:lang w:val="en-GB" w:eastAsia="zh-CN"/>
        </w:rPr>
        <w:t xml:space="preserve">to finance at least 50% of ASHI over a </w:t>
      </w:r>
      <w:r w:rsidR="00535056">
        <w:rPr>
          <w:rFonts w:eastAsia="SimSun" w:cs="Calibri"/>
          <w:lang w:val="en-GB" w:eastAsia="zh-CN"/>
        </w:rPr>
        <w:t>50-year</w:t>
      </w:r>
      <w:r w:rsidR="0018503C">
        <w:rPr>
          <w:rFonts w:eastAsia="SimSun" w:cs="Calibri"/>
          <w:lang w:val="en-GB" w:eastAsia="zh-CN"/>
        </w:rPr>
        <w:t xml:space="preserve"> period.</w:t>
      </w:r>
      <w:r w:rsidR="008A28D4">
        <w:rPr>
          <w:rStyle w:val="CommentReference"/>
        </w:rPr>
        <w:t xml:space="preserve"> </w:t>
      </w:r>
    </w:p>
    <w:p w14:paraId="058B289C" w14:textId="77777777" w:rsidR="00CE3168" w:rsidRPr="00CE3168" w:rsidRDefault="00CE3168" w:rsidP="006462E5">
      <w:pPr>
        <w:pStyle w:val="Reasons"/>
        <w:spacing w:before="240"/>
        <w:rPr>
          <w:rFonts w:eastAsia="SimSun" w:cs="Calibri"/>
          <w:bCs/>
          <w:szCs w:val="24"/>
          <w:lang w:val="en-GB" w:eastAsia="zh-CN"/>
        </w:rPr>
      </w:pPr>
      <w:r w:rsidRPr="00CE3168">
        <w:rPr>
          <w:rFonts w:eastAsia="SimSun" w:cs="Calibri"/>
          <w:b/>
          <w:bCs/>
          <w:szCs w:val="24"/>
          <w:lang w:val="en-GB" w:eastAsia="zh-CN"/>
        </w:rPr>
        <w:t>Other Contingency Reserves:</w:t>
      </w:r>
    </w:p>
    <w:p w14:paraId="46A19840" w14:textId="53440D40" w:rsidR="00CE3168" w:rsidRPr="00CE3168" w:rsidRDefault="0CECC92C" w:rsidP="382D4B9D">
      <w:pPr>
        <w:pStyle w:val="Reasons"/>
        <w:numPr>
          <w:ilvl w:val="0"/>
          <w:numId w:val="20"/>
        </w:numPr>
        <w:spacing w:before="240"/>
        <w:rPr>
          <w:rFonts w:eastAsia="SimSun" w:cs="Calibri"/>
          <w:lang w:val="en-GB" w:eastAsia="zh-CN"/>
        </w:rPr>
      </w:pPr>
      <w:r w:rsidRPr="382D4B9D">
        <w:rPr>
          <w:rFonts w:eastAsia="SimSun" w:cs="Calibri"/>
          <w:b/>
          <w:bCs/>
          <w:lang w:val="en-GB" w:eastAsia="zh-CN"/>
        </w:rPr>
        <w:t>Operational Resilience:</w:t>
      </w:r>
      <w:r w:rsidRPr="382D4B9D">
        <w:rPr>
          <w:rFonts w:eastAsia="SimSun" w:cs="Calibri"/>
          <w:lang w:val="en-GB" w:eastAsia="zh-CN"/>
        </w:rPr>
        <w:t xml:space="preserve"> In addition to the building project and ASHI, ITU must also maintain contingency reserves to ensure operational resilience. The current reserve account only would sustain ITU operations for 9 to 10 weeks</w:t>
      </w:r>
      <w:r w:rsidR="001E6578">
        <w:rPr>
          <w:rFonts w:eastAsia="SimSun" w:cs="Calibri"/>
          <w:lang w:val="en-GB" w:eastAsia="zh-CN"/>
        </w:rPr>
        <w:t xml:space="preserve">. </w:t>
      </w:r>
      <w:r w:rsidR="00CA1F58">
        <w:rPr>
          <w:rFonts w:eastAsia="SimSun" w:cs="Calibri"/>
          <w:lang w:val="en-GB" w:eastAsia="zh-CN"/>
        </w:rPr>
        <w:t>Typically,</w:t>
      </w:r>
      <w:r w:rsidR="009B7B74">
        <w:rPr>
          <w:rFonts w:eastAsia="SimSun" w:cs="Calibri"/>
          <w:lang w:val="en-GB" w:eastAsia="zh-CN"/>
        </w:rPr>
        <w:t xml:space="preserve"> other specialized </w:t>
      </w:r>
      <w:r w:rsidR="001E6578">
        <w:rPr>
          <w:rFonts w:eastAsia="SimSun" w:cs="Calibri"/>
          <w:lang w:val="en-GB" w:eastAsia="zh-CN"/>
        </w:rPr>
        <w:t xml:space="preserve">UN Agencies </w:t>
      </w:r>
      <w:r w:rsidR="000600A6">
        <w:rPr>
          <w:rFonts w:eastAsia="SimSun" w:cs="Calibri"/>
          <w:lang w:val="en-GB" w:eastAsia="zh-CN"/>
        </w:rPr>
        <w:t xml:space="preserve">maintain </w:t>
      </w:r>
      <w:r w:rsidR="006B2C0F">
        <w:rPr>
          <w:rFonts w:eastAsia="SimSun" w:cs="Calibri"/>
          <w:lang w:val="en-GB" w:eastAsia="zh-CN"/>
        </w:rPr>
        <w:t>higher levels of reserves</w:t>
      </w:r>
      <w:r w:rsidR="009D5750">
        <w:rPr>
          <w:rFonts w:eastAsia="SimSun" w:cs="Calibri"/>
          <w:lang w:val="en-GB" w:eastAsia="zh-CN"/>
        </w:rPr>
        <w:t xml:space="preserve"> </w:t>
      </w:r>
      <w:r w:rsidR="00B20ACA">
        <w:rPr>
          <w:rFonts w:eastAsia="SimSun" w:cs="Calibri"/>
          <w:lang w:val="en-GB" w:eastAsia="zh-CN"/>
        </w:rPr>
        <w:t>to</w:t>
      </w:r>
      <w:r w:rsidR="009D5750">
        <w:rPr>
          <w:rFonts w:eastAsia="SimSun" w:cs="Calibri"/>
          <w:lang w:val="en-GB" w:eastAsia="zh-CN"/>
        </w:rPr>
        <w:t xml:space="preserve"> offset </w:t>
      </w:r>
      <w:r w:rsidR="00F7735D">
        <w:rPr>
          <w:rFonts w:eastAsia="SimSun" w:cs="Calibri"/>
          <w:lang w:val="en-GB" w:eastAsia="zh-CN"/>
        </w:rPr>
        <w:t xml:space="preserve">potential downturn in operations, which could leave </w:t>
      </w:r>
      <w:r w:rsidRPr="382D4B9D">
        <w:rPr>
          <w:rFonts w:eastAsia="SimSun" w:cs="Calibri"/>
          <w:lang w:val="en-GB" w:eastAsia="zh-CN"/>
        </w:rPr>
        <w:t>the organization vulnerable. These reserves are vital for managing unexpected financial challenges, such as sudden reductions in revenue, unanticipated expenses, or economic downturns. Having a healthy level of reserves allows ITU to respond quickly and effectively to unforeseen events, maintaining continuity of operations without resorting to drastic cost-cutting measures.</w:t>
      </w:r>
    </w:p>
    <w:p w14:paraId="405AB634" w14:textId="77777777" w:rsidR="00CE3168" w:rsidRPr="00CE3168" w:rsidRDefault="0CECC92C" w:rsidP="002064FB">
      <w:pPr>
        <w:pStyle w:val="Reasons"/>
        <w:numPr>
          <w:ilvl w:val="0"/>
          <w:numId w:val="20"/>
        </w:numPr>
        <w:spacing w:before="60" w:after="120"/>
        <w:ind w:left="714" w:hanging="357"/>
        <w:rPr>
          <w:rFonts w:eastAsia="SimSun" w:cs="Calibri"/>
          <w:lang w:val="en-GB" w:eastAsia="zh-CN"/>
        </w:rPr>
      </w:pPr>
      <w:r w:rsidRPr="382D4B9D">
        <w:rPr>
          <w:rFonts w:eastAsia="SimSun" w:cs="Calibri"/>
          <w:b/>
          <w:bCs/>
          <w:lang w:val="en-GB" w:eastAsia="zh-CN"/>
        </w:rPr>
        <w:t>Sustaining Operational Efficiency:</w:t>
      </w:r>
      <w:r w:rsidRPr="382D4B9D">
        <w:rPr>
          <w:rFonts w:eastAsia="SimSun" w:cs="Calibri"/>
          <w:lang w:val="en-GB" w:eastAsia="zh-CN"/>
        </w:rPr>
        <w:t xml:space="preserve"> Maintaining a healthy level in the reserve account is crucial for sustaining ITU’s operational efficiency. In an increasingly volatile global environment, where financial shocks can occur unexpectedly, these reserves provide a buffer that allows ITU to continue its work without interruption. This is particularly important for maintaining the trust and confidence of Member States, who rely on ITU to deliver consistent and reliable services.</w:t>
      </w:r>
    </w:p>
    <w:p w14:paraId="60E85604" w14:textId="3A040D3B" w:rsidR="00AC29DB" w:rsidRDefault="00AC29DB" w:rsidP="006462E5">
      <w:pPr>
        <w:pStyle w:val="Reasons"/>
        <w:spacing w:before="240"/>
        <w:rPr>
          <w:rFonts w:eastAsia="SimSun" w:cs="Calibri"/>
          <w:b/>
          <w:szCs w:val="24"/>
          <w:lang w:val="en-GB" w:eastAsia="zh-CN"/>
        </w:rPr>
      </w:pPr>
      <w:r>
        <w:rPr>
          <w:rFonts w:eastAsia="SimSun" w:cs="Calibri"/>
          <w:b/>
          <w:szCs w:val="24"/>
          <w:lang w:val="en-GB" w:eastAsia="zh-CN"/>
        </w:rPr>
        <w:t>Impact:</w:t>
      </w:r>
    </w:p>
    <w:p w14:paraId="4924ADCC" w14:textId="430D5A07" w:rsidR="00CE3168" w:rsidRPr="00CE3168" w:rsidRDefault="00CE3168" w:rsidP="006462E5">
      <w:pPr>
        <w:pStyle w:val="Reasons"/>
        <w:spacing w:before="240"/>
        <w:rPr>
          <w:rFonts w:eastAsia="SimSun" w:cs="Calibri"/>
          <w:bCs/>
          <w:szCs w:val="24"/>
          <w:lang w:val="en-GB" w:eastAsia="zh-CN"/>
        </w:rPr>
      </w:pPr>
      <w:r w:rsidRPr="00CE3168">
        <w:rPr>
          <w:rFonts w:eastAsia="SimSun" w:cs="Calibri"/>
          <w:bCs/>
          <w:szCs w:val="24"/>
          <w:lang w:val="en-GB" w:eastAsia="zh-CN"/>
        </w:rPr>
        <w:t>Insufficient reserves jeopardize ITU's ability to meet these obligations, leading to potential disruptions in key projects or an inability to fulfil long-term commitments to employees and stakeholders.</w:t>
      </w:r>
      <w:r w:rsidR="003947C2">
        <w:rPr>
          <w:rFonts w:eastAsia="SimSun" w:cs="Calibri"/>
          <w:bCs/>
          <w:szCs w:val="24"/>
          <w:lang w:val="en-GB" w:eastAsia="zh-CN"/>
        </w:rPr>
        <w:t xml:space="preserve"> The estimated cost is CHF </w:t>
      </w:r>
      <w:r w:rsidR="00CE6DB6">
        <w:rPr>
          <w:rFonts w:eastAsia="SimSun" w:cs="Calibri"/>
          <w:bCs/>
          <w:szCs w:val="24"/>
          <w:lang w:val="en-GB" w:eastAsia="zh-CN"/>
        </w:rPr>
        <w:t>6</w:t>
      </w:r>
      <w:r w:rsidR="003947C2">
        <w:rPr>
          <w:rFonts w:eastAsia="SimSun" w:cs="Calibri"/>
          <w:bCs/>
          <w:szCs w:val="24"/>
          <w:lang w:val="en-GB" w:eastAsia="zh-CN"/>
        </w:rPr>
        <w:t> million per year.</w:t>
      </w:r>
    </w:p>
    <w:p w14:paraId="59C946B6" w14:textId="77777777" w:rsidR="00D52168" w:rsidRDefault="002064FB" w:rsidP="00D52168">
      <w:pPr>
        <w:pStyle w:val="Reasons"/>
        <w:spacing w:before="240" w:after="120"/>
        <w:rPr>
          <w:rFonts w:eastAsia="SimSun" w:cs="Calibri"/>
          <w:b/>
          <w:bCs/>
          <w:szCs w:val="24"/>
          <w:lang w:eastAsia="zh-CN"/>
        </w:rPr>
      </w:pPr>
      <w:r>
        <w:rPr>
          <w:rFonts w:eastAsia="SimSun" w:cs="Calibri"/>
          <w:lang w:eastAsia="zh-CN"/>
        </w:rPr>
        <w:t>9</w:t>
      </w:r>
      <w:r w:rsidR="000D597F" w:rsidRPr="00AC29DB">
        <w:rPr>
          <w:rFonts w:eastAsia="SimSun"/>
          <w:b/>
          <w:bCs/>
        </w:rPr>
        <w:tab/>
      </w:r>
      <w:r w:rsidR="004A35C3">
        <w:rPr>
          <w:rFonts w:eastAsia="SimSun"/>
          <w:b/>
          <w:bCs/>
        </w:rPr>
        <w:t xml:space="preserve">ITU </w:t>
      </w:r>
      <w:r w:rsidR="004A5AA3" w:rsidRPr="00AC29DB">
        <w:rPr>
          <w:rFonts w:eastAsia="SimSun" w:cs="Calibri"/>
          <w:b/>
          <w:bCs/>
          <w:lang w:eastAsia="zh-CN"/>
        </w:rPr>
        <w:t>Digital Trans</w:t>
      </w:r>
      <w:r w:rsidR="004A35C3">
        <w:rPr>
          <w:rFonts w:eastAsia="SimSun" w:cs="Calibri"/>
          <w:b/>
          <w:bCs/>
          <w:lang w:eastAsia="zh-CN"/>
        </w:rPr>
        <w:t>formation</w:t>
      </w:r>
      <w:r w:rsidR="004A5AA3" w:rsidRPr="00AC29DB">
        <w:rPr>
          <w:rFonts w:eastAsia="SimSun" w:cs="Calibri"/>
          <w:b/>
          <w:bCs/>
          <w:lang w:eastAsia="zh-CN"/>
        </w:rPr>
        <w:t xml:space="preserve"> and Future IT Developments</w:t>
      </w:r>
    </w:p>
    <w:p w14:paraId="72051DED" w14:textId="5CE1B428" w:rsidR="00993483" w:rsidRPr="00993483" w:rsidRDefault="004A35C3" w:rsidP="00D52168">
      <w:pPr>
        <w:pStyle w:val="Reasons"/>
        <w:spacing w:before="240" w:after="120"/>
        <w:rPr>
          <w:rFonts w:eastAsia="SimSun" w:cs="Calibri"/>
          <w:bCs/>
          <w:szCs w:val="24"/>
          <w:lang w:eastAsia="zh-CN"/>
        </w:rPr>
      </w:pPr>
      <w:r>
        <w:rPr>
          <w:rFonts w:eastAsia="SimSun" w:cs="Calibri"/>
          <w:bCs/>
          <w:szCs w:val="24"/>
          <w:lang w:eastAsia="zh-CN"/>
        </w:rPr>
        <w:t xml:space="preserve">The digital aspect of </w:t>
      </w:r>
      <w:r w:rsidR="00993483">
        <w:rPr>
          <w:rFonts w:eastAsia="SimSun" w:cs="Calibri"/>
          <w:bCs/>
          <w:szCs w:val="24"/>
          <w:lang w:eastAsia="zh-CN"/>
        </w:rPr>
        <w:t>I</w:t>
      </w:r>
      <w:r w:rsidR="00993483" w:rsidRPr="00993483">
        <w:rPr>
          <w:rFonts w:eastAsia="SimSun" w:cs="Calibri"/>
          <w:bCs/>
          <w:szCs w:val="24"/>
          <w:lang w:eastAsia="zh-CN"/>
        </w:rPr>
        <w:t xml:space="preserve">TU's </w:t>
      </w:r>
      <w:r>
        <w:rPr>
          <w:rFonts w:eastAsia="SimSun" w:cs="Calibri"/>
          <w:bCs/>
          <w:szCs w:val="24"/>
          <w:lang w:eastAsia="zh-CN"/>
        </w:rPr>
        <w:t xml:space="preserve">ongoing </w:t>
      </w:r>
      <w:r w:rsidR="00993483" w:rsidRPr="00993483">
        <w:rPr>
          <w:rFonts w:eastAsia="SimSun" w:cs="Calibri"/>
          <w:bCs/>
          <w:szCs w:val="24"/>
          <w:lang w:eastAsia="zh-CN"/>
        </w:rPr>
        <w:t>transformation project is not just a strategic initiative but a critical necessity for the organization's continued relevance and operational efficiency. This transformation aims to overhaul the ITU's processes, enabling the organization to remain agile and responsive to the rapidly evolving technological landscape. As digital technologies become increasingly integral to the ITU's operations, the organization must ensure that its infrastructure and systems are modernized and capable of supporting its expanding mandates and services.</w:t>
      </w:r>
      <w:r w:rsidR="000F2CCC">
        <w:rPr>
          <w:rFonts w:eastAsia="SimSun" w:cs="Calibri"/>
          <w:bCs/>
          <w:szCs w:val="24"/>
          <w:lang w:eastAsia="zh-CN"/>
        </w:rPr>
        <w:t xml:space="preserve"> </w:t>
      </w:r>
      <w:r w:rsidR="00FE159F">
        <w:rPr>
          <w:rFonts w:eastAsia="SimSun" w:cs="Calibri"/>
          <w:bCs/>
          <w:szCs w:val="24"/>
          <w:lang w:eastAsia="zh-CN"/>
        </w:rPr>
        <w:t>Some of</w:t>
      </w:r>
      <w:r w:rsidR="000F2CCC">
        <w:rPr>
          <w:rFonts w:eastAsia="SimSun" w:cs="Calibri"/>
          <w:bCs/>
          <w:szCs w:val="24"/>
          <w:lang w:eastAsia="zh-CN"/>
        </w:rPr>
        <w:t xml:space="preserve"> the </w:t>
      </w:r>
      <w:r w:rsidR="00FE159F">
        <w:rPr>
          <w:rFonts w:eastAsia="SimSun" w:cs="Calibri"/>
          <w:bCs/>
          <w:szCs w:val="24"/>
          <w:lang w:eastAsia="zh-CN"/>
        </w:rPr>
        <w:t>needed investment areas currently being faced by ITU are described below.</w:t>
      </w:r>
    </w:p>
    <w:p w14:paraId="68F665C8" w14:textId="77777777" w:rsidR="00993483" w:rsidRPr="00993483" w:rsidRDefault="1D45EFF0" w:rsidP="643B8041">
      <w:pPr>
        <w:pStyle w:val="Reasons"/>
        <w:numPr>
          <w:ilvl w:val="0"/>
          <w:numId w:val="30"/>
        </w:numPr>
        <w:spacing w:before="240"/>
        <w:rPr>
          <w:rFonts w:eastAsia="SimSun" w:cs="Calibri"/>
          <w:lang w:eastAsia="zh-CN"/>
        </w:rPr>
      </w:pPr>
      <w:r w:rsidRPr="382D4B9D">
        <w:rPr>
          <w:rFonts w:eastAsia="SimSun" w:cs="Calibri"/>
          <w:b/>
          <w:bCs/>
          <w:lang w:eastAsia="zh-CN"/>
        </w:rPr>
        <w:t>Cloud Migration:</w:t>
      </w:r>
      <w:r w:rsidRPr="382D4B9D">
        <w:rPr>
          <w:rFonts w:eastAsia="SimSun" w:cs="Calibri"/>
          <w:lang w:eastAsia="zh-CN"/>
        </w:rPr>
        <w:t xml:space="preserve"> The shift to cloud-based services is a foundational element of ITU’s digital transformation strategy. This migration is expected to incur ongoing subscription fees of approximately CHF 2 million per year. Cloud infrastructure will provide the scalability and flexibility required to manage the growing volume of data and services, ensuring that the ITU can continue to operate efficiently and securely in a digital-first environment.</w:t>
      </w:r>
    </w:p>
    <w:p w14:paraId="034200E8" w14:textId="77777777" w:rsidR="00993483" w:rsidRPr="00993483" w:rsidRDefault="1D45EFF0" w:rsidP="00D52168">
      <w:pPr>
        <w:pStyle w:val="Reasons"/>
        <w:keepNext/>
        <w:keepLines/>
        <w:numPr>
          <w:ilvl w:val="0"/>
          <w:numId w:val="30"/>
        </w:numPr>
        <w:spacing w:before="60"/>
        <w:ind w:left="714" w:hanging="357"/>
        <w:rPr>
          <w:rFonts w:eastAsia="SimSun" w:cs="Calibri"/>
          <w:lang w:eastAsia="zh-CN"/>
        </w:rPr>
      </w:pPr>
      <w:r w:rsidRPr="382D4B9D">
        <w:rPr>
          <w:rFonts w:eastAsia="SimSun" w:cs="Calibri"/>
          <w:b/>
          <w:bCs/>
          <w:lang w:eastAsia="zh-CN"/>
        </w:rPr>
        <w:lastRenderedPageBreak/>
        <w:t>Transformation of Services and Parallel Operations:</w:t>
      </w:r>
      <w:r w:rsidRPr="382D4B9D">
        <w:rPr>
          <w:rFonts w:eastAsia="SimSun" w:cs="Calibri"/>
          <w:lang w:eastAsia="zh-CN"/>
        </w:rPr>
        <w:t xml:space="preserve"> The digital transformation will involve a comprehensive reengineering of ITU’s services, which must be executed without disrupting ongoing operations. This dual-track approach necessitates significant investment in parallel operations to maintain service continuity during the transition. This aspect of the project is estimated to require CHF 8 million between 2028 and 2031.</w:t>
      </w:r>
    </w:p>
    <w:p w14:paraId="7F9C935D" w14:textId="77777777" w:rsidR="00993483" w:rsidRPr="00993483" w:rsidRDefault="00993483" w:rsidP="00D52168">
      <w:pPr>
        <w:pStyle w:val="Reasons"/>
        <w:numPr>
          <w:ilvl w:val="0"/>
          <w:numId w:val="30"/>
        </w:numPr>
        <w:spacing w:before="60"/>
        <w:rPr>
          <w:rFonts w:eastAsia="SimSun" w:cs="Calibri"/>
          <w:bCs/>
          <w:szCs w:val="24"/>
          <w:lang w:eastAsia="zh-CN"/>
        </w:rPr>
      </w:pPr>
      <w:r w:rsidRPr="006462E5">
        <w:rPr>
          <w:rFonts w:eastAsia="SimSun" w:cs="Calibri"/>
          <w:b/>
          <w:szCs w:val="24"/>
          <w:lang w:eastAsia="zh-CN"/>
        </w:rPr>
        <w:t>Customer Relationship Management (CRM) and Events Management Solutions:</w:t>
      </w:r>
      <w:r w:rsidRPr="00993483">
        <w:rPr>
          <w:rFonts w:eastAsia="SimSun" w:cs="Calibri"/>
          <w:bCs/>
          <w:szCs w:val="24"/>
          <w:lang w:eastAsia="zh-CN"/>
        </w:rPr>
        <w:t xml:space="preserve"> To better serve its members and stakeholders, the ITU plans to invest CHF 3 million in new CRM and events management systems. These systems will enhance the ITU's ability to manage interactions with member states, partners, and other stakeholders, providing a more personalized and efficient experience.</w:t>
      </w:r>
    </w:p>
    <w:p w14:paraId="6C226BB0" w14:textId="77777777" w:rsidR="00993483" w:rsidRPr="00993483" w:rsidRDefault="00993483" w:rsidP="00D52168">
      <w:pPr>
        <w:pStyle w:val="Reasons"/>
        <w:numPr>
          <w:ilvl w:val="0"/>
          <w:numId w:val="30"/>
        </w:numPr>
        <w:spacing w:before="60"/>
        <w:rPr>
          <w:rFonts w:eastAsia="SimSun" w:cs="Calibri"/>
          <w:bCs/>
          <w:szCs w:val="24"/>
          <w:lang w:eastAsia="zh-CN"/>
        </w:rPr>
      </w:pPr>
      <w:r w:rsidRPr="006462E5">
        <w:rPr>
          <w:rFonts w:eastAsia="SimSun" w:cs="Calibri"/>
          <w:b/>
          <w:szCs w:val="24"/>
          <w:lang w:eastAsia="zh-CN"/>
        </w:rPr>
        <w:t xml:space="preserve">Remote Participation Services: </w:t>
      </w:r>
      <w:r w:rsidRPr="00993483">
        <w:rPr>
          <w:rFonts w:eastAsia="SimSun" w:cs="Calibri"/>
          <w:bCs/>
          <w:szCs w:val="24"/>
          <w:lang w:eastAsia="zh-CN"/>
        </w:rPr>
        <w:t>In response to the increasing demand for remote and hybrid participation in ITU’s activities, the organization plans to invest CHF 5 million from 2028 to 2031 in developing and maintaining remote participation services. These services will ensure that ITU’s meetings, conferences, and events are accessible to a global audience, regardless of location, thereby enhancing inclusivity and engagement.</w:t>
      </w:r>
    </w:p>
    <w:p w14:paraId="7329D67A" w14:textId="27E0B26D" w:rsidR="00993483" w:rsidRPr="006462E5" w:rsidRDefault="00993483" w:rsidP="00D52168">
      <w:pPr>
        <w:pStyle w:val="Reasons"/>
        <w:spacing w:before="240" w:after="120"/>
        <w:rPr>
          <w:rFonts w:eastAsia="SimSun" w:cs="Calibri"/>
          <w:b/>
          <w:szCs w:val="24"/>
          <w:lang w:eastAsia="zh-CN"/>
        </w:rPr>
      </w:pPr>
      <w:r w:rsidRPr="006462E5">
        <w:rPr>
          <w:rFonts w:eastAsia="SimSun" w:cs="Calibri"/>
          <w:b/>
          <w:szCs w:val="24"/>
          <w:lang w:eastAsia="zh-CN"/>
        </w:rPr>
        <w:t>Impact</w:t>
      </w:r>
      <w:r w:rsidR="00FE159F">
        <w:rPr>
          <w:rFonts w:eastAsia="SimSun" w:cs="Calibri"/>
          <w:b/>
          <w:szCs w:val="24"/>
          <w:lang w:eastAsia="zh-CN"/>
        </w:rPr>
        <w:t>:</w:t>
      </w:r>
    </w:p>
    <w:p w14:paraId="1A79DCF1" w14:textId="65D4A23B" w:rsidR="00993483" w:rsidRPr="00993483" w:rsidRDefault="007635A7" w:rsidP="00D52168">
      <w:pPr>
        <w:pStyle w:val="Reasons"/>
        <w:spacing w:before="240" w:after="120"/>
        <w:rPr>
          <w:rFonts w:eastAsia="SimSun" w:cs="Calibri"/>
          <w:bCs/>
          <w:szCs w:val="24"/>
          <w:lang w:eastAsia="zh-CN"/>
        </w:rPr>
      </w:pPr>
      <w:r>
        <w:rPr>
          <w:rFonts w:eastAsia="SimSun" w:cs="Calibri"/>
          <w:bCs/>
          <w:szCs w:val="24"/>
          <w:lang w:eastAsia="zh-CN"/>
        </w:rPr>
        <w:t>S</w:t>
      </w:r>
      <w:r w:rsidR="00993483" w:rsidRPr="00993483">
        <w:rPr>
          <w:rFonts w:eastAsia="SimSun" w:cs="Calibri"/>
          <w:bCs/>
          <w:szCs w:val="24"/>
          <w:lang w:eastAsia="zh-CN"/>
        </w:rPr>
        <w:t>ecuring the necessary funding for ITU's digital transition and future IT developments is essential to avoid these severe operational impacts. The organization's ability to remain a relevant, efficient, and trusted global entity depends on its capacity to successfully navigate this digital transformation.</w:t>
      </w:r>
      <w:r w:rsidR="00962439">
        <w:rPr>
          <w:rFonts w:eastAsia="SimSun" w:cs="Calibri"/>
          <w:bCs/>
          <w:szCs w:val="24"/>
          <w:lang w:eastAsia="zh-CN"/>
        </w:rPr>
        <w:t xml:space="preserve"> It is noted that many of the transformative activities will generate savings in ITU’s activities moving forward</w:t>
      </w:r>
      <w:r w:rsidR="00124B0B">
        <w:rPr>
          <w:rFonts w:eastAsia="SimSun" w:cs="Calibri"/>
          <w:bCs/>
          <w:szCs w:val="24"/>
          <w:lang w:eastAsia="zh-CN"/>
        </w:rPr>
        <w:t xml:space="preserve"> through efficiencies in operations</w:t>
      </w:r>
      <w:r w:rsidR="00962439">
        <w:rPr>
          <w:rFonts w:eastAsia="SimSun" w:cs="Calibri"/>
          <w:bCs/>
          <w:szCs w:val="24"/>
          <w:lang w:eastAsia="zh-CN"/>
        </w:rPr>
        <w:t xml:space="preserve">, </w:t>
      </w:r>
      <w:r w:rsidR="000B6DF7">
        <w:rPr>
          <w:rFonts w:eastAsia="SimSun" w:cs="Calibri"/>
          <w:bCs/>
          <w:szCs w:val="24"/>
          <w:lang w:eastAsia="zh-CN"/>
        </w:rPr>
        <w:t>such efficiencies should be applied toward improving ITU’s efficiency and effectiveness in achieving its mandate</w:t>
      </w:r>
      <w:r w:rsidR="00124B0B">
        <w:rPr>
          <w:rFonts w:eastAsia="SimSun" w:cs="Calibri"/>
          <w:bCs/>
          <w:szCs w:val="24"/>
          <w:lang w:eastAsia="zh-CN"/>
        </w:rPr>
        <w:t>.</w:t>
      </w:r>
    </w:p>
    <w:p w14:paraId="66A3359B" w14:textId="5D273873" w:rsidR="00176EAA" w:rsidRPr="00F22BDB" w:rsidRDefault="00FE159F" w:rsidP="00D52168">
      <w:pPr>
        <w:pStyle w:val="Headingb"/>
        <w:spacing w:before="240" w:after="120"/>
      </w:pPr>
      <w:r w:rsidRPr="00ED1A5E">
        <w:rPr>
          <w:b w:val="0"/>
          <w:bCs/>
        </w:rPr>
        <w:t>1</w:t>
      </w:r>
      <w:r w:rsidR="002064FB">
        <w:rPr>
          <w:b w:val="0"/>
          <w:bCs/>
        </w:rPr>
        <w:t>0</w:t>
      </w:r>
      <w:r>
        <w:tab/>
      </w:r>
      <w:r w:rsidR="007B283D">
        <w:t>Impact on the value of the contributory amount</w:t>
      </w:r>
    </w:p>
    <w:p w14:paraId="3CDB27EA" w14:textId="1F891834" w:rsidR="00FE159F" w:rsidRDefault="00CE6DB6" w:rsidP="00D52168">
      <w:pPr>
        <w:pStyle w:val="Reasons"/>
        <w:spacing w:before="240" w:after="120"/>
        <w:rPr>
          <w:rFonts w:eastAsia="SimSun" w:cs="Calibri"/>
          <w:lang w:eastAsia="zh-CN"/>
        </w:rPr>
      </w:pPr>
      <w:r>
        <w:rPr>
          <w:rFonts w:eastAsia="SimSun" w:cs="Calibri"/>
          <w:lang w:eastAsia="zh-CN"/>
        </w:rPr>
        <w:t>The table</w:t>
      </w:r>
      <w:r w:rsidR="2A5E1EDC" w:rsidRPr="382D4B9D">
        <w:rPr>
          <w:rFonts w:eastAsia="SimSun" w:cs="Calibri"/>
          <w:lang w:eastAsia="zh-CN"/>
        </w:rPr>
        <w:t xml:space="preserve"> below summarizes </w:t>
      </w:r>
      <w:r w:rsidR="258B60D3" w:rsidRPr="382D4B9D">
        <w:rPr>
          <w:rFonts w:eastAsia="SimSun" w:cs="Calibri"/>
          <w:lang w:eastAsia="zh-CN"/>
        </w:rPr>
        <w:t xml:space="preserve">each </w:t>
      </w:r>
      <w:r w:rsidR="08EF796D" w:rsidRPr="382D4B9D">
        <w:rPr>
          <w:rFonts w:eastAsia="SimSun" w:cs="Calibri"/>
          <w:lang w:eastAsia="zh-CN"/>
        </w:rPr>
        <w:t>increased expense</w:t>
      </w:r>
      <w:r w:rsidR="39CA61E6" w:rsidRPr="382D4B9D">
        <w:rPr>
          <w:rFonts w:eastAsia="SimSun" w:cs="Calibri"/>
          <w:lang w:eastAsia="zh-CN"/>
        </w:rPr>
        <w:t xml:space="preserve"> </w:t>
      </w:r>
      <w:r w:rsidR="258B60D3" w:rsidRPr="382D4B9D">
        <w:rPr>
          <w:rFonts w:eastAsia="SimSun" w:cs="Calibri"/>
          <w:lang w:eastAsia="zh-CN"/>
        </w:rPr>
        <w:t>that ITU faces, with the estimate</w:t>
      </w:r>
      <w:r w:rsidR="08EF796D" w:rsidRPr="382D4B9D">
        <w:rPr>
          <w:rFonts w:eastAsia="SimSun" w:cs="Calibri"/>
          <w:lang w:eastAsia="zh-CN"/>
        </w:rPr>
        <w:t>d</w:t>
      </w:r>
      <w:r w:rsidR="258B60D3" w:rsidRPr="382D4B9D">
        <w:rPr>
          <w:rFonts w:eastAsia="SimSun" w:cs="Calibri"/>
          <w:lang w:eastAsia="zh-CN"/>
        </w:rPr>
        <w:t xml:space="preserve"> financial </w:t>
      </w:r>
      <w:r w:rsidR="08EF796D" w:rsidRPr="382D4B9D">
        <w:rPr>
          <w:rFonts w:eastAsia="SimSun" w:cs="Calibri"/>
          <w:lang w:eastAsia="zh-CN"/>
        </w:rPr>
        <w:t xml:space="preserve">cost, </w:t>
      </w:r>
      <w:r w:rsidR="610BE3EA" w:rsidRPr="382D4B9D">
        <w:rPr>
          <w:rFonts w:eastAsia="SimSun" w:cs="Calibri"/>
          <w:lang w:eastAsia="zh-CN"/>
        </w:rPr>
        <w:t xml:space="preserve">extrapolated into specific </w:t>
      </w:r>
      <w:r w:rsidR="39CA61E6" w:rsidRPr="382D4B9D">
        <w:rPr>
          <w:rFonts w:eastAsia="SimSun" w:cs="Calibri"/>
          <w:lang w:eastAsia="zh-CN"/>
        </w:rPr>
        <w:t>increase</w:t>
      </w:r>
      <w:r w:rsidR="62512CB0" w:rsidRPr="382D4B9D">
        <w:rPr>
          <w:rFonts w:eastAsia="SimSun" w:cs="Calibri"/>
          <w:lang w:eastAsia="zh-CN"/>
        </w:rPr>
        <w:t>s</w:t>
      </w:r>
      <w:r w:rsidR="39CA61E6" w:rsidRPr="382D4B9D">
        <w:rPr>
          <w:rFonts w:eastAsia="SimSun" w:cs="Calibri"/>
          <w:lang w:eastAsia="zh-CN"/>
        </w:rPr>
        <w:t xml:space="preserve"> in contributory unit</w:t>
      </w:r>
      <w:r w:rsidR="610BE3EA" w:rsidRPr="382D4B9D">
        <w:rPr>
          <w:rFonts w:eastAsia="SimSun" w:cs="Calibri"/>
          <w:lang w:eastAsia="zh-CN"/>
        </w:rPr>
        <w:t>.</w:t>
      </w:r>
      <w:r w:rsidR="62512CB0" w:rsidRPr="382D4B9D">
        <w:rPr>
          <w:rFonts w:eastAsia="SimSun" w:cs="Calibri"/>
          <w:lang w:eastAsia="zh-CN"/>
        </w:rPr>
        <w:t xml:space="preserve"> </w:t>
      </w:r>
      <w:r w:rsidR="006A6226">
        <w:rPr>
          <w:rFonts w:eastAsia="SimSun" w:cs="Calibri"/>
          <w:lang w:eastAsia="zh-CN"/>
        </w:rPr>
        <w:t>T</w:t>
      </w:r>
      <w:r w:rsidR="08ED6D63" w:rsidRPr="382D4B9D">
        <w:rPr>
          <w:rFonts w:eastAsia="SimSun" w:cs="Calibri"/>
          <w:lang w:eastAsia="zh-CN"/>
        </w:rPr>
        <w:t xml:space="preserve">he contributory unit is the most predictable and stable funding mechanism for ITU. Certain key organizational needs should be met through </w:t>
      </w:r>
      <w:r w:rsidR="772461BD" w:rsidRPr="382D4B9D">
        <w:rPr>
          <w:rFonts w:eastAsia="SimSun" w:cs="Calibri"/>
          <w:lang w:eastAsia="zh-CN"/>
        </w:rPr>
        <w:t>a stable source of income which allows for long term planning, rather than through voluntary or limited means</w:t>
      </w:r>
      <w:r w:rsidR="00286F49">
        <w:rPr>
          <w:rFonts w:eastAsia="SimSun" w:cs="Calibri"/>
          <w:lang w:eastAsia="zh-CN"/>
        </w:rPr>
        <w:t xml:space="preserve"> which has historically failed to provide the required </w:t>
      </w:r>
      <w:r w:rsidR="009440D1">
        <w:rPr>
          <w:rFonts w:eastAsia="SimSun" w:cs="Calibri"/>
          <w:lang w:eastAsia="zh-CN"/>
        </w:rPr>
        <w:t>funding</w:t>
      </w:r>
      <w:r w:rsidR="772461BD" w:rsidRPr="382D4B9D">
        <w:rPr>
          <w:rFonts w:eastAsia="SimSun" w:cs="Calibri"/>
          <w:lang w:eastAsia="zh-CN"/>
        </w:rPr>
        <w:t xml:space="preserve">. Further, while ITU </w:t>
      </w:r>
      <w:r w:rsidR="50605EFC" w:rsidRPr="382D4B9D">
        <w:rPr>
          <w:rFonts w:eastAsia="SimSun" w:cs="Calibri"/>
          <w:lang w:eastAsia="zh-CN"/>
        </w:rPr>
        <w:t xml:space="preserve">encourages individual </w:t>
      </w:r>
      <w:r w:rsidR="772461BD" w:rsidRPr="382D4B9D">
        <w:rPr>
          <w:rFonts w:eastAsia="SimSun" w:cs="Calibri"/>
          <w:lang w:eastAsia="zh-CN"/>
        </w:rPr>
        <w:t xml:space="preserve">countries to increase their </w:t>
      </w:r>
      <w:r w:rsidR="50605EFC" w:rsidRPr="382D4B9D">
        <w:rPr>
          <w:rFonts w:eastAsia="SimSun" w:cs="Calibri"/>
          <w:lang w:eastAsia="zh-CN"/>
        </w:rPr>
        <w:t>number of contributory units, an increase to the base unit ensures that a fair overall basis for contribution is maintained and the future of ITU secured, while allowing individual members to demonstrate additional commitment at their discretion.</w:t>
      </w:r>
    </w:p>
    <w:p w14:paraId="70CC687A" w14:textId="5599A3E2" w:rsidR="007B283D" w:rsidRDefault="00CE6DB6" w:rsidP="00161924">
      <w:pPr>
        <w:pStyle w:val="Reasons"/>
        <w:rPr>
          <w:rFonts w:eastAsia="SimSun" w:cs="Calibri"/>
          <w:lang w:eastAsia="zh-CN"/>
        </w:rPr>
      </w:pPr>
      <w:r w:rsidRPr="00CE6DB6">
        <w:rPr>
          <w:noProof/>
        </w:rPr>
        <w:lastRenderedPageBreak/>
        <w:t xml:space="preserve"> </w:t>
      </w:r>
      <w:r w:rsidRPr="00CE6DB6">
        <w:rPr>
          <w:rFonts w:eastAsia="SimSun" w:cs="Calibri"/>
          <w:noProof/>
          <w:lang w:eastAsia="zh-CN"/>
        </w:rPr>
        <w:drawing>
          <wp:inline distT="0" distB="0" distL="0" distR="0" wp14:anchorId="4A016372" wp14:editId="5C12BAEB">
            <wp:extent cx="5760085" cy="7449820"/>
            <wp:effectExtent l="0" t="0" r="5715" b="5080"/>
            <wp:docPr id="327605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05531" name=""/>
                    <pic:cNvPicPr/>
                  </pic:nvPicPr>
                  <pic:blipFill>
                    <a:blip r:embed="rId15"/>
                    <a:stretch>
                      <a:fillRect/>
                    </a:stretch>
                  </pic:blipFill>
                  <pic:spPr>
                    <a:xfrm>
                      <a:off x="0" y="0"/>
                      <a:ext cx="5760085" cy="7449820"/>
                    </a:xfrm>
                    <a:prstGeom prst="rect">
                      <a:avLst/>
                    </a:prstGeom>
                  </pic:spPr>
                </pic:pic>
              </a:graphicData>
            </a:graphic>
          </wp:inline>
        </w:drawing>
      </w:r>
      <w:r w:rsidR="004A2BC1" w:rsidRPr="7B4B3629">
        <w:rPr>
          <w:rFonts w:eastAsia="SimSun" w:cs="Calibri"/>
          <w:lang w:eastAsia="zh-CN"/>
        </w:rPr>
        <w:t xml:space="preserve"> </w:t>
      </w:r>
    </w:p>
    <w:p w14:paraId="1F465FA6" w14:textId="77777777" w:rsidR="00CE6DB6" w:rsidRDefault="00CE6DB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lang w:val="en-US"/>
        </w:rPr>
      </w:pPr>
      <w:r>
        <w:rPr>
          <w:b/>
          <w:bCs/>
        </w:rPr>
        <w:br w:type="page"/>
      </w:r>
    </w:p>
    <w:p w14:paraId="020E379E" w14:textId="512FC012" w:rsidR="00896486" w:rsidRPr="006462E5" w:rsidRDefault="008653ED" w:rsidP="008653ED">
      <w:pPr>
        <w:pStyle w:val="Reasons"/>
        <w:rPr>
          <w:b/>
          <w:bCs/>
        </w:rPr>
      </w:pPr>
      <w:r>
        <w:rPr>
          <w:b/>
          <w:bCs/>
        </w:rPr>
        <w:lastRenderedPageBreak/>
        <w:t>1</w:t>
      </w:r>
      <w:r w:rsidR="002064FB">
        <w:rPr>
          <w:b/>
          <w:bCs/>
        </w:rPr>
        <w:t>1</w:t>
      </w:r>
      <w:r>
        <w:rPr>
          <w:b/>
          <w:bCs/>
        </w:rPr>
        <w:tab/>
      </w:r>
      <w:r w:rsidR="008B7B2F">
        <w:rPr>
          <w:b/>
          <w:bCs/>
        </w:rPr>
        <w:t>Summary</w:t>
      </w:r>
    </w:p>
    <w:p w14:paraId="02AA9F44" w14:textId="4B524621" w:rsidR="008653ED" w:rsidRDefault="008B7B2F" w:rsidP="002F7164">
      <w:pPr>
        <w:pStyle w:val="Reasons"/>
        <w:spacing w:before="240"/>
      </w:pPr>
      <w:r>
        <w:t xml:space="preserve">CWG-SFP is </w:t>
      </w:r>
      <w:r w:rsidR="002F7164">
        <w:t>invited</w:t>
      </w:r>
      <w:r>
        <w:t xml:space="preserve"> to</w:t>
      </w:r>
      <w:r w:rsidR="002F7164">
        <w:t xml:space="preserve"> </w:t>
      </w:r>
      <w:r>
        <w:t xml:space="preserve">consider </w:t>
      </w:r>
      <w:r w:rsidR="00175005">
        <w:t>the foregoing issues and other relevant matters, and to advise the Council on the decisions that should be taken in respect of the establishment of the preliminary amount of the contributory unit, in alignment with its recommendations on the Strategic and Financial Plans for the Union for the period from 2028 to 2031</w:t>
      </w:r>
      <w:r w:rsidR="002F7164">
        <w:t>.</w:t>
      </w:r>
    </w:p>
    <w:p w14:paraId="2194C55B" w14:textId="717D67BF" w:rsidR="00230BFE" w:rsidRPr="007E00DB" w:rsidRDefault="00B70DFF" w:rsidP="00D52168">
      <w:pPr>
        <w:pStyle w:val="Reasons"/>
        <w:spacing w:before="840"/>
        <w:jc w:val="center"/>
      </w:pPr>
      <w:r>
        <w:t>______________</w:t>
      </w:r>
    </w:p>
    <w:sectPr w:rsidR="00230BFE" w:rsidRPr="007E00DB" w:rsidSect="00AD3606">
      <w:headerReference w:type="default" r:id="rId1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0395" w14:textId="77777777" w:rsidR="00D92247" w:rsidRDefault="00D92247">
      <w:r>
        <w:separator/>
      </w:r>
    </w:p>
  </w:endnote>
  <w:endnote w:type="continuationSeparator" w:id="0">
    <w:p w14:paraId="572570A7" w14:textId="77777777" w:rsidR="00D92247" w:rsidRDefault="00D92247">
      <w:r>
        <w:continuationSeparator/>
      </w:r>
    </w:p>
  </w:endnote>
  <w:endnote w:type="continuationNotice" w:id="1">
    <w:p w14:paraId="3A793765" w14:textId="77777777" w:rsidR="00D92247" w:rsidRDefault="00D922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6E960447" w:rsidR="00EE49E8" w:rsidRPr="00E06FD5" w:rsidRDefault="00EE49E8" w:rsidP="00012168">
          <w:pPr>
            <w:pStyle w:val="Header"/>
            <w:tabs>
              <w:tab w:val="left" w:pos="630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0AE1">
            <w:rPr>
              <w:bCs/>
            </w:rPr>
            <w:t>SFP-1</w:t>
          </w:r>
          <w:r w:rsidR="00A52C84" w:rsidRPr="00623AE3">
            <w:rPr>
              <w:bCs/>
            </w:rPr>
            <w:t>/</w:t>
          </w:r>
          <w:r w:rsidR="00E75165">
            <w:rPr>
              <w:bCs/>
            </w:rPr>
            <w:t>5</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8E29484" w:rsidR="00EE49E8" w:rsidRPr="00E06FD5" w:rsidRDefault="00EE49E8" w:rsidP="00012168">
          <w:pPr>
            <w:pStyle w:val="Header"/>
            <w:tabs>
              <w:tab w:val="left" w:pos="5009"/>
              <w:tab w:val="right" w:pos="8505"/>
              <w:tab w:val="right" w:pos="9639"/>
            </w:tabs>
            <w:jc w:val="left"/>
            <w:rPr>
              <w:rFonts w:ascii="Arial" w:hAnsi="Arial" w:cs="Arial"/>
              <w:b/>
              <w:bCs/>
              <w:szCs w:val="18"/>
            </w:rPr>
          </w:pPr>
          <w:r>
            <w:rPr>
              <w:bCs/>
            </w:rPr>
            <w:tab/>
          </w:r>
          <w:r w:rsidRPr="00623AE3">
            <w:rPr>
              <w:bCs/>
            </w:rPr>
            <w:t>C</w:t>
          </w:r>
          <w:r w:rsidR="00A52C84">
            <w:rPr>
              <w:bCs/>
            </w:rPr>
            <w:t>WG-</w:t>
          </w:r>
          <w:r w:rsidR="009F0AE1">
            <w:rPr>
              <w:bCs/>
            </w:rPr>
            <w:t>SFP-1</w:t>
          </w:r>
          <w:r w:rsidRPr="00623AE3">
            <w:rPr>
              <w:bCs/>
            </w:rPr>
            <w:t>/</w:t>
          </w:r>
          <w:r w:rsidR="00E75165">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8886" w14:textId="77777777" w:rsidR="00D92247" w:rsidRDefault="00D92247">
      <w:r>
        <w:t>____________________</w:t>
      </w:r>
    </w:p>
  </w:footnote>
  <w:footnote w:type="continuationSeparator" w:id="0">
    <w:p w14:paraId="44913A0D" w14:textId="77777777" w:rsidR="00D92247" w:rsidRDefault="00D92247">
      <w:r>
        <w:continuationSeparator/>
      </w:r>
    </w:p>
  </w:footnote>
  <w:footnote w:type="continuationNotice" w:id="1">
    <w:p w14:paraId="775AD832" w14:textId="77777777" w:rsidR="00D92247" w:rsidRDefault="00D9224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E8602DC" w14:paraId="45EBE459" w14:textId="77777777" w:rsidTr="4E8602DC">
      <w:trPr>
        <w:trHeight w:val="300"/>
      </w:trPr>
      <w:tc>
        <w:tcPr>
          <w:tcW w:w="3020" w:type="dxa"/>
        </w:tcPr>
        <w:p w14:paraId="53AF10D0" w14:textId="410938AF" w:rsidR="4E8602DC" w:rsidRDefault="4E8602DC" w:rsidP="4E8602DC">
          <w:pPr>
            <w:pStyle w:val="Header"/>
            <w:ind w:left="-115"/>
            <w:jc w:val="left"/>
          </w:pPr>
        </w:p>
      </w:tc>
      <w:tc>
        <w:tcPr>
          <w:tcW w:w="3020" w:type="dxa"/>
        </w:tcPr>
        <w:p w14:paraId="7707C7E3" w14:textId="6C085EB9" w:rsidR="4E8602DC" w:rsidRDefault="4E8602DC" w:rsidP="4E8602DC">
          <w:pPr>
            <w:pStyle w:val="Header"/>
          </w:pPr>
        </w:p>
      </w:tc>
      <w:tc>
        <w:tcPr>
          <w:tcW w:w="3020" w:type="dxa"/>
        </w:tcPr>
        <w:p w14:paraId="07BF1C93" w14:textId="6012157E" w:rsidR="4E8602DC" w:rsidRDefault="4E8602DC" w:rsidP="4E8602DC">
          <w:pPr>
            <w:pStyle w:val="Header"/>
            <w:ind w:right="-115"/>
            <w:jc w:val="right"/>
          </w:pPr>
        </w:p>
      </w:tc>
    </w:tr>
  </w:tbl>
  <w:p w14:paraId="16935A3F" w14:textId="099B8BEE" w:rsidR="4E8602DC" w:rsidRDefault="4E8602DC" w:rsidP="4E860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3" w:name="_Hlk133422111"/>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08F2E"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F9435"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35C105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203E5">
                            <w:rPr>
                              <w:b/>
                              <w:bCs/>
                              <w:szCs w:val="24"/>
                            </w:rPr>
                            <w:t>Strategic and Financial Plan</w:t>
                          </w:r>
                          <w:r w:rsidR="00241964">
                            <w:rPr>
                              <w:b/>
                              <w:bCs/>
                              <w:szCs w:val="24"/>
                            </w:rPr>
                            <w:t>s for 2028-2031</w:t>
                          </w:r>
                          <w:r>
                            <w:br/>
                          </w:r>
                          <w:r w:rsidR="005203E5">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241964">
                            <w:rPr>
                              <w:sz w:val="20"/>
                            </w:rPr>
                            <w:t>10</w:t>
                          </w:r>
                          <w:r w:rsidR="00E03C3D">
                            <w:rPr>
                              <w:sz w:val="20"/>
                            </w:rPr>
                            <w:t xml:space="preserve"> to </w:t>
                          </w:r>
                          <w:r w:rsidR="00241964">
                            <w:rPr>
                              <w:sz w:val="20"/>
                            </w:rPr>
                            <w:t xml:space="preserve">11 </w:t>
                          </w:r>
                          <w:r w:rsidR="00E03C3D">
                            <w:rPr>
                              <w:sz w:val="20"/>
                            </w:rPr>
                            <w:t>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35C105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203E5">
                      <w:rPr>
                        <w:b/>
                        <w:bCs/>
                        <w:szCs w:val="24"/>
                      </w:rPr>
                      <w:t>Strategic and Financial Plan</w:t>
                    </w:r>
                    <w:r w:rsidR="00241964">
                      <w:rPr>
                        <w:b/>
                        <w:bCs/>
                        <w:szCs w:val="24"/>
                      </w:rPr>
                      <w:t>s for 2028-2031</w:t>
                    </w:r>
                    <w:r>
                      <w:br/>
                    </w:r>
                    <w:r w:rsidR="005203E5">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241964">
                      <w:rPr>
                        <w:sz w:val="20"/>
                      </w:rPr>
                      <w:t>10</w:t>
                    </w:r>
                    <w:r w:rsidR="00E03C3D">
                      <w:rPr>
                        <w:sz w:val="20"/>
                      </w:rPr>
                      <w:t xml:space="preserve"> to </w:t>
                    </w:r>
                    <w:r w:rsidR="00241964">
                      <w:rPr>
                        <w:sz w:val="20"/>
                      </w:rPr>
                      <w:t xml:space="preserve">11 </w:t>
                    </w:r>
                    <w:r w:rsidR="00E03C3D">
                      <w:rPr>
                        <w:sz w:val="20"/>
                      </w:rPr>
                      <w:t>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143D4"/>
    <w:multiLevelType w:val="multilevel"/>
    <w:tmpl w:val="9104D0CE"/>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E219D9"/>
    <w:multiLevelType w:val="multilevel"/>
    <w:tmpl w:val="ACCA5920"/>
    <w:lvl w:ilvl="0">
      <w:start w:val="1"/>
      <w:numFmt w:val="decimal"/>
      <w:lvlText w:val="%1."/>
      <w:lvlJc w:val="left"/>
      <w:pPr>
        <w:ind w:left="786" w:hanging="360"/>
      </w:pPr>
      <w:rPr>
        <w:b/>
      </w:rPr>
    </w:lvl>
    <w:lvl w:ilvl="1">
      <w:start w:val="2"/>
      <w:numFmt w:val="decimal"/>
      <w:isLgl/>
      <w:lvlText w:val="%1.%2"/>
      <w:lvlJc w:val="left"/>
      <w:pPr>
        <w:ind w:left="750" w:hanging="39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07757202"/>
    <w:multiLevelType w:val="hybridMultilevel"/>
    <w:tmpl w:val="CEEA68F8"/>
    <w:lvl w:ilvl="0" w:tplc="7BB0A0B8">
      <w:start w:val="3"/>
      <w:numFmt w:val="lowerLetter"/>
      <w:lvlText w:val="%1)"/>
      <w:lvlJc w:val="left"/>
      <w:pPr>
        <w:ind w:left="720" w:hanging="360"/>
      </w:pPr>
    </w:lvl>
    <w:lvl w:ilvl="1" w:tplc="2946AA9C">
      <w:start w:val="1"/>
      <w:numFmt w:val="lowerLetter"/>
      <w:lvlText w:val="%2."/>
      <w:lvlJc w:val="left"/>
      <w:pPr>
        <w:ind w:left="1440" w:hanging="360"/>
      </w:pPr>
    </w:lvl>
    <w:lvl w:ilvl="2" w:tplc="ADFADBAE">
      <w:start w:val="1"/>
      <w:numFmt w:val="lowerRoman"/>
      <w:lvlText w:val="%3."/>
      <w:lvlJc w:val="right"/>
      <w:pPr>
        <w:ind w:left="2160" w:hanging="180"/>
      </w:pPr>
    </w:lvl>
    <w:lvl w:ilvl="3" w:tplc="49C0C89C">
      <w:start w:val="1"/>
      <w:numFmt w:val="decimal"/>
      <w:lvlText w:val="%4."/>
      <w:lvlJc w:val="left"/>
      <w:pPr>
        <w:ind w:left="2880" w:hanging="360"/>
      </w:pPr>
    </w:lvl>
    <w:lvl w:ilvl="4" w:tplc="7BE8E0A8">
      <w:start w:val="1"/>
      <w:numFmt w:val="lowerLetter"/>
      <w:lvlText w:val="%5."/>
      <w:lvlJc w:val="left"/>
      <w:pPr>
        <w:ind w:left="3600" w:hanging="360"/>
      </w:pPr>
    </w:lvl>
    <w:lvl w:ilvl="5" w:tplc="4F9A262C">
      <w:start w:val="1"/>
      <w:numFmt w:val="lowerRoman"/>
      <w:lvlText w:val="%6."/>
      <w:lvlJc w:val="right"/>
      <w:pPr>
        <w:ind w:left="4320" w:hanging="180"/>
      </w:pPr>
    </w:lvl>
    <w:lvl w:ilvl="6" w:tplc="BC1C1468">
      <w:start w:val="1"/>
      <w:numFmt w:val="decimal"/>
      <w:lvlText w:val="%7."/>
      <w:lvlJc w:val="left"/>
      <w:pPr>
        <w:ind w:left="5040" w:hanging="360"/>
      </w:pPr>
    </w:lvl>
    <w:lvl w:ilvl="7" w:tplc="20CC9700">
      <w:start w:val="1"/>
      <w:numFmt w:val="lowerLetter"/>
      <w:lvlText w:val="%8."/>
      <w:lvlJc w:val="left"/>
      <w:pPr>
        <w:ind w:left="5760" w:hanging="360"/>
      </w:pPr>
    </w:lvl>
    <w:lvl w:ilvl="8" w:tplc="69BCDE50">
      <w:start w:val="1"/>
      <w:numFmt w:val="lowerRoman"/>
      <w:lvlText w:val="%9."/>
      <w:lvlJc w:val="right"/>
      <w:pPr>
        <w:ind w:left="6480" w:hanging="180"/>
      </w:pPr>
    </w:lvl>
  </w:abstractNum>
  <w:abstractNum w:abstractNumId="4" w15:restartNumberingAfterBreak="0">
    <w:nsid w:val="09FF234A"/>
    <w:multiLevelType w:val="hybridMultilevel"/>
    <w:tmpl w:val="F8C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C7974"/>
    <w:multiLevelType w:val="hybridMultilevel"/>
    <w:tmpl w:val="2FD67158"/>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66AC15"/>
    <w:multiLevelType w:val="hybridMultilevel"/>
    <w:tmpl w:val="6BF86068"/>
    <w:lvl w:ilvl="0" w:tplc="F05C7B92">
      <w:start w:val="1"/>
      <w:numFmt w:val="lowerLetter"/>
      <w:lvlText w:val="%1)"/>
      <w:lvlJc w:val="left"/>
      <w:pPr>
        <w:ind w:left="720" w:hanging="360"/>
      </w:pPr>
    </w:lvl>
    <w:lvl w:ilvl="1" w:tplc="03C273C6">
      <w:start w:val="1"/>
      <w:numFmt w:val="lowerLetter"/>
      <w:lvlText w:val="%2."/>
      <w:lvlJc w:val="left"/>
      <w:pPr>
        <w:ind w:left="1440" w:hanging="360"/>
      </w:pPr>
    </w:lvl>
    <w:lvl w:ilvl="2" w:tplc="07A80DB0">
      <w:start w:val="1"/>
      <w:numFmt w:val="lowerRoman"/>
      <w:lvlText w:val="%3."/>
      <w:lvlJc w:val="right"/>
      <w:pPr>
        <w:ind w:left="2160" w:hanging="180"/>
      </w:pPr>
    </w:lvl>
    <w:lvl w:ilvl="3" w:tplc="7472940C">
      <w:start w:val="1"/>
      <w:numFmt w:val="decimal"/>
      <w:lvlText w:val="%4."/>
      <w:lvlJc w:val="left"/>
      <w:pPr>
        <w:ind w:left="2880" w:hanging="360"/>
      </w:pPr>
    </w:lvl>
    <w:lvl w:ilvl="4" w:tplc="2E106740">
      <w:start w:val="1"/>
      <w:numFmt w:val="lowerLetter"/>
      <w:lvlText w:val="%5."/>
      <w:lvlJc w:val="left"/>
      <w:pPr>
        <w:ind w:left="3600" w:hanging="360"/>
      </w:pPr>
    </w:lvl>
    <w:lvl w:ilvl="5" w:tplc="8B825A70">
      <w:start w:val="1"/>
      <w:numFmt w:val="lowerRoman"/>
      <w:lvlText w:val="%6."/>
      <w:lvlJc w:val="right"/>
      <w:pPr>
        <w:ind w:left="4320" w:hanging="180"/>
      </w:pPr>
    </w:lvl>
    <w:lvl w:ilvl="6" w:tplc="143EEBCE">
      <w:start w:val="1"/>
      <w:numFmt w:val="decimal"/>
      <w:lvlText w:val="%7."/>
      <w:lvlJc w:val="left"/>
      <w:pPr>
        <w:ind w:left="5040" w:hanging="360"/>
      </w:pPr>
    </w:lvl>
    <w:lvl w:ilvl="7" w:tplc="F5464170">
      <w:start w:val="1"/>
      <w:numFmt w:val="lowerLetter"/>
      <w:lvlText w:val="%8."/>
      <w:lvlJc w:val="left"/>
      <w:pPr>
        <w:ind w:left="5760" w:hanging="360"/>
      </w:pPr>
    </w:lvl>
    <w:lvl w:ilvl="8" w:tplc="F91440F4">
      <w:start w:val="1"/>
      <w:numFmt w:val="lowerRoman"/>
      <w:lvlText w:val="%9."/>
      <w:lvlJc w:val="right"/>
      <w:pPr>
        <w:ind w:left="6480" w:hanging="180"/>
      </w:pPr>
    </w:lvl>
  </w:abstractNum>
  <w:abstractNum w:abstractNumId="7" w15:restartNumberingAfterBreak="0">
    <w:nsid w:val="0F2E7A7A"/>
    <w:multiLevelType w:val="multilevel"/>
    <w:tmpl w:val="B74A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76209"/>
    <w:multiLevelType w:val="multilevel"/>
    <w:tmpl w:val="9CC0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662C0"/>
    <w:multiLevelType w:val="hybridMultilevel"/>
    <w:tmpl w:val="7672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E26DD"/>
    <w:multiLevelType w:val="multilevel"/>
    <w:tmpl w:val="29B6841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D2A2D"/>
    <w:multiLevelType w:val="hybridMultilevel"/>
    <w:tmpl w:val="695A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50966"/>
    <w:multiLevelType w:val="multilevel"/>
    <w:tmpl w:val="93F8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27FC8"/>
    <w:multiLevelType w:val="hybridMultilevel"/>
    <w:tmpl w:val="5BE61BCE"/>
    <w:lvl w:ilvl="0" w:tplc="05422B9E">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173D90"/>
    <w:multiLevelType w:val="hybridMultilevel"/>
    <w:tmpl w:val="7D243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B6597"/>
    <w:multiLevelType w:val="hybridMultilevel"/>
    <w:tmpl w:val="D5E2EEDC"/>
    <w:lvl w:ilvl="0" w:tplc="F08CCFA0">
      <w:start w:val="3"/>
      <w:numFmt w:val="lowerLetter"/>
      <w:lvlText w:val="%1)"/>
      <w:lvlJc w:val="left"/>
      <w:pPr>
        <w:ind w:left="720" w:hanging="360"/>
      </w:pPr>
    </w:lvl>
    <w:lvl w:ilvl="1" w:tplc="C3147E26">
      <w:start w:val="1"/>
      <w:numFmt w:val="lowerLetter"/>
      <w:lvlText w:val="%2."/>
      <w:lvlJc w:val="left"/>
      <w:pPr>
        <w:ind w:left="1440" w:hanging="360"/>
      </w:pPr>
    </w:lvl>
    <w:lvl w:ilvl="2" w:tplc="FFBC6562">
      <w:start w:val="1"/>
      <w:numFmt w:val="lowerRoman"/>
      <w:lvlText w:val="%3."/>
      <w:lvlJc w:val="right"/>
      <w:pPr>
        <w:ind w:left="2160" w:hanging="180"/>
      </w:pPr>
    </w:lvl>
    <w:lvl w:ilvl="3" w:tplc="0078473A">
      <w:start w:val="1"/>
      <w:numFmt w:val="decimal"/>
      <w:lvlText w:val="%4."/>
      <w:lvlJc w:val="left"/>
      <w:pPr>
        <w:ind w:left="2880" w:hanging="360"/>
      </w:pPr>
    </w:lvl>
    <w:lvl w:ilvl="4" w:tplc="06DA5B3A">
      <w:start w:val="1"/>
      <w:numFmt w:val="lowerLetter"/>
      <w:lvlText w:val="%5."/>
      <w:lvlJc w:val="left"/>
      <w:pPr>
        <w:ind w:left="3600" w:hanging="360"/>
      </w:pPr>
    </w:lvl>
    <w:lvl w:ilvl="5" w:tplc="4E381B4E">
      <w:start w:val="1"/>
      <w:numFmt w:val="lowerRoman"/>
      <w:lvlText w:val="%6."/>
      <w:lvlJc w:val="right"/>
      <w:pPr>
        <w:ind w:left="4320" w:hanging="180"/>
      </w:pPr>
    </w:lvl>
    <w:lvl w:ilvl="6" w:tplc="E9B6813C">
      <w:start w:val="1"/>
      <w:numFmt w:val="decimal"/>
      <w:lvlText w:val="%7."/>
      <w:lvlJc w:val="left"/>
      <w:pPr>
        <w:ind w:left="5040" w:hanging="360"/>
      </w:pPr>
    </w:lvl>
    <w:lvl w:ilvl="7" w:tplc="3C7E0C22">
      <w:start w:val="1"/>
      <w:numFmt w:val="lowerLetter"/>
      <w:lvlText w:val="%8."/>
      <w:lvlJc w:val="left"/>
      <w:pPr>
        <w:ind w:left="5760" w:hanging="360"/>
      </w:pPr>
    </w:lvl>
    <w:lvl w:ilvl="8" w:tplc="B636D89A">
      <w:start w:val="1"/>
      <w:numFmt w:val="lowerRoman"/>
      <w:lvlText w:val="%9."/>
      <w:lvlJc w:val="right"/>
      <w:pPr>
        <w:ind w:left="6480" w:hanging="180"/>
      </w:pPr>
    </w:lvl>
  </w:abstractNum>
  <w:abstractNum w:abstractNumId="16" w15:restartNumberingAfterBreak="0">
    <w:nsid w:val="36895C0D"/>
    <w:multiLevelType w:val="hybridMultilevel"/>
    <w:tmpl w:val="694CF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3E1346"/>
    <w:multiLevelType w:val="multilevel"/>
    <w:tmpl w:val="820A41DC"/>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20884"/>
    <w:multiLevelType w:val="hybridMultilevel"/>
    <w:tmpl w:val="B45C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70947"/>
    <w:multiLevelType w:val="hybridMultilevel"/>
    <w:tmpl w:val="E8DE0E5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D7D92"/>
    <w:multiLevelType w:val="multilevel"/>
    <w:tmpl w:val="494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15FD5"/>
    <w:multiLevelType w:val="hybridMultilevel"/>
    <w:tmpl w:val="E3C834B6"/>
    <w:lvl w:ilvl="0" w:tplc="939439C0">
      <w:start w:val="1"/>
      <w:numFmt w:val="lowerLetter"/>
      <w:lvlText w:val="%1)"/>
      <w:lvlJc w:val="left"/>
      <w:pPr>
        <w:ind w:left="720" w:hanging="360"/>
      </w:pPr>
    </w:lvl>
    <w:lvl w:ilvl="1" w:tplc="0B02C77E">
      <w:start w:val="1"/>
      <w:numFmt w:val="lowerLetter"/>
      <w:lvlText w:val="%2."/>
      <w:lvlJc w:val="left"/>
      <w:pPr>
        <w:ind w:left="1440" w:hanging="360"/>
      </w:pPr>
    </w:lvl>
    <w:lvl w:ilvl="2" w:tplc="DA86E40A">
      <w:start w:val="1"/>
      <w:numFmt w:val="lowerRoman"/>
      <w:lvlText w:val="%3."/>
      <w:lvlJc w:val="right"/>
      <w:pPr>
        <w:ind w:left="2160" w:hanging="180"/>
      </w:pPr>
    </w:lvl>
    <w:lvl w:ilvl="3" w:tplc="D070FB80">
      <w:start w:val="1"/>
      <w:numFmt w:val="decimal"/>
      <w:lvlText w:val="%4."/>
      <w:lvlJc w:val="left"/>
      <w:pPr>
        <w:ind w:left="2880" w:hanging="360"/>
      </w:pPr>
    </w:lvl>
    <w:lvl w:ilvl="4" w:tplc="2620FD20">
      <w:start w:val="1"/>
      <w:numFmt w:val="lowerLetter"/>
      <w:lvlText w:val="%5."/>
      <w:lvlJc w:val="left"/>
      <w:pPr>
        <w:ind w:left="3600" w:hanging="360"/>
      </w:pPr>
    </w:lvl>
    <w:lvl w:ilvl="5" w:tplc="6B38C35C">
      <w:start w:val="1"/>
      <w:numFmt w:val="lowerRoman"/>
      <w:lvlText w:val="%6."/>
      <w:lvlJc w:val="right"/>
      <w:pPr>
        <w:ind w:left="4320" w:hanging="180"/>
      </w:pPr>
    </w:lvl>
    <w:lvl w:ilvl="6" w:tplc="2D44E7AE">
      <w:start w:val="1"/>
      <w:numFmt w:val="decimal"/>
      <w:lvlText w:val="%7."/>
      <w:lvlJc w:val="left"/>
      <w:pPr>
        <w:ind w:left="5040" w:hanging="360"/>
      </w:pPr>
    </w:lvl>
    <w:lvl w:ilvl="7" w:tplc="89D4300C">
      <w:start w:val="1"/>
      <w:numFmt w:val="lowerLetter"/>
      <w:lvlText w:val="%8."/>
      <w:lvlJc w:val="left"/>
      <w:pPr>
        <w:ind w:left="5760" w:hanging="360"/>
      </w:pPr>
    </w:lvl>
    <w:lvl w:ilvl="8" w:tplc="83BC3DA0">
      <w:start w:val="1"/>
      <w:numFmt w:val="lowerRoman"/>
      <w:lvlText w:val="%9."/>
      <w:lvlJc w:val="right"/>
      <w:pPr>
        <w:ind w:left="6480" w:hanging="180"/>
      </w:pPr>
    </w:lvl>
  </w:abstractNum>
  <w:abstractNum w:abstractNumId="22" w15:restartNumberingAfterBreak="0">
    <w:nsid w:val="52E26339"/>
    <w:multiLevelType w:val="multilevel"/>
    <w:tmpl w:val="DC506734"/>
    <w:lvl w:ilvl="0">
      <w:start w:val="1"/>
      <w:numFmt w:val="lowerLetter"/>
      <w:lvlText w:val="%1)"/>
      <w:lvlJc w:val="left"/>
      <w:pPr>
        <w:ind w:left="4425" w:hanging="4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6025E6F"/>
    <w:multiLevelType w:val="hybridMultilevel"/>
    <w:tmpl w:val="1D246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30011F"/>
    <w:multiLevelType w:val="multilevel"/>
    <w:tmpl w:val="806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E55DF"/>
    <w:multiLevelType w:val="hybridMultilevel"/>
    <w:tmpl w:val="54666114"/>
    <w:lvl w:ilvl="0" w:tplc="C96E1616">
      <w:start w:val="1"/>
      <w:numFmt w:val="lowerLetter"/>
      <w:lvlText w:val="%1)"/>
      <w:lvlJc w:val="left"/>
      <w:pPr>
        <w:ind w:left="720" w:hanging="360"/>
      </w:pPr>
    </w:lvl>
    <w:lvl w:ilvl="1" w:tplc="88689EE2">
      <w:start w:val="1"/>
      <w:numFmt w:val="lowerLetter"/>
      <w:lvlText w:val="%2."/>
      <w:lvlJc w:val="left"/>
      <w:pPr>
        <w:ind w:left="1440" w:hanging="360"/>
      </w:pPr>
    </w:lvl>
    <w:lvl w:ilvl="2" w:tplc="A9E67700">
      <w:start w:val="1"/>
      <w:numFmt w:val="lowerRoman"/>
      <w:lvlText w:val="%3."/>
      <w:lvlJc w:val="right"/>
      <w:pPr>
        <w:ind w:left="2160" w:hanging="180"/>
      </w:pPr>
    </w:lvl>
    <w:lvl w:ilvl="3" w:tplc="ACDE5D20">
      <w:start w:val="1"/>
      <w:numFmt w:val="decimal"/>
      <w:lvlText w:val="%4."/>
      <w:lvlJc w:val="left"/>
      <w:pPr>
        <w:ind w:left="2880" w:hanging="360"/>
      </w:pPr>
    </w:lvl>
    <w:lvl w:ilvl="4" w:tplc="09B0EE82">
      <w:start w:val="1"/>
      <w:numFmt w:val="lowerLetter"/>
      <w:lvlText w:val="%5."/>
      <w:lvlJc w:val="left"/>
      <w:pPr>
        <w:ind w:left="3600" w:hanging="360"/>
      </w:pPr>
    </w:lvl>
    <w:lvl w:ilvl="5" w:tplc="9AAC4208">
      <w:start w:val="1"/>
      <w:numFmt w:val="lowerRoman"/>
      <w:lvlText w:val="%6."/>
      <w:lvlJc w:val="right"/>
      <w:pPr>
        <w:ind w:left="4320" w:hanging="180"/>
      </w:pPr>
    </w:lvl>
    <w:lvl w:ilvl="6" w:tplc="B0EE43F0">
      <w:start w:val="1"/>
      <w:numFmt w:val="decimal"/>
      <w:lvlText w:val="%7."/>
      <w:lvlJc w:val="left"/>
      <w:pPr>
        <w:ind w:left="5040" w:hanging="360"/>
      </w:pPr>
    </w:lvl>
    <w:lvl w:ilvl="7" w:tplc="AFA4A0DC">
      <w:start w:val="1"/>
      <w:numFmt w:val="lowerLetter"/>
      <w:lvlText w:val="%8."/>
      <w:lvlJc w:val="left"/>
      <w:pPr>
        <w:ind w:left="5760" w:hanging="360"/>
      </w:pPr>
    </w:lvl>
    <w:lvl w:ilvl="8" w:tplc="93883AF6">
      <w:start w:val="1"/>
      <w:numFmt w:val="lowerRoman"/>
      <w:lvlText w:val="%9."/>
      <w:lvlJc w:val="right"/>
      <w:pPr>
        <w:ind w:left="6480" w:hanging="180"/>
      </w:pPr>
    </w:lvl>
  </w:abstractNum>
  <w:abstractNum w:abstractNumId="26" w15:restartNumberingAfterBreak="0">
    <w:nsid w:val="785E3162"/>
    <w:multiLevelType w:val="hybridMultilevel"/>
    <w:tmpl w:val="D69E0062"/>
    <w:lvl w:ilvl="0" w:tplc="04742F66">
      <w:start w:val="1"/>
      <w:numFmt w:val="lowerLetter"/>
      <w:lvlText w:val="%1)"/>
      <w:lvlJc w:val="left"/>
      <w:pPr>
        <w:ind w:left="720" w:hanging="360"/>
      </w:pPr>
    </w:lvl>
    <w:lvl w:ilvl="1" w:tplc="BCAE10B4">
      <w:start w:val="1"/>
      <w:numFmt w:val="lowerLetter"/>
      <w:lvlText w:val="%2."/>
      <w:lvlJc w:val="left"/>
      <w:pPr>
        <w:ind w:left="1440" w:hanging="360"/>
      </w:pPr>
    </w:lvl>
    <w:lvl w:ilvl="2" w:tplc="3C82BB46">
      <w:start w:val="1"/>
      <w:numFmt w:val="lowerRoman"/>
      <w:lvlText w:val="%3."/>
      <w:lvlJc w:val="right"/>
      <w:pPr>
        <w:ind w:left="2160" w:hanging="180"/>
      </w:pPr>
    </w:lvl>
    <w:lvl w:ilvl="3" w:tplc="1B0AD04C">
      <w:start w:val="1"/>
      <w:numFmt w:val="decimal"/>
      <w:lvlText w:val="%4."/>
      <w:lvlJc w:val="left"/>
      <w:pPr>
        <w:ind w:left="2880" w:hanging="360"/>
      </w:pPr>
    </w:lvl>
    <w:lvl w:ilvl="4" w:tplc="A166633C">
      <w:start w:val="1"/>
      <w:numFmt w:val="lowerLetter"/>
      <w:lvlText w:val="%5."/>
      <w:lvlJc w:val="left"/>
      <w:pPr>
        <w:ind w:left="3600" w:hanging="360"/>
      </w:pPr>
    </w:lvl>
    <w:lvl w:ilvl="5" w:tplc="718803C4">
      <w:start w:val="1"/>
      <w:numFmt w:val="lowerRoman"/>
      <w:lvlText w:val="%6."/>
      <w:lvlJc w:val="right"/>
      <w:pPr>
        <w:ind w:left="4320" w:hanging="180"/>
      </w:pPr>
    </w:lvl>
    <w:lvl w:ilvl="6" w:tplc="C8C85634">
      <w:start w:val="1"/>
      <w:numFmt w:val="decimal"/>
      <w:lvlText w:val="%7."/>
      <w:lvlJc w:val="left"/>
      <w:pPr>
        <w:ind w:left="5040" w:hanging="360"/>
      </w:pPr>
    </w:lvl>
    <w:lvl w:ilvl="7" w:tplc="81946A8A">
      <w:start w:val="1"/>
      <w:numFmt w:val="lowerLetter"/>
      <w:lvlText w:val="%8."/>
      <w:lvlJc w:val="left"/>
      <w:pPr>
        <w:ind w:left="5760" w:hanging="360"/>
      </w:pPr>
    </w:lvl>
    <w:lvl w:ilvl="8" w:tplc="A118A83C">
      <w:start w:val="1"/>
      <w:numFmt w:val="lowerRoman"/>
      <w:lvlText w:val="%9."/>
      <w:lvlJc w:val="right"/>
      <w:pPr>
        <w:ind w:left="6480" w:hanging="180"/>
      </w:pPr>
    </w:lvl>
  </w:abstractNum>
  <w:abstractNum w:abstractNumId="27" w15:restartNumberingAfterBreak="0">
    <w:nsid w:val="7B32087C"/>
    <w:multiLevelType w:val="hybridMultilevel"/>
    <w:tmpl w:val="32124E2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B757EBE"/>
    <w:multiLevelType w:val="multilevel"/>
    <w:tmpl w:val="38A6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B6693"/>
    <w:multiLevelType w:val="hybridMultilevel"/>
    <w:tmpl w:val="4462CC74"/>
    <w:lvl w:ilvl="0" w:tplc="26784AB2">
      <w:start w:val="1"/>
      <w:numFmt w:val="bullet"/>
      <w:lvlText w:val=""/>
      <w:lvlJc w:val="left"/>
      <w:pPr>
        <w:ind w:left="720" w:hanging="360"/>
      </w:pPr>
      <w:rPr>
        <w:rFonts w:ascii="Symbol" w:hAnsi="Symbol" w:hint="default"/>
      </w:rPr>
    </w:lvl>
    <w:lvl w:ilvl="1" w:tplc="001459B2">
      <w:start w:val="1"/>
      <w:numFmt w:val="bullet"/>
      <w:lvlText w:val="o"/>
      <w:lvlJc w:val="left"/>
      <w:pPr>
        <w:ind w:left="1440" w:hanging="360"/>
      </w:pPr>
      <w:rPr>
        <w:rFonts w:ascii="Courier New" w:hAnsi="Courier New" w:hint="default"/>
      </w:rPr>
    </w:lvl>
    <w:lvl w:ilvl="2" w:tplc="578AA71C">
      <w:start w:val="1"/>
      <w:numFmt w:val="bullet"/>
      <w:lvlText w:val=""/>
      <w:lvlJc w:val="left"/>
      <w:pPr>
        <w:ind w:left="2160" w:hanging="360"/>
      </w:pPr>
      <w:rPr>
        <w:rFonts w:ascii="Wingdings" w:hAnsi="Wingdings" w:hint="default"/>
      </w:rPr>
    </w:lvl>
    <w:lvl w:ilvl="3" w:tplc="74C8C12A">
      <w:start w:val="1"/>
      <w:numFmt w:val="bullet"/>
      <w:lvlText w:val=""/>
      <w:lvlJc w:val="left"/>
      <w:pPr>
        <w:ind w:left="2880" w:hanging="360"/>
      </w:pPr>
      <w:rPr>
        <w:rFonts w:ascii="Symbol" w:hAnsi="Symbol" w:hint="default"/>
      </w:rPr>
    </w:lvl>
    <w:lvl w:ilvl="4" w:tplc="F3406F70">
      <w:start w:val="1"/>
      <w:numFmt w:val="bullet"/>
      <w:lvlText w:val="o"/>
      <w:lvlJc w:val="left"/>
      <w:pPr>
        <w:ind w:left="3600" w:hanging="360"/>
      </w:pPr>
      <w:rPr>
        <w:rFonts w:ascii="Courier New" w:hAnsi="Courier New" w:hint="default"/>
      </w:rPr>
    </w:lvl>
    <w:lvl w:ilvl="5" w:tplc="8D24191E">
      <w:start w:val="1"/>
      <w:numFmt w:val="bullet"/>
      <w:lvlText w:val=""/>
      <w:lvlJc w:val="left"/>
      <w:pPr>
        <w:ind w:left="4320" w:hanging="360"/>
      </w:pPr>
      <w:rPr>
        <w:rFonts w:ascii="Wingdings" w:hAnsi="Wingdings" w:hint="default"/>
      </w:rPr>
    </w:lvl>
    <w:lvl w:ilvl="6" w:tplc="D778ACC0">
      <w:start w:val="1"/>
      <w:numFmt w:val="bullet"/>
      <w:lvlText w:val=""/>
      <w:lvlJc w:val="left"/>
      <w:pPr>
        <w:ind w:left="5040" w:hanging="360"/>
      </w:pPr>
      <w:rPr>
        <w:rFonts w:ascii="Symbol" w:hAnsi="Symbol" w:hint="default"/>
      </w:rPr>
    </w:lvl>
    <w:lvl w:ilvl="7" w:tplc="CB2AB386">
      <w:start w:val="1"/>
      <w:numFmt w:val="bullet"/>
      <w:lvlText w:val="o"/>
      <w:lvlJc w:val="left"/>
      <w:pPr>
        <w:ind w:left="5760" w:hanging="360"/>
      </w:pPr>
      <w:rPr>
        <w:rFonts w:ascii="Courier New" w:hAnsi="Courier New" w:hint="default"/>
      </w:rPr>
    </w:lvl>
    <w:lvl w:ilvl="8" w:tplc="9F1CA61E">
      <w:start w:val="1"/>
      <w:numFmt w:val="bullet"/>
      <w:lvlText w:val=""/>
      <w:lvlJc w:val="left"/>
      <w:pPr>
        <w:ind w:left="6480" w:hanging="360"/>
      </w:pPr>
      <w:rPr>
        <w:rFonts w:ascii="Wingdings" w:hAnsi="Wingdings" w:hint="default"/>
      </w:rPr>
    </w:lvl>
  </w:abstractNum>
  <w:abstractNum w:abstractNumId="30" w15:restartNumberingAfterBreak="0">
    <w:nsid w:val="7E210545"/>
    <w:multiLevelType w:val="multilevel"/>
    <w:tmpl w:val="ADDC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1162084755">
    <w:abstractNumId w:val="29"/>
  </w:num>
  <w:num w:numId="3" w16cid:durableId="59907940">
    <w:abstractNumId w:val="23"/>
  </w:num>
  <w:num w:numId="4" w16cid:durableId="4092703">
    <w:abstractNumId w:val="18"/>
  </w:num>
  <w:num w:numId="5" w16cid:durableId="583103336">
    <w:abstractNumId w:val="5"/>
  </w:num>
  <w:num w:numId="6" w16cid:durableId="1529562094">
    <w:abstractNumId w:val="14"/>
  </w:num>
  <w:num w:numId="7" w16cid:durableId="1085036382">
    <w:abstractNumId w:val="13"/>
  </w:num>
  <w:num w:numId="8" w16cid:durableId="1444616466">
    <w:abstractNumId w:val="22"/>
  </w:num>
  <w:num w:numId="9" w16cid:durableId="1779644518">
    <w:abstractNumId w:val="1"/>
  </w:num>
  <w:num w:numId="10" w16cid:durableId="1764061841">
    <w:abstractNumId w:val="19"/>
  </w:num>
  <w:num w:numId="11" w16cid:durableId="720978213">
    <w:abstractNumId w:val="2"/>
  </w:num>
  <w:num w:numId="12" w16cid:durableId="1166742941">
    <w:abstractNumId w:val="30"/>
  </w:num>
  <w:num w:numId="13" w16cid:durableId="1840849833">
    <w:abstractNumId w:val="20"/>
  </w:num>
  <w:num w:numId="14" w16cid:durableId="1992588777">
    <w:abstractNumId w:val="12"/>
  </w:num>
  <w:num w:numId="15" w16cid:durableId="1464040653">
    <w:abstractNumId w:val="28"/>
  </w:num>
  <w:num w:numId="16" w16cid:durableId="2033992934">
    <w:abstractNumId w:val="7"/>
  </w:num>
  <w:num w:numId="17" w16cid:durableId="126825532">
    <w:abstractNumId w:val="24"/>
  </w:num>
  <w:num w:numId="18" w16cid:durableId="2144736000">
    <w:abstractNumId w:val="17"/>
  </w:num>
  <w:num w:numId="19" w16cid:durableId="715010942">
    <w:abstractNumId w:val="10"/>
  </w:num>
  <w:num w:numId="20" w16cid:durableId="193660836">
    <w:abstractNumId w:val="8"/>
  </w:num>
  <w:num w:numId="21" w16cid:durableId="985815589">
    <w:abstractNumId w:val="4"/>
  </w:num>
  <w:num w:numId="22" w16cid:durableId="59525662">
    <w:abstractNumId w:val="16"/>
  </w:num>
  <w:num w:numId="23" w16cid:durableId="2117942716">
    <w:abstractNumId w:val="6"/>
  </w:num>
  <w:num w:numId="24" w16cid:durableId="2090421169">
    <w:abstractNumId w:val="3"/>
  </w:num>
  <w:num w:numId="25" w16cid:durableId="858079698">
    <w:abstractNumId w:val="26"/>
  </w:num>
  <w:num w:numId="26" w16cid:durableId="291449734">
    <w:abstractNumId w:val="25"/>
  </w:num>
  <w:num w:numId="27" w16cid:durableId="775946515">
    <w:abstractNumId w:val="15"/>
  </w:num>
  <w:num w:numId="28" w16cid:durableId="792096806">
    <w:abstractNumId w:val="21"/>
  </w:num>
  <w:num w:numId="29" w16cid:durableId="596014704">
    <w:abstractNumId w:val="27"/>
  </w:num>
  <w:num w:numId="30" w16cid:durableId="1707368628">
    <w:abstractNumId w:val="9"/>
  </w:num>
  <w:num w:numId="31" w16cid:durableId="2004773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F91"/>
    <w:rsid w:val="00003B32"/>
    <w:rsid w:val="00003FEC"/>
    <w:rsid w:val="00006E18"/>
    <w:rsid w:val="000077E2"/>
    <w:rsid w:val="00007AA1"/>
    <w:rsid w:val="00012168"/>
    <w:rsid w:val="000141A4"/>
    <w:rsid w:val="0001421B"/>
    <w:rsid w:val="000152DD"/>
    <w:rsid w:val="00015FF3"/>
    <w:rsid w:val="000210D4"/>
    <w:rsid w:val="000318A0"/>
    <w:rsid w:val="00040401"/>
    <w:rsid w:val="000414CE"/>
    <w:rsid w:val="00041626"/>
    <w:rsid w:val="000434CB"/>
    <w:rsid w:val="00043FC2"/>
    <w:rsid w:val="000452B2"/>
    <w:rsid w:val="00046F67"/>
    <w:rsid w:val="00052390"/>
    <w:rsid w:val="00052F5C"/>
    <w:rsid w:val="000542E4"/>
    <w:rsid w:val="0005583E"/>
    <w:rsid w:val="000600A6"/>
    <w:rsid w:val="00061691"/>
    <w:rsid w:val="00063016"/>
    <w:rsid w:val="00066795"/>
    <w:rsid w:val="00066957"/>
    <w:rsid w:val="000722AC"/>
    <w:rsid w:val="000728AB"/>
    <w:rsid w:val="00072CE5"/>
    <w:rsid w:val="00074DCB"/>
    <w:rsid w:val="00076AF6"/>
    <w:rsid w:val="00077107"/>
    <w:rsid w:val="00085CF2"/>
    <w:rsid w:val="0008685F"/>
    <w:rsid w:val="00092592"/>
    <w:rsid w:val="00097CD5"/>
    <w:rsid w:val="000A6051"/>
    <w:rsid w:val="000A6AF4"/>
    <w:rsid w:val="000A7A01"/>
    <w:rsid w:val="000B1705"/>
    <w:rsid w:val="000B6DF7"/>
    <w:rsid w:val="000B776A"/>
    <w:rsid w:val="000C1185"/>
    <w:rsid w:val="000C1A54"/>
    <w:rsid w:val="000C1F41"/>
    <w:rsid w:val="000C4D69"/>
    <w:rsid w:val="000C51EE"/>
    <w:rsid w:val="000C5BDB"/>
    <w:rsid w:val="000D597F"/>
    <w:rsid w:val="000D619F"/>
    <w:rsid w:val="000D66CB"/>
    <w:rsid w:val="000D75B2"/>
    <w:rsid w:val="000D7796"/>
    <w:rsid w:val="000E00F8"/>
    <w:rsid w:val="000E043B"/>
    <w:rsid w:val="000E1724"/>
    <w:rsid w:val="000E3399"/>
    <w:rsid w:val="000E6D31"/>
    <w:rsid w:val="000E797C"/>
    <w:rsid w:val="000F2CCC"/>
    <w:rsid w:val="000F4F6B"/>
    <w:rsid w:val="000F65FA"/>
    <w:rsid w:val="000F6A15"/>
    <w:rsid w:val="001000DF"/>
    <w:rsid w:val="00101FDA"/>
    <w:rsid w:val="00104A76"/>
    <w:rsid w:val="00111402"/>
    <w:rsid w:val="001119C3"/>
    <w:rsid w:val="001121F5"/>
    <w:rsid w:val="00124B0B"/>
    <w:rsid w:val="001254E2"/>
    <w:rsid w:val="00127BD6"/>
    <w:rsid w:val="00130538"/>
    <w:rsid w:val="00130599"/>
    <w:rsid w:val="00131315"/>
    <w:rsid w:val="00131878"/>
    <w:rsid w:val="001323AD"/>
    <w:rsid w:val="00132CE8"/>
    <w:rsid w:val="001341B4"/>
    <w:rsid w:val="00135A17"/>
    <w:rsid w:val="001400DC"/>
    <w:rsid w:val="00140CE1"/>
    <w:rsid w:val="00141B4B"/>
    <w:rsid w:val="00142F9C"/>
    <w:rsid w:val="00161924"/>
    <w:rsid w:val="00162DDF"/>
    <w:rsid w:val="00171036"/>
    <w:rsid w:val="00173EB7"/>
    <w:rsid w:val="00175005"/>
    <w:rsid w:val="001751FF"/>
    <w:rsid w:val="0017539C"/>
    <w:rsid w:val="00175AC2"/>
    <w:rsid w:val="0017609F"/>
    <w:rsid w:val="00176EAA"/>
    <w:rsid w:val="00177354"/>
    <w:rsid w:val="0018503C"/>
    <w:rsid w:val="00191A59"/>
    <w:rsid w:val="00192541"/>
    <w:rsid w:val="0019628A"/>
    <w:rsid w:val="0019775C"/>
    <w:rsid w:val="001A0DA6"/>
    <w:rsid w:val="001A1951"/>
    <w:rsid w:val="001A3B3D"/>
    <w:rsid w:val="001A75BC"/>
    <w:rsid w:val="001A7D1D"/>
    <w:rsid w:val="001B2D32"/>
    <w:rsid w:val="001B51DD"/>
    <w:rsid w:val="001C0B7B"/>
    <w:rsid w:val="001C14A9"/>
    <w:rsid w:val="001C1BA4"/>
    <w:rsid w:val="001C5038"/>
    <w:rsid w:val="001C628E"/>
    <w:rsid w:val="001C7143"/>
    <w:rsid w:val="001C79B2"/>
    <w:rsid w:val="001D098F"/>
    <w:rsid w:val="001D2C73"/>
    <w:rsid w:val="001D6276"/>
    <w:rsid w:val="001E0A1B"/>
    <w:rsid w:val="001E0F7B"/>
    <w:rsid w:val="001E0FBE"/>
    <w:rsid w:val="001E3583"/>
    <w:rsid w:val="001E6578"/>
    <w:rsid w:val="001F2A8D"/>
    <w:rsid w:val="002042E6"/>
    <w:rsid w:val="002064FB"/>
    <w:rsid w:val="0021026C"/>
    <w:rsid w:val="002107C7"/>
    <w:rsid w:val="00211703"/>
    <w:rsid w:val="002119FD"/>
    <w:rsid w:val="00211B24"/>
    <w:rsid w:val="00212D43"/>
    <w:rsid w:val="002130E0"/>
    <w:rsid w:val="00215A2C"/>
    <w:rsid w:val="00216236"/>
    <w:rsid w:val="002173FF"/>
    <w:rsid w:val="0021788C"/>
    <w:rsid w:val="00220E42"/>
    <w:rsid w:val="002263C4"/>
    <w:rsid w:val="00230BFE"/>
    <w:rsid w:val="00231E24"/>
    <w:rsid w:val="00236E7E"/>
    <w:rsid w:val="00237596"/>
    <w:rsid w:val="002404ED"/>
    <w:rsid w:val="00241964"/>
    <w:rsid w:val="00241EAE"/>
    <w:rsid w:val="00244F7F"/>
    <w:rsid w:val="00255F18"/>
    <w:rsid w:val="00256F27"/>
    <w:rsid w:val="00257657"/>
    <w:rsid w:val="00260ACE"/>
    <w:rsid w:val="00261449"/>
    <w:rsid w:val="002617FA"/>
    <w:rsid w:val="00262F67"/>
    <w:rsid w:val="00264425"/>
    <w:rsid w:val="00265875"/>
    <w:rsid w:val="0026717E"/>
    <w:rsid w:val="00270AEA"/>
    <w:rsid w:val="0027303B"/>
    <w:rsid w:val="00276DAB"/>
    <w:rsid w:val="00280A08"/>
    <w:rsid w:val="0028109B"/>
    <w:rsid w:val="00283276"/>
    <w:rsid w:val="002842F0"/>
    <w:rsid w:val="0028460E"/>
    <w:rsid w:val="00285579"/>
    <w:rsid w:val="00286F49"/>
    <w:rsid w:val="002A07D5"/>
    <w:rsid w:val="002A1299"/>
    <w:rsid w:val="002A1488"/>
    <w:rsid w:val="002A1E05"/>
    <w:rsid w:val="002A2188"/>
    <w:rsid w:val="002A2AD0"/>
    <w:rsid w:val="002A3E6F"/>
    <w:rsid w:val="002A4823"/>
    <w:rsid w:val="002A611E"/>
    <w:rsid w:val="002A754C"/>
    <w:rsid w:val="002B01C3"/>
    <w:rsid w:val="002B1F58"/>
    <w:rsid w:val="002B2B95"/>
    <w:rsid w:val="002B35DF"/>
    <w:rsid w:val="002C1C7A"/>
    <w:rsid w:val="002C3C86"/>
    <w:rsid w:val="002C4A8E"/>
    <w:rsid w:val="002C54E2"/>
    <w:rsid w:val="002D16B7"/>
    <w:rsid w:val="002D3E15"/>
    <w:rsid w:val="002F07FB"/>
    <w:rsid w:val="002F3BCE"/>
    <w:rsid w:val="002F3C11"/>
    <w:rsid w:val="002F7164"/>
    <w:rsid w:val="003001E8"/>
    <w:rsid w:val="0030160F"/>
    <w:rsid w:val="00305B4B"/>
    <w:rsid w:val="00305CAB"/>
    <w:rsid w:val="003106FD"/>
    <w:rsid w:val="00311D97"/>
    <w:rsid w:val="0031389B"/>
    <w:rsid w:val="00317A31"/>
    <w:rsid w:val="00320223"/>
    <w:rsid w:val="00322D0D"/>
    <w:rsid w:val="0032335F"/>
    <w:rsid w:val="00326840"/>
    <w:rsid w:val="00326AC6"/>
    <w:rsid w:val="003366DA"/>
    <w:rsid w:val="00337AC2"/>
    <w:rsid w:val="0034567F"/>
    <w:rsid w:val="00346D89"/>
    <w:rsid w:val="0035344E"/>
    <w:rsid w:val="00353F35"/>
    <w:rsid w:val="003549B7"/>
    <w:rsid w:val="00361223"/>
    <w:rsid w:val="00361465"/>
    <w:rsid w:val="00361F2C"/>
    <w:rsid w:val="003744DD"/>
    <w:rsid w:val="0038201F"/>
    <w:rsid w:val="00385BDC"/>
    <w:rsid w:val="00386720"/>
    <w:rsid w:val="0038694F"/>
    <w:rsid w:val="003877F5"/>
    <w:rsid w:val="003927B3"/>
    <w:rsid w:val="003942D4"/>
    <w:rsid w:val="0039451B"/>
    <w:rsid w:val="003947C2"/>
    <w:rsid w:val="00395174"/>
    <w:rsid w:val="00395609"/>
    <w:rsid w:val="003958A8"/>
    <w:rsid w:val="003A54DF"/>
    <w:rsid w:val="003A5C24"/>
    <w:rsid w:val="003B4C15"/>
    <w:rsid w:val="003B6F39"/>
    <w:rsid w:val="003C2533"/>
    <w:rsid w:val="003C418A"/>
    <w:rsid w:val="003C7778"/>
    <w:rsid w:val="003D2351"/>
    <w:rsid w:val="003D55B9"/>
    <w:rsid w:val="003D5A7F"/>
    <w:rsid w:val="003E5A31"/>
    <w:rsid w:val="003F03E4"/>
    <w:rsid w:val="003F232B"/>
    <w:rsid w:val="003F5815"/>
    <w:rsid w:val="003F6208"/>
    <w:rsid w:val="003F727A"/>
    <w:rsid w:val="003F7C64"/>
    <w:rsid w:val="004012CB"/>
    <w:rsid w:val="004016E2"/>
    <w:rsid w:val="004023A5"/>
    <w:rsid w:val="0040435A"/>
    <w:rsid w:val="004060B8"/>
    <w:rsid w:val="00412815"/>
    <w:rsid w:val="00414D95"/>
    <w:rsid w:val="00416A24"/>
    <w:rsid w:val="00424C5F"/>
    <w:rsid w:val="004314ED"/>
    <w:rsid w:val="00431D9E"/>
    <w:rsid w:val="0043291E"/>
    <w:rsid w:val="00433CE8"/>
    <w:rsid w:val="004341EA"/>
    <w:rsid w:val="00434A5C"/>
    <w:rsid w:val="00435EA4"/>
    <w:rsid w:val="0044341C"/>
    <w:rsid w:val="00443ED8"/>
    <w:rsid w:val="004450EA"/>
    <w:rsid w:val="00446A5E"/>
    <w:rsid w:val="004521A7"/>
    <w:rsid w:val="004544D9"/>
    <w:rsid w:val="00457F35"/>
    <w:rsid w:val="004612F0"/>
    <w:rsid w:val="00461ED5"/>
    <w:rsid w:val="00463D82"/>
    <w:rsid w:val="0046559B"/>
    <w:rsid w:val="00472BAD"/>
    <w:rsid w:val="00473EE4"/>
    <w:rsid w:val="004749E7"/>
    <w:rsid w:val="00474EDB"/>
    <w:rsid w:val="00484009"/>
    <w:rsid w:val="00490A19"/>
    <w:rsid w:val="00490E72"/>
    <w:rsid w:val="00491157"/>
    <w:rsid w:val="004921C8"/>
    <w:rsid w:val="004925EF"/>
    <w:rsid w:val="00492C6F"/>
    <w:rsid w:val="004931E0"/>
    <w:rsid w:val="00495B0B"/>
    <w:rsid w:val="004A1722"/>
    <w:rsid w:val="004A1B8B"/>
    <w:rsid w:val="004A2BC1"/>
    <w:rsid w:val="004A35C3"/>
    <w:rsid w:val="004A5AA3"/>
    <w:rsid w:val="004B6FCC"/>
    <w:rsid w:val="004C22B7"/>
    <w:rsid w:val="004C338F"/>
    <w:rsid w:val="004C377E"/>
    <w:rsid w:val="004C44AC"/>
    <w:rsid w:val="004C6793"/>
    <w:rsid w:val="004D0868"/>
    <w:rsid w:val="004D13C4"/>
    <w:rsid w:val="004D1851"/>
    <w:rsid w:val="004D18DD"/>
    <w:rsid w:val="004D3B7F"/>
    <w:rsid w:val="004D599D"/>
    <w:rsid w:val="004E2037"/>
    <w:rsid w:val="004E2EA5"/>
    <w:rsid w:val="004E3AEB"/>
    <w:rsid w:val="004F0D1F"/>
    <w:rsid w:val="004F2958"/>
    <w:rsid w:val="004F40E1"/>
    <w:rsid w:val="00500D0F"/>
    <w:rsid w:val="0050223C"/>
    <w:rsid w:val="00513841"/>
    <w:rsid w:val="0051589C"/>
    <w:rsid w:val="005164BF"/>
    <w:rsid w:val="00517755"/>
    <w:rsid w:val="005203E5"/>
    <w:rsid w:val="005237F2"/>
    <w:rsid w:val="005243FF"/>
    <w:rsid w:val="005247BF"/>
    <w:rsid w:val="005247EB"/>
    <w:rsid w:val="00527732"/>
    <w:rsid w:val="00532762"/>
    <w:rsid w:val="00535056"/>
    <w:rsid w:val="00540ED2"/>
    <w:rsid w:val="00541A2A"/>
    <w:rsid w:val="00551165"/>
    <w:rsid w:val="00551AEF"/>
    <w:rsid w:val="00553523"/>
    <w:rsid w:val="00554A6D"/>
    <w:rsid w:val="00554E63"/>
    <w:rsid w:val="00561922"/>
    <w:rsid w:val="00562EE0"/>
    <w:rsid w:val="00563B07"/>
    <w:rsid w:val="00564FBC"/>
    <w:rsid w:val="0056563B"/>
    <w:rsid w:val="00566CFB"/>
    <w:rsid w:val="00572C22"/>
    <w:rsid w:val="005732AE"/>
    <w:rsid w:val="0057709A"/>
    <w:rsid w:val="005800BC"/>
    <w:rsid w:val="005800E4"/>
    <w:rsid w:val="00580FDF"/>
    <w:rsid w:val="00581A70"/>
    <w:rsid w:val="00582442"/>
    <w:rsid w:val="0058448F"/>
    <w:rsid w:val="00585887"/>
    <w:rsid w:val="00591FD3"/>
    <w:rsid w:val="00593DDF"/>
    <w:rsid w:val="00594DB7"/>
    <w:rsid w:val="0059500B"/>
    <w:rsid w:val="005970CA"/>
    <w:rsid w:val="005A1429"/>
    <w:rsid w:val="005A335D"/>
    <w:rsid w:val="005A3DAB"/>
    <w:rsid w:val="005A7DCC"/>
    <w:rsid w:val="005B2B15"/>
    <w:rsid w:val="005B39AB"/>
    <w:rsid w:val="005B3BA0"/>
    <w:rsid w:val="005B79E0"/>
    <w:rsid w:val="005C154A"/>
    <w:rsid w:val="005C1C80"/>
    <w:rsid w:val="005C30A2"/>
    <w:rsid w:val="005C4F61"/>
    <w:rsid w:val="005D0C33"/>
    <w:rsid w:val="005D5C72"/>
    <w:rsid w:val="005D66BE"/>
    <w:rsid w:val="005D7C91"/>
    <w:rsid w:val="005E1A7D"/>
    <w:rsid w:val="005E2709"/>
    <w:rsid w:val="005E289B"/>
    <w:rsid w:val="005E2BD5"/>
    <w:rsid w:val="005E3A53"/>
    <w:rsid w:val="005E51B2"/>
    <w:rsid w:val="005E6979"/>
    <w:rsid w:val="005F0156"/>
    <w:rsid w:val="005F1069"/>
    <w:rsid w:val="005F3269"/>
    <w:rsid w:val="005F6896"/>
    <w:rsid w:val="006059BA"/>
    <w:rsid w:val="00606735"/>
    <w:rsid w:val="00607678"/>
    <w:rsid w:val="0061009B"/>
    <w:rsid w:val="0061346D"/>
    <w:rsid w:val="0061413F"/>
    <w:rsid w:val="00614858"/>
    <w:rsid w:val="00621E01"/>
    <w:rsid w:val="00622BF0"/>
    <w:rsid w:val="00623AE3"/>
    <w:rsid w:val="00624406"/>
    <w:rsid w:val="00627304"/>
    <w:rsid w:val="006311E1"/>
    <w:rsid w:val="00634AAF"/>
    <w:rsid w:val="0064152E"/>
    <w:rsid w:val="00642EFC"/>
    <w:rsid w:val="0064319A"/>
    <w:rsid w:val="006437CE"/>
    <w:rsid w:val="006462E5"/>
    <w:rsid w:val="0064737F"/>
    <w:rsid w:val="00650937"/>
    <w:rsid w:val="006535F1"/>
    <w:rsid w:val="0065557D"/>
    <w:rsid w:val="00656E25"/>
    <w:rsid w:val="00660D50"/>
    <w:rsid w:val="00662984"/>
    <w:rsid w:val="00666E29"/>
    <w:rsid w:val="00667AD0"/>
    <w:rsid w:val="006716BB"/>
    <w:rsid w:val="00673E9E"/>
    <w:rsid w:val="00675232"/>
    <w:rsid w:val="0067676D"/>
    <w:rsid w:val="00676C7D"/>
    <w:rsid w:val="006770E2"/>
    <w:rsid w:val="00680344"/>
    <w:rsid w:val="0068090A"/>
    <w:rsid w:val="00680E67"/>
    <w:rsid w:val="006839D5"/>
    <w:rsid w:val="006902A4"/>
    <w:rsid w:val="00693755"/>
    <w:rsid w:val="006A6226"/>
    <w:rsid w:val="006B14AE"/>
    <w:rsid w:val="006B1859"/>
    <w:rsid w:val="006B2C0F"/>
    <w:rsid w:val="006B4C0B"/>
    <w:rsid w:val="006B6680"/>
    <w:rsid w:val="006B6DCC"/>
    <w:rsid w:val="006C08C7"/>
    <w:rsid w:val="006D099A"/>
    <w:rsid w:val="006D1536"/>
    <w:rsid w:val="006D2B47"/>
    <w:rsid w:val="006D3211"/>
    <w:rsid w:val="006D478A"/>
    <w:rsid w:val="006D591C"/>
    <w:rsid w:val="006D70E0"/>
    <w:rsid w:val="006E4A92"/>
    <w:rsid w:val="006E5E05"/>
    <w:rsid w:val="006F08CA"/>
    <w:rsid w:val="006F1860"/>
    <w:rsid w:val="006F5266"/>
    <w:rsid w:val="006F63A2"/>
    <w:rsid w:val="00702DEF"/>
    <w:rsid w:val="00704330"/>
    <w:rsid w:val="00704B0C"/>
    <w:rsid w:val="00705797"/>
    <w:rsid w:val="00706861"/>
    <w:rsid w:val="00711635"/>
    <w:rsid w:val="007139BF"/>
    <w:rsid w:val="007147EE"/>
    <w:rsid w:val="00716435"/>
    <w:rsid w:val="00724404"/>
    <w:rsid w:val="007247F6"/>
    <w:rsid w:val="00725724"/>
    <w:rsid w:val="007272F3"/>
    <w:rsid w:val="0073148A"/>
    <w:rsid w:val="0073352A"/>
    <w:rsid w:val="0073715F"/>
    <w:rsid w:val="007403F1"/>
    <w:rsid w:val="00741445"/>
    <w:rsid w:val="00743A59"/>
    <w:rsid w:val="00744338"/>
    <w:rsid w:val="0075051B"/>
    <w:rsid w:val="00755510"/>
    <w:rsid w:val="00756684"/>
    <w:rsid w:val="0076033A"/>
    <w:rsid w:val="007635A7"/>
    <w:rsid w:val="00764D23"/>
    <w:rsid w:val="007651D2"/>
    <w:rsid w:val="00771463"/>
    <w:rsid w:val="007729E2"/>
    <w:rsid w:val="00772C11"/>
    <w:rsid w:val="00773C4B"/>
    <w:rsid w:val="00775655"/>
    <w:rsid w:val="00775CF4"/>
    <w:rsid w:val="00776346"/>
    <w:rsid w:val="00777B2D"/>
    <w:rsid w:val="00791A9C"/>
    <w:rsid w:val="00791DD6"/>
    <w:rsid w:val="00793188"/>
    <w:rsid w:val="0079460D"/>
    <w:rsid w:val="00794D34"/>
    <w:rsid w:val="007B283D"/>
    <w:rsid w:val="007C5DAC"/>
    <w:rsid w:val="007D2E14"/>
    <w:rsid w:val="007E00DB"/>
    <w:rsid w:val="007E31C6"/>
    <w:rsid w:val="007E3FC2"/>
    <w:rsid w:val="007E4C4C"/>
    <w:rsid w:val="007E64CE"/>
    <w:rsid w:val="007F1E75"/>
    <w:rsid w:val="007F3B49"/>
    <w:rsid w:val="007F4BFE"/>
    <w:rsid w:val="007F4FD2"/>
    <w:rsid w:val="00800E45"/>
    <w:rsid w:val="00801DF7"/>
    <w:rsid w:val="0080232C"/>
    <w:rsid w:val="008027E1"/>
    <w:rsid w:val="00812D6C"/>
    <w:rsid w:val="00813E5E"/>
    <w:rsid w:val="00817B01"/>
    <w:rsid w:val="00824EEC"/>
    <w:rsid w:val="00825FB7"/>
    <w:rsid w:val="00826743"/>
    <w:rsid w:val="00830F21"/>
    <w:rsid w:val="0083437B"/>
    <w:rsid w:val="0083581B"/>
    <w:rsid w:val="00843004"/>
    <w:rsid w:val="008454EA"/>
    <w:rsid w:val="008473C4"/>
    <w:rsid w:val="00852B3D"/>
    <w:rsid w:val="00854F5A"/>
    <w:rsid w:val="00856291"/>
    <w:rsid w:val="008566B1"/>
    <w:rsid w:val="00862FD1"/>
    <w:rsid w:val="00863874"/>
    <w:rsid w:val="00864AFF"/>
    <w:rsid w:val="0086531C"/>
    <w:rsid w:val="008653ED"/>
    <w:rsid w:val="00865925"/>
    <w:rsid w:val="008662C2"/>
    <w:rsid w:val="0086659A"/>
    <w:rsid w:val="00871952"/>
    <w:rsid w:val="0087518D"/>
    <w:rsid w:val="00883254"/>
    <w:rsid w:val="00887A33"/>
    <w:rsid w:val="00891503"/>
    <w:rsid w:val="00892245"/>
    <w:rsid w:val="00896486"/>
    <w:rsid w:val="00896499"/>
    <w:rsid w:val="008A1373"/>
    <w:rsid w:val="008A23FF"/>
    <w:rsid w:val="008A28D4"/>
    <w:rsid w:val="008A29DC"/>
    <w:rsid w:val="008A2DFB"/>
    <w:rsid w:val="008A4F8C"/>
    <w:rsid w:val="008A64A6"/>
    <w:rsid w:val="008B4A6A"/>
    <w:rsid w:val="008B5DEC"/>
    <w:rsid w:val="008B7536"/>
    <w:rsid w:val="008B7B2F"/>
    <w:rsid w:val="008C0FCF"/>
    <w:rsid w:val="008C2373"/>
    <w:rsid w:val="008C42F6"/>
    <w:rsid w:val="008C5F82"/>
    <w:rsid w:val="008C7E27"/>
    <w:rsid w:val="008D1C94"/>
    <w:rsid w:val="008D2A2F"/>
    <w:rsid w:val="008D3478"/>
    <w:rsid w:val="008D4274"/>
    <w:rsid w:val="008E0F15"/>
    <w:rsid w:val="008E113D"/>
    <w:rsid w:val="008E27DE"/>
    <w:rsid w:val="008E298F"/>
    <w:rsid w:val="008F266C"/>
    <w:rsid w:val="008F393E"/>
    <w:rsid w:val="008F5730"/>
    <w:rsid w:val="008F7184"/>
    <w:rsid w:val="008F7448"/>
    <w:rsid w:val="0090147A"/>
    <w:rsid w:val="00902829"/>
    <w:rsid w:val="0091452D"/>
    <w:rsid w:val="00914CE4"/>
    <w:rsid w:val="009173EF"/>
    <w:rsid w:val="00917ED8"/>
    <w:rsid w:val="00921B4D"/>
    <w:rsid w:val="00922371"/>
    <w:rsid w:val="009227A0"/>
    <w:rsid w:val="00926753"/>
    <w:rsid w:val="00932906"/>
    <w:rsid w:val="00933390"/>
    <w:rsid w:val="00935FEE"/>
    <w:rsid w:val="00940C60"/>
    <w:rsid w:val="009440D1"/>
    <w:rsid w:val="00950429"/>
    <w:rsid w:val="00951241"/>
    <w:rsid w:val="009522BC"/>
    <w:rsid w:val="00952C43"/>
    <w:rsid w:val="009543E3"/>
    <w:rsid w:val="00961B0B"/>
    <w:rsid w:val="00962439"/>
    <w:rsid w:val="00962D33"/>
    <w:rsid w:val="00962D70"/>
    <w:rsid w:val="00965455"/>
    <w:rsid w:val="00967A4D"/>
    <w:rsid w:val="00967FAB"/>
    <w:rsid w:val="00971C28"/>
    <w:rsid w:val="00975122"/>
    <w:rsid w:val="009822AF"/>
    <w:rsid w:val="00982F37"/>
    <w:rsid w:val="009836E8"/>
    <w:rsid w:val="009844EA"/>
    <w:rsid w:val="00985ADB"/>
    <w:rsid w:val="00993483"/>
    <w:rsid w:val="009A0E35"/>
    <w:rsid w:val="009A1E9F"/>
    <w:rsid w:val="009B0581"/>
    <w:rsid w:val="009B2D4B"/>
    <w:rsid w:val="009B2F5A"/>
    <w:rsid w:val="009B38C3"/>
    <w:rsid w:val="009B4CD5"/>
    <w:rsid w:val="009B736F"/>
    <w:rsid w:val="009B7B74"/>
    <w:rsid w:val="009C253A"/>
    <w:rsid w:val="009C4C51"/>
    <w:rsid w:val="009D01CC"/>
    <w:rsid w:val="009D0CE2"/>
    <w:rsid w:val="009D1EFD"/>
    <w:rsid w:val="009D250A"/>
    <w:rsid w:val="009D55B2"/>
    <w:rsid w:val="009D5750"/>
    <w:rsid w:val="009E17BD"/>
    <w:rsid w:val="009E1CDB"/>
    <w:rsid w:val="009E36D7"/>
    <w:rsid w:val="009E485A"/>
    <w:rsid w:val="009F0AE1"/>
    <w:rsid w:val="009F10ED"/>
    <w:rsid w:val="009F13F4"/>
    <w:rsid w:val="009F347C"/>
    <w:rsid w:val="009F63DA"/>
    <w:rsid w:val="009F7394"/>
    <w:rsid w:val="00A0129C"/>
    <w:rsid w:val="00A02B98"/>
    <w:rsid w:val="00A04CEC"/>
    <w:rsid w:val="00A14E9B"/>
    <w:rsid w:val="00A239E3"/>
    <w:rsid w:val="00A27F92"/>
    <w:rsid w:val="00A32257"/>
    <w:rsid w:val="00A338EE"/>
    <w:rsid w:val="00A33A2A"/>
    <w:rsid w:val="00A34373"/>
    <w:rsid w:val="00A34664"/>
    <w:rsid w:val="00A36D20"/>
    <w:rsid w:val="00A37E58"/>
    <w:rsid w:val="00A464B4"/>
    <w:rsid w:val="00A46A94"/>
    <w:rsid w:val="00A47616"/>
    <w:rsid w:val="00A514A4"/>
    <w:rsid w:val="00A5199E"/>
    <w:rsid w:val="00A52C84"/>
    <w:rsid w:val="00A55622"/>
    <w:rsid w:val="00A55EB7"/>
    <w:rsid w:val="00A566EB"/>
    <w:rsid w:val="00A61E55"/>
    <w:rsid w:val="00A62908"/>
    <w:rsid w:val="00A642C5"/>
    <w:rsid w:val="00A64B46"/>
    <w:rsid w:val="00A64F0B"/>
    <w:rsid w:val="00A675D2"/>
    <w:rsid w:val="00A70557"/>
    <w:rsid w:val="00A76FB8"/>
    <w:rsid w:val="00A80C10"/>
    <w:rsid w:val="00A83502"/>
    <w:rsid w:val="00A847C8"/>
    <w:rsid w:val="00A85DC9"/>
    <w:rsid w:val="00A866D7"/>
    <w:rsid w:val="00A867DF"/>
    <w:rsid w:val="00A86903"/>
    <w:rsid w:val="00A87809"/>
    <w:rsid w:val="00A91EDA"/>
    <w:rsid w:val="00A94376"/>
    <w:rsid w:val="00AA1306"/>
    <w:rsid w:val="00AA1F8A"/>
    <w:rsid w:val="00AA3876"/>
    <w:rsid w:val="00AA403C"/>
    <w:rsid w:val="00AB166D"/>
    <w:rsid w:val="00AB450F"/>
    <w:rsid w:val="00AB62D6"/>
    <w:rsid w:val="00AC29DB"/>
    <w:rsid w:val="00AC6543"/>
    <w:rsid w:val="00AC7D94"/>
    <w:rsid w:val="00AD13E6"/>
    <w:rsid w:val="00AD15B3"/>
    <w:rsid w:val="00AD3606"/>
    <w:rsid w:val="00AD4A3D"/>
    <w:rsid w:val="00AD6C97"/>
    <w:rsid w:val="00AE172E"/>
    <w:rsid w:val="00AE20BB"/>
    <w:rsid w:val="00AE439A"/>
    <w:rsid w:val="00AE550F"/>
    <w:rsid w:val="00AE6489"/>
    <w:rsid w:val="00AE6F2A"/>
    <w:rsid w:val="00AE7979"/>
    <w:rsid w:val="00AF375D"/>
    <w:rsid w:val="00AF5235"/>
    <w:rsid w:val="00AF6973"/>
    <w:rsid w:val="00AF6E49"/>
    <w:rsid w:val="00AF72BD"/>
    <w:rsid w:val="00B0007E"/>
    <w:rsid w:val="00B003D4"/>
    <w:rsid w:val="00B0213C"/>
    <w:rsid w:val="00B04510"/>
    <w:rsid w:val="00B04A67"/>
    <w:rsid w:val="00B0583C"/>
    <w:rsid w:val="00B05A34"/>
    <w:rsid w:val="00B105A1"/>
    <w:rsid w:val="00B16786"/>
    <w:rsid w:val="00B16DA4"/>
    <w:rsid w:val="00B20ACA"/>
    <w:rsid w:val="00B33A09"/>
    <w:rsid w:val="00B33D29"/>
    <w:rsid w:val="00B358B2"/>
    <w:rsid w:val="00B36FB3"/>
    <w:rsid w:val="00B40A81"/>
    <w:rsid w:val="00B41BD0"/>
    <w:rsid w:val="00B4338C"/>
    <w:rsid w:val="00B43B1A"/>
    <w:rsid w:val="00B44910"/>
    <w:rsid w:val="00B52108"/>
    <w:rsid w:val="00B55303"/>
    <w:rsid w:val="00B60E4A"/>
    <w:rsid w:val="00B63BB9"/>
    <w:rsid w:val="00B63FB5"/>
    <w:rsid w:val="00B65C67"/>
    <w:rsid w:val="00B67641"/>
    <w:rsid w:val="00B70DFF"/>
    <w:rsid w:val="00B70E59"/>
    <w:rsid w:val="00B71E04"/>
    <w:rsid w:val="00B72267"/>
    <w:rsid w:val="00B768AB"/>
    <w:rsid w:val="00B76C13"/>
    <w:rsid w:val="00B76EB6"/>
    <w:rsid w:val="00B7737B"/>
    <w:rsid w:val="00B8176F"/>
    <w:rsid w:val="00B824C8"/>
    <w:rsid w:val="00B84B9D"/>
    <w:rsid w:val="00B90ED6"/>
    <w:rsid w:val="00B91378"/>
    <w:rsid w:val="00B930AA"/>
    <w:rsid w:val="00B94073"/>
    <w:rsid w:val="00B95DF3"/>
    <w:rsid w:val="00BA41C6"/>
    <w:rsid w:val="00BA4719"/>
    <w:rsid w:val="00BB3E26"/>
    <w:rsid w:val="00BB50F6"/>
    <w:rsid w:val="00BB6F4F"/>
    <w:rsid w:val="00BC251A"/>
    <w:rsid w:val="00BC728D"/>
    <w:rsid w:val="00BD032B"/>
    <w:rsid w:val="00BD1693"/>
    <w:rsid w:val="00BD1D1D"/>
    <w:rsid w:val="00BD27E9"/>
    <w:rsid w:val="00BD2EE2"/>
    <w:rsid w:val="00BD6ACC"/>
    <w:rsid w:val="00BE0416"/>
    <w:rsid w:val="00BE162C"/>
    <w:rsid w:val="00BE1AE6"/>
    <w:rsid w:val="00BE23AA"/>
    <w:rsid w:val="00BE2640"/>
    <w:rsid w:val="00BE4A52"/>
    <w:rsid w:val="00BE5765"/>
    <w:rsid w:val="00BF5682"/>
    <w:rsid w:val="00BF5A67"/>
    <w:rsid w:val="00BF7599"/>
    <w:rsid w:val="00C01189"/>
    <w:rsid w:val="00C0425D"/>
    <w:rsid w:val="00C11DBC"/>
    <w:rsid w:val="00C15DE6"/>
    <w:rsid w:val="00C27633"/>
    <w:rsid w:val="00C312C3"/>
    <w:rsid w:val="00C34E7D"/>
    <w:rsid w:val="00C357CF"/>
    <w:rsid w:val="00C374DE"/>
    <w:rsid w:val="00C41A90"/>
    <w:rsid w:val="00C434DF"/>
    <w:rsid w:val="00C47970"/>
    <w:rsid w:val="00C47AD4"/>
    <w:rsid w:val="00C511EA"/>
    <w:rsid w:val="00C52D81"/>
    <w:rsid w:val="00C55198"/>
    <w:rsid w:val="00C647BE"/>
    <w:rsid w:val="00C64D3A"/>
    <w:rsid w:val="00C75D2A"/>
    <w:rsid w:val="00C8083A"/>
    <w:rsid w:val="00C81A13"/>
    <w:rsid w:val="00C83AD7"/>
    <w:rsid w:val="00C8405D"/>
    <w:rsid w:val="00C87491"/>
    <w:rsid w:val="00C92AC1"/>
    <w:rsid w:val="00C96B65"/>
    <w:rsid w:val="00CA155D"/>
    <w:rsid w:val="00CA1F58"/>
    <w:rsid w:val="00CA302C"/>
    <w:rsid w:val="00CA564F"/>
    <w:rsid w:val="00CA5D1E"/>
    <w:rsid w:val="00CA6393"/>
    <w:rsid w:val="00CA7CB8"/>
    <w:rsid w:val="00CB18FF"/>
    <w:rsid w:val="00CB6AEA"/>
    <w:rsid w:val="00CB7647"/>
    <w:rsid w:val="00CC138C"/>
    <w:rsid w:val="00CC450E"/>
    <w:rsid w:val="00CC4DB2"/>
    <w:rsid w:val="00CD0C08"/>
    <w:rsid w:val="00CD1004"/>
    <w:rsid w:val="00CD37C3"/>
    <w:rsid w:val="00CE03FB"/>
    <w:rsid w:val="00CE3168"/>
    <w:rsid w:val="00CE3A8C"/>
    <w:rsid w:val="00CE41AA"/>
    <w:rsid w:val="00CE433C"/>
    <w:rsid w:val="00CE6996"/>
    <w:rsid w:val="00CE6DB6"/>
    <w:rsid w:val="00CF0161"/>
    <w:rsid w:val="00CF15B8"/>
    <w:rsid w:val="00CF15FD"/>
    <w:rsid w:val="00CF23EF"/>
    <w:rsid w:val="00CF33F3"/>
    <w:rsid w:val="00D00C0E"/>
    <w:rsid w:val="00D04D9A"/>
    <w:rsid w:val="00D05D6E"/>
    <w:rsid w:val="00D06183"/>
    <w:rsid w:val="00D06593"/>
    <w:rsid w:val="00D1061E"/>
    <w:rsid w:val="00D11F37"/>
    <w:rsid w:val="00D12894"/>
    <w:rsid w:val="00D143F9"/>
    <w:rsid w:val="00D14C22"/>
    <w:rsid w:val="00D156BA"/>
    <w:rsid w:val="00D16E7A"/>
    <w:rsid w:val="00D22C42"/>
    <w:rsid w:val="00D30D28"/>
    <w:rsid w:val="00D33BD7"/>
    <w:rsid w:val="00D345E5"/>
    <w:rsid w:val="00D37AD2"/>
    <w:rsid w:val="00D436BE"/>
    <w:rsid w:val="00D464CC"/>
    <w:rsid w:val="00D52168"/>
    <w:rsid w:val="00D534EE"/>
    <w:rsid w:val="00D567F8"/>
    <w:rsid w:val="00D615D6"/>
    <w:rsid w:val="00D64924"/>
    <w:rsid w:val="00D65041"/>
    <w:rsid w:val="00D65FF2"/>
    <w:rsid w:val="00D70717"/>
    <w:rsid w:val="00D80E0B"/>
    <w:rsid w:val="00D83368"/>
    <w:rsid w:val="00D863CB"/>
    <w:rsid w:val="00D868C7"/>
    <w:rsid w:val="00D90176"/>
    <w:rsid w:val="00D92247"/>
    <w:rsid w:val="00D943F0"/>
    <w:rsid w:val="00D97047"/>
    <w:rsid w:val="00DA156E"/>
    <w:rsid w:val="00DA44F5"/>
    <w:rsid w:val="00DA4E32"/>
    <w:rsid w:val="00DA6046"/>
    <w:rsid w:val="00DB00D5"/>
    <w:rsid w:val="00DB0625"/>
    <w:rsid w:val="00DB1936"/>
    <w:rsid w:val="00DB384B"/>
    <w:rsid w:val="00DB49FE"/>
    <w:rsid w:val="00DC20B6"/>
    <w:rsid w:val="00DC252F"/>
    <w:rsid w:val="00DC575F"/>
    <w:rsid w:val="00DD45B7"/>
    <w:rsid w:val="00DE2FB8"/>
    <w:rsid w:val="00DF0189"/>
    <w:rsid w:val="00DF0336"/>
    <w:rsid w:val="00DF1672"/>
    <w:rsid w:val="00DF4CA0"/>
    <w:rsid w:val="00E011E3"/>
    <w:rsid w:val="00E019AB"/>
    <w:rsid w:val="00E020B8"/>
    <w:rsid w:val="00E035F5"/>
    <w:rsid w:val="00E0364B"/>
    <w:rsid w:val="00E03C3D"/>
    <w:rsid w:val="00E04422"/>
    <w:rsid w:val="00E04E6C"/>
    <w:rsid w:val="00E06FD5"/>
    <w:rsid w:val="00E10AFA"/>
    <w:rsid w:val="00E10E80"/>
    <w:rsid w:val="00E124F0"/>
    <w:rsid w:val="00E13EB5"/>
    <w:rsid w:val="00E14687"/>
    <w:rsid w:val="00E16F01"/>
    <w:rsid w:val="00E17101"/>
    <w:rsid w:val="00E227F3"/>
    <w:rsid w:val="00E24D06"/>
    <w:rsid w:val="00E33172"/>
    <w:rsid w:val="00E34FA1"/>
    <w:rsid w:val="00E35C89"/>
    <w:rsid w:val="00E457C4"/>
    <w:rsid w:val="00E47C0C"/>
    <w:rsid w:val="00E51B98"/>
    <w:rsid w:val="00E5203E"/>
    <w:rsid w:val="00E5287E"/>
    <w:rsid w:val="00E54183"/>
    <w:rsid w:val="00E545C6"/>
    <w:rsid w:val="00E57B1F"/>
    <w:rsid w:val="00E60F04"/>
    <w:rsid w:val="00E61BC3"/>
    <w:rsid w:val="00E61F4E"/>
    <w:rsid w:val="00E62A85"/>
    <w:rsid w:val="00E65B24"/>
    <w:rsid w:val="00E70363"/>
    <w:rsid w:val="00E73392"/>
    <w:rsid w:val="00E733A7"/>
    <w:rsid w:val="00E73B64"/>
    <w:rsid w:val="00E73DE5"/>
    <w:rsid w:val="00E75165"/>
    <w:rsid w:val="00E803EC"/>
    <w:rsid w:val="00E83511"/>
    <w:rsid w:val="00E83708"/>
    <w:rsid w:val="00E8465C"/>
    <w:rsid w:val="00E854E4"/>
    <w:rsid w:val="00E86DBF"/>
    <w:rsid w:val="00E90D01"/>
    <w:rsid w:val="00E913D1"/>
    <w:rsid w:val="00E95746"/>
    <w:rsid w:val="00E95B91"/>
    <w:rsid w:val="00EA0CA0"/>
    <w:rsid w:val="00EA2AD8"/>
    <w:rsid w:val="00EB0D6F"/>
    <w:rsid w:val="00EB2232"/>
    <w:rsid w:val="00EC03BB"/>
    <w:rsid w:val="00EC125C"/>
    <w:rsid w:val="00EC5337"/>
    <w:rsid w:val="00EC7EAC"/>
    <w:rsid w:val="00ED09B9"/>
    <w:rsid w:val="00ED1A5E"/>
    <w:rsid w:val="00ED35A8"/>
    <w:rsid w:val="00ED3EE0"/>
    <w:rsid w:val="00ED454D"/>
    <w:rsid w:val="00ED5704"/>
    <w:rsid w:val="00ED621B"/>
    <w:rsid w:val="00ED63BB"/>
    <w:rsid w:val="00ED7BBC"/>
    <w:rsid w:val="00EE0EF5"/>
    <w:rsid w:val="00EE49E8"/>
    <w:rsid w:val="00EF24AC"/>
    <w:rsid w:val="00EF3CD1"/>
    <w:rsid w:val="00EF3EAE"/>
    <w:rsid w:val="00EF4799"/>
    <w:rsid w:val="00EF5DA0"/>
    <w:rsid w:val="00EF7AE2"/>
    <w:rsid w:val="00F058DE"/>
    <w:rsid w:val="00F06FAB"/>
    <w:rsid w:val="00F10358"/>
    <w:rsid w:val="00F14174"/>
    <w:rsid w:val="00F1659D"/>
    <w:rsid w:val="00F16BAB"/>
    <w:rsid w:val="00F2150A"/>
    <w:rsid w:val="00F21CE3"/>
    <w:rsid w:val="00F22446"/>
    <w:rsid w:val="00F22BDB"/>
    <w:rsid w:val="00F231D8"/>
    <w:rsid w:val="00F26E4B"/>
    <w:rsid w:val="00F3140D"/>
    <w:rsid w:val="00F341DB"/>
    <w:rsid w:val="00F34DDF"/>
    <w:rsid w:val="00F3777D"/>
    <w:rsid w:val="00F41534"/>
    <w:rsid w:val="00F4157B"/>
    <w:rsid w:val="00F44C00"/>
    <w:rsid w:val="00F44C4C"/>
    <w:rsid w:val="00F45D2C"/>
    <w:rsid w:val="00F45F22"/>
    <w:rsid w:val="00F46C5F"/>
    <w:rsid w:val="00F542B0"/>
    <w:rsid w:val="00F5641C"/>
    <w:rsid w:val="00F603E1"/>
    <w:rsid w:val="00F609FD"/>
    <w:rsid w:val="00F632C0"/>
    <w:rsid w:val="00F66CA0"/>
    <w:rsid w:val="00F7347F"/>
    <w:rsid w:val="00F74694"/>
    <w:rsid w:val="00F7735D"/>
    <w:rsid w:val="00F81727"/>
    <w:rsid w:val="00F82DC4"/>
    <w:rsid w:val="00F877EC"/>
    <w:rsid w:val="00F93425"/>
    <w:rsid w:val="00F94A63"/>
    <w:rsid w:val="00FA1C28"/>
    <w:rsid w:val="00FA385D"/>
    <w:rsid w:val="00FA4757"/>
    <w:rsid w:val="00FA67F8"/>
    <w:rsid w:val="00FA70B6"/>
    <w:rsid w:val="00FA7A3B"/>
    <w:rsid w:val="00FB1279"/>
    <w:rsid w:val="00FB4B58"/>
    <w:rsid w:val="00FB6B76"/>
    <w:rsid w:val="00FB72E9"/>
    <w:rsid w:val="00FB7596"/>
    <w:rsid w:val="00FC1618"/>
    <w:rsid w:val="00FC2016"/>
    <w:rsid w:val="00FC21C4"/>
    <w:rsid w:val="00FC6E7E"/>
    <w:rsid w:val="00FC70AE"/>
    <w:rsid w:val="00FD5362"/>
    <w:rsid w:val="00FD61BC"/>
    <w:rsid w:val="00FD65B8"/>
    <w:rsid w:val="00FD7016"/>
    <w:rsid w:val="00FE159F"/>
    <w:rsid w:val="00FE4077"/>
    <w:rsid w:val="00FE500D"/>
    <w:rsid w:val="00FE56BD"/>
    <w:rsid w:val="00FE585E"/>
    <w:rsid w:val="00FE6102"/>
    <w:rsid w:val="00FE6403"/>
    <w:rsid w:val="00FE7513"/>
    <w:rsid w:val="00FE77D2"/>
    <w:rsid w:val="00FF7BA7"/>
    <w:rsid w:val="01F3273A"/>
    <w:rsid w:val="02D6FAD9"/>
    <w:rsid w:val="035F8EAA"/>
    <w:rsid w:val="03D74253"/>
    <w:rsid w:val="043C772F"/>
    <w:rsid w:val="045A070E"/>
    <w:rsid w:val="047F81D4"/>
    <w:rsid w:val="04B7651B"/>
    <w:rsid w:val="04F172A9"/>
    <w:rsid w:val="050DDA21"/>
    <w:rsid w:val="05CB38D9"/>
    <w:rsid w:val="069F69C6"/>
    <w:rsid w:val="077EB3BE"/>
    <w:rsid w:val="07B29A11"/>
    <w:rsid w:val="085B9E44"/>
    <w:rsid w:val="08B5873D"/>
    <w:rsid w:val="08ED6D63"/>
    <w:rsid w:val="08EF796D"/>
    <w:rsid w:val="0938C946"/>
    <w:rsid w:val="095B6708"/>
    <w:rsid w:val="0A9B3C5A"/>
    <w:rsid w:val="0B013E1C"/>
    <w:rsid w:val="0B90654B"/>
    <w:rsid w:val="0BB1E881"/>
    <w:rsid w:val="0CECC92C"/>
    <w:rsid w:val="0E23393F"/>
    <w:rsid w:val="0EA0FADD"/>
    <w:rsid w:val="0FC4AA3D"/>
    <w:rsid w:val="1071B053"/>
    <w:rsid w:val="10B3B964"/>
    <w:rsid w:val="10BF814E"/>
    <w:rsid w:val="10CAA77F"/>
    <w:rsid w:val="1128431C"/>
    <w:rsid w:val="1172F427"/>
    <w:rsid w:val="1391ED6E"/>
    <w:rsid w:val="1401FD7E"/>
    <w:rsid w:val="145FA1DB"/>
    <w:rsid w:val="14881212"/>
    <w:rsid w:val="14D8BFBE"/>
    <w:rsid w:val="151CA399"/>
    <w:rsid w:val="1539E2E2"/>
    <w:rsid w:val="1664F497"/>
    <w:rsid w:val="166C6432"/>
    <w:rsid w:val="168D0099"/>
    <w:rsid w:val="17BF3711"/>
    <w:rsid w:val="187E28CC"/>
    <w:rsid w:val="189C8C1A"/>
    <w:rsid w:val="19E14510"/>
    <w:rsid w:val="1A8A8D05"/>
    <w:rsid w:val="1AA9C759"/>
    <w:rsid w:val="1B35B2AE"/>
    <w:rsid w:val="1D11E24E"/>
    <w:rsid w:val="1D45EFF0"/>
    <w:rsid w:val="1D9A1200"/>
    <w:rsid w:val="1DA671A5"/>
    <w:rsid w:val="1DC9E719"/>
    <w:rsid w:val="1E1D01F9"/>
    <w:rsid w:val="1E6F5B79"/>
    <w:rsid w:val="1E76A131"/>
    <w:rsid w:val="1EB190A0"/>
    <w:rsid w:val="1F6E0B45"/>
    <w:rsid w:val="1F917B04"/>
    <w:rsid w:val="1FBD85C6"/>
    <w:rsid w:val="2000FFEE"/>
    <w:rsid w:val="21D00A57"/>
    <w:rsid w:val="21ECC863"/>
    <w:rsid w:val="22A66240"/>
    <w:rsid w:val="23A88835"/>
    <w:rsid w:val="23B53814"/>
    <w:rsid w:val="23EC6540"/>
    <w:rsid w:val="2495F28B"/>
    <w:rsid w:val="249B2EF2"/>
    <w:rsid w:val="2536F37C"/>
    <w:rsid w:val="258B60D3"/>
    <w:rsid w:val="25A1D253"/>
    <w:rsid w:val="25E1F40A"/>
    <w:rsid w:val="260E0D30"/>
    <w:rsid w:val="2635115F"/>
    <w:rsid w:val="26AA2767"/>
    <w:rsid w:val="26C6ED6E"/>
    <w:rsid w:val="271B699C"/>
    <w:rsid w:val="27952EE2"/>
    <w:rsid w:val="2812D3FD"/>
    <w:rsid w:val="28AEA743"/>
    <w:rsid w:val="28F07B69"/>
    <w:rsid w:val="2A5E1EDC"/>
    <w:rsid w:val="2B154122"/>
    <w:rsid w:val="2B52EDFB"/>
    <w:rsid w:val="2BB6ADCF"/>
    <w:rsid w:val="2BCA101E"/>
    <w:rsid w:val="2BE179E9"/>
    <w:rsid w:val="2D6EF15A"/>
    <w:rsid w:val="2E5ACBA5"/>
    <w:rsid w:val="2F5681B6"/>
    <w:rsid w:val="2F825441"/>
    <w:rsid w:val="2FD84CDF"/>
    <w:rsid w:val="30095229"/>
    <w:rsid w:val="301C8010"/>
    <w:rsid w:val="30AB054D"/>
    <w:rsid w:val="318952BF"/>
    <w:rsid w:val="32A46FA7"/>
    <w:rsid w:val="32BD4E81"/>
    <w:rsid w:val="33992CFD"/>
    <w:rsid w:val="3449C295"/>
    <w:rsid w:val="34577D57"/>
    <w:rsid w:val="3544C056"/>
    <w:rsid w:val="35D7F731"/>
    <w:rsid w:val="35F05D0B"/>
    <w:rsid w:val="36F3D98A"/>
    <w:rsid w:val="37643545"/>
    <w:rsid w:val="382D4B9D"/>
    <w:rsid w:val="38EC9433"/>
    <w:rsid w:val="3978E4EC"/>
    <w:rsid w:val="39CA61E6"/>
    <w:rsid w:val="3A84E044"/>
    <w:rsid w:val="3A8A688A"/>
    <w:rsid w:val="3BBAA405"/>
    <w:rsid w:val="3D9ADE52"/>
    <w:rsid w:val="4064183D"/>
    <w:rsid w:val="40899250"/>
    <w:rsid w:val="40C64424"/>
    <w:rsid w:val="40FF7C46"/>
    <w:rsid w:val="41293161"/>
    <w:rsid w:val="41A5DD83"/>
    <w:rsid w:val="421905E6"/>
    <w:rsid w:val="4257175A"/>
    <w:rsid w:val="42D7032A"/>
    <w:rsid w:val="4368149D"/>
    <w:rsid w:val="43DAB2D1"/>
    <w:rsid w:val="44AB5577"/>
    <w:rsid w:val="4548AB18"/>
    <w:rsid w:val="45D1AF61"/>
    <w:rsid w:val="47C9EE36"/>
    <w:rsid w:val="47FB6164"/>
    <w:rsid w:val="48310F6E"/>
    <w:rsid w:val="4856B4BA"/>
    <w:rsid w:val="4867BFF4"/>
    <w:rsid w:val="48A623D2"/>
    <w:rsid w:val="4985A7C1"/>
    <w:rsid w:val="4A326DCF"/>
    <w:rsid w:val="4B35462D"/>
    <w:rsid w:val="4BC34CA4"/>
    <w:rsid w:val="4C4BB449"/>
    <w:rsid w:val="4CED0A4B"/>
    <w:rsid w:val="4D776439"/>
    <w:rsid w:val="4DDA6154"/>
    <w:rsid w:val="4E8602DC"/>
    <w:rsid w:val="4E898840"/>
    <w:rsid w:val="4E96CB49"/>
    <w:rsid w:val="4EABDF7C"/>
    <w:rsid w:val="4F21CC9B"/>
    <w:rsid w:val="4F41DD54"/>
    <w:rsid w:val="4FBCF6A0"/>
    <w:rsid w:val="50605EFC"/>
    <w:rsid w:val="51B3982C"/>
    <w:rsid w:val="51C83EFC"/>
    <w:rsid w:val="52A910BC"/>
    <w:rsid w:val="53CD29D8"/>
    <w:rsid w:val="53FB5583"/>
    <w:rsid w:val="546648DC"/>
    <w:rsid w:val="547D3AA4"/>
    <w:rsid w:val="54B59931"/>
    <w:rsid w:val="55DFA1AC"/>
    <w:rsid w:val="56B50864"/>
    <w:rsid w:val="57D083B7"/>
    <w:rsid w:val="585BA9A7"/>
    <w:rsid w:val="58747C23"/>
    <w:rsid w:val="589FDE72"/>
    <w:rsid w:val="58F53700"/>
    <w:rsid w:val="591B8421"/>
    <w:rsid w:val="5A7220FC"/>
    <w:rsid w:val="5AB9C01D"/>
    <w:rsid w:val="5C73D8B5"/>
    <w:rsid w:val="5CA96E96"/>
    <w:rsid w:val="5CBDD7B9"/>
    <w:rsid w:val="5D7EEC76"/>
    <w:rsid w:val="5DB88F9B"/>
    <w:rsid w:val="5DE62637"/>
    <w:rsid w:val="5E85A8D0"/>
    <w:rsid w:val="602D85CF"/>
    <w:rsid w:val="60317DE5"/>
    <w:rsid w:val="609BF893"/>
    <w:rsid w:val="60AE9F03"/>
    <w:rsid w:val="610BE3EA"/>
    <w:rsid w:val="6153F0D8"/>
    <w:rsid w:val="61873C8C"/>
    <w:rsid w:val="618FAFA0"/>
    <w:rsid w:val="619A03AE"/>
    <w:rsid w:val="62512CB0"/>
    <w:rsid w:val="627F2F14"/>
    <w:rsid w:val="62DC7B98"/>
    <w:rsid w:val="63518E5E"/>
    <w:rsid w:val="63925B93"/>
    <w:rsid w:val="643B8041"/>
    <w:rsid w:val="64DD4F0D"/>
    <w:rsid w:val="65E192D9"/>
    <w:rsid w:val="66CB85DE"/>
    <w:rsid w:val="66F927CF"/>
    <w:rsid w:val="67CD4E78"/>
    <w:rsid w:val="67E2E259"/>
    <w:rsid w:val="680E30B2"/>
    <w:rsid w:val="68B1324A"/>
    <w:rsid w:val="68EA4981"/>
    <w:rsid w:val="690DB5A8"/>
    <w:rsid w:val="692DA40A"/>
    <w:rsid w:val="69DB1515"/>
    <w:rsid w:val="6AD1229A"/>
    <w:rsid w:val="6AE21B35"/>
    <w:rsid w:val="6B6D623B"/>
    <w:rsid w:val="6BF67FCA"/>
    <w:rsid w:val="6C69D2EF"/>
    <w:rsid w:val="6C6E8405"/>
    <w:rsid w:val="6C9306EE"/>
    <w:rsid w:val="6C96A617"/>
    <w:rsid w:val="6CDC24BE"/>
    <w:rsid w:val="6D085043"/>
    <w:rsid w:val="6D9AE761"/>
    <w:rsid w:val="6DC7E1F6"/>
    <w:rsid w:val="6E03F580"/>
    <w:rsid w:val="6E03F767"/>
    <w:rsid w:val="6ECBD64B"/>
    <w:rsid w:val="6F0493C3"/>
    <w:rsid w:val="6F6E8D02"/>
    <w:rsid w:val="6FA881B5"/>
    <w:rsid w:val="7020EDC8"/>
    <w:rsid w:val="70519EA4"/>
    <w:rsid w:val="70909E75"/>
    <w:rsid w:val="70B27A57"/>
    <w:rsid w:val="71565288"/>
    <w:rsid w:val="725FB234"/>
    <w:rsid w:val="72C4F9A3"/>
    <w:rsid w:val="73F47D9D"/>
    <w:rsid w:val="7448DE99"/>
    <w:rsid w:val="7456FDA1"/>
    <w:rsid w:val="7494767D"/>
    <w:rsid w:val="74BC59D0"/>
    <w:rsid w:val="74BD7077"/>
    <w:rsid w:val="74FCA4D5"/>
    <w:rsid w:val="754D0F77"/>
    <w:rsid w:val="75D0809A"/>
    <w:rsid w:val="76AB5328"/>
    <w:rsid w:val="76BB1B2C"/>
    <w:rsid w:val="76BC152C"/>
    <w:rsid w:val="76CF5A7A"/>
    <w:rsid w:val="76F5B5BA"/>
    <w:rsid w:val="76F79021"/>
    <w:rsid w:val="772461BD"/>
    <w:rsid w:val="77CF741A"/>
    <w:rsid w:val="793D6F02"/>
    <w:rsid w:val="7A484AC6"/>
    <w:rsid w:val="7B2A93A1"/>
    <w:rsid w:val="7B4B3629"/>
    <w:rsid w:val="7B83C1C0"/>
    <w:rsid w:val="7BCE007A"/>
    <w:rsid w:val="7DB4A3F6"/>
    <w:rsid w:val="7DC8AD66"/>
    <w:rsid w:val="7DDE0AA0"/>
    <w:rsid w:val="7EA4A75F"/>
    <w:rsid w:val="7F6466F1"/>
    <w:rsid w:val="7FB6F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4E0BF3F6-BC49-4B14-83FA-CD2C8062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0"/>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70DFF"/>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MentionUnresolved">
    <w:name w:val="Mention Unresolved"/>
    <w:basedOn w:val="DefaultParagraphFont"/>
    <w:uiPriority w:val="99"/>
    <w:semiHidden/>
    <w:unhideWhenUsed/>
    <w:rsid w:val="00FD7016"/>
    <w:rPr>
      <w:color w:val="605E5C"/>
      <w:shd w:val="clear" w:color="auto" w:fill="E1DFDD"/>
    </w:rPr>
  </w:style>
  <w:style w:type="paragraph" w:styleId="ListParagraph">
    <w:name w:val="List Paragraph"/>
    <w:basedOn w:val="Normal"/>
    <w:link w:val="ListParagraphChar"/>
    <w:uiPriority w:val="34"/>
    <w:qFormat/>
    <w:rsid w:val="00230BFE"/>
    <w:pPr>
      <w:ind w:left="720"/>
      <w:contextualSpacing/>
    </w:pPr>
  </w:style>
  <w:style w:type="paragraph" w:customStyle="1" w:styleId="paragraph">
    <w:name w:val="paragraph"/>
    <w:basedOn w:val="Normal"/>
    <w:rsid w:val="00230BF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link w:val="ListParagraph"/>
    <w:uiPriority w:val="34"/>
    <w:locked/>
    <w:rsid w:val="00230BFE"/>
    <w:rPr>
      <w:rFonts w:ascii="Calibri" w:hAnsi="Calibri"/>
      <w:sz w:val="24"/>
      <w:lang w:val="en-GB" w:eastAsia="en-US"/>
    </w:rPr>
  </w:style>
  <w:style w:type="character" w:customStyle="1" w:styleId="ui-provider">
    <w:name w:val="ui-provider"/>
    <w:basedOn w:val="DefaultParagraphFont"/>
    <w:rsid w:val="00230BFE"/>
  </w:style>
  <w:style w:type="character" w:customStyle="1" w:styleId="normaltextrun">
    <w:name w:val="normaltextrun"/>
    <w:basedOn w:val="DefaultParagraphFont"/>
    <w:rsid w:val="00230BFE"/>
  </w:style>
  <w:style w:type="character" w:customStyle="1" w:styleId="eop">
    <w:name w:val="eop"/>
    <w:basedOn w:val="DefaultParagraphFont"/>
    <w:rsid w:val="00230BFE"/>
  </w:style>
  <w:style w:type="character" w:customStyle="1" w:styleId="FootnoteTextChar">
    <w:name w:val="Footnote Text Char"/>
    <w:basedOn w:val="DefaultParagraphFont"/>
    <w:link w:val="FootnoteText"/>
    <w:uiPriority w:val="99"/>
    <w:rsid w:val="00230BFE"/>
    <w:rPr>
      <w:rFonts w:ascii="Calibri" w:hAnsi="Calibri"/>
      <w:sz w:val="24"/>
      <w:lang w:val="en-GB" w:eastAsia="en-US"/>
    </w:rPr>
  </w:style>
  <w:style w:type="paragraph" w:customStyle="1" w:styleId="Reasons">
    <w:name w:val="Reasons"/>
    <w:basedOn w:val="Normal"/>
    <w:qFormat/>
    <w:rsid w:val="00B70DFF"/>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1A0DA6"/>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BA4719"/>
    <w:rPr>
      <w:b/>
      <w:bCs/>
    </w:rPr>
  </w:style>
  <w:style w:type="character" w:customStyle="1" w:styleId="CommentSubjectChar">
    <w:name w:val="Comment Subject Char"/>
    <w:basedOn w:val="CommentTextChar"/>
    <w:link w:val="CommentSubject"/>
    <w:semiHidden/>
    <w:rsid w:val="00BA4719"/>
    <w:rPr>
      <w:rFonts w:ascii="Calibri" w:hAnsi="Calibri"/>
      <w:b/>
      <w:bCs/>
      <w:lang w:val="en-GB" w:eastAsia="en-US"/>
    </w:rPr>
  </w:style>
  <w:style w:type="character" w:styleId="Mention">
    <w:name w:val="Mention"/>
    <w:basedOn w:val="DefaultParagraphFont"/>
    <w:uiPriority w:val="99"/>
    <w:unhideWhenUsed/>
    <w:rsid w:val="00BA4719"/>
    <w:rPr>
      <w:color w:val="2B579A"/>
      <w:shd w:val="clear" w:color="auto" w:fill="E1DFDD"/>
    </w:rPr>
  </w:style>
  <w:style w:type="character" w:styleId="UnresolvedMention">
    <w:name w:val="Unresolved Mention"/>
    <w:basedOn w:val="DefaultParagraphFont"/>
    <w:uiPriority w:val="99"/>
    <w:semiHidden/>
    <w:unhideWhenUsed/>
    <w:rsid w:val="00E75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51526">
      <w:bodyDiv w:val="1"/>
      <w:marLeft w:val="0"/>
      <w:marRight w:val="0"/>
      <w:marTop w:val="0"/>
      <w:marBottom w:val="0"/>
      <w:divBdr>
        <w:top w:val="none" w:sz="0" w:space="0" w:color="auto"/>
        <w:left w:val="none" w:sz="0" w:space="0" w:color="auto"/>
        <w:bottom w:val="none" w:sz="0" w:space="0" w:color="auto"/>
        <w:right w:val="none" w:sz="0" w:space="0" w:color="auto"/>
      </w:divBdr>
    </w:div>
    <w:div w:id="1706716415">
      <w:bodyDiv w:val="1"/>
      <w:marLeft w:val="0"/>
      <w:marRight w:val="0"/>
      <w:marTop w:val="0"/>
      <w:marBottom w:val="0"/>
      <w:divBdr>
        <w:top w:val="none" w:sz="0" w:space="0" w:color="auto"/>
        <w:left w:val="none" w:sz="0" w:space="0" w:color="auto"/>
        <w:bottom w:val="none" w:sz="0" w:space="0" w:color="auto"/>
        <w:right w:val="none" w:sz="0" w:space="0" w:color="auto"/>
      </w:divBdr>
    </w:div>
    <w:div w:id="194334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2023/DEC-005-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stitution-E.pdf"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5F57C6ED3A84182E390DB90CAA075" ma:contentTypeVersion="4" ma:contentTypeDescription="Create a new document." ma:contentTypeScope="" ma:versionID="4ceafd82ee947a2bd08962c031786594">
  <xsd:schema xmlns:xsd="http://www.w3.org/2001/XMLSchema" xmlns:xs="http://www.w3.org/2001/XMLSchema" xmlns:p="http://schemas.microsoft.com/office/2006/metadata/properties" xmlns:ns2="3047f10e-7825-4f1f-bffc-91dd7702e1e7" targetNamespace="http://schemas.microsoft.com/office/2006/metadata/properties" ma:root="true" ma:fieldsID="c467e05facb73d82a194258791784b28" ns2:_="">
    <xsd:import namespace="3047f10e-7825-4f1f-bffc-91dd7702e1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7f10e-7825-4f1f-bffc-91dd7702e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977F-196F-4B54-ABF4-23DB0A688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7f10e-7825-4f1f-bffc-91dd7702e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E7F22-6DE6-401B-8AB6-0BCF36FFE1EB}">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3047f10e-7825-4f1f-bffc-91dd7702e1e7"/>
    <ds:schemaRef ds:uri="http://www.w3.org/XML/1998/namespace"/>
    <ds:schemaRef ds:uri="http://purl.org/dc/dcmitype/"/>
  </ds:schemaRefs>
</ds:datastoreItem>
</file>

<file path=customXml/itemProps3.xml><?xml version="1.0" encoding="utf-8"?>
<ds:datastoreItem xmlns:ds="http://schemas.openxmlformats.org/officeDocument/2006/customXml" ds:itemID="{A3941A30-8247-4954-B322-1A0C8E9EE3D5}">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2234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Assessment of the preliminary amount of the contributory unit</vt:lpstr>
    </vt:vector>
  </TitlesOfParts>
  <Manager/>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preliminary amount of the contributory unit</dc:title>
  <dc:subject>ITU Council Working Group on Financial and Human Resources</dc:subject>
  <cp:keywords>CWG-FHR, C24, Council-24</cp:keywords>
  <dc:description/>
  <cp:revision>5</cp:revision>
  <dcterms:created xsi:type="dcterms:W3CDTF">2024-09-11T15:33:00Z</dcterms:created>
  <dcterms:modified xsi:type="dcterms:W3CDTF">2024-09-11T16:17:00Z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0x010100C0F5F57C6ED3A84182E390DB90CAA075</vt:lpwstr>
  </property>
  <property fmtid="{D5CDD505-2E9C-101B-9397-08002B2CF9AE}" pid="3" name="MediaServiceImageTags">
    <vt:lpwstr/>
  </property>
  <property fmtid="{D5CDD505-2E9C-101B-9397-08002B2CF9AE}" pid="4" name="GrammarlyDocumentId">
    <vt:lpwstr>c832f70633bc5ed597e66490aef2d4985cbbcc8925b33ab8130bcb3a76c24502</vt:lpwstr>
  </property>
</Properties>
</file>