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D63C7F"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AD8BF08" w:rsidR="00AD3606" w:rsidRPr="00A94376" w:rsidRDefault="00AD3606" w:rsidP="00472BAD">
            <w:pPr>
              <w:tabs>
                <w:tab w:val="left" w:pos="851"/>
              </w:tabs>
              <w:spacing w:before="0" w:line="240" w:lineRule="atLeast"/>
              <w:jc w:val="right"/>
              <w:rPr>
                <w:b/>
                <w:lang w:val="it-IT"/>
              </w:rPr>
            </w:pPr>
            <w:r w:rsidRPr="00A94376">
              <w:rPr>
                <w:b/>
                <w:lang w:val="it-IT"/>
              </w:rPr>
              <w:t>Document C</w:t>
            </w:r>
            <w:r w:rsidR="00A52C84" w:rsidRPr="00A94376">
              <w:rPr>
                <w:b/>
                <w:lang w:val="it-IT"/>
              </w:rPr>
              <w:t>WG-</w:t>
            </w:r>
            <w:r w:rsidR="009F347C" w:rsidRPr="00A94376">
              <w:rPr>
                <w:b/>
                <w:lang w:val="it-IT"/>
              </w:rPr>
              <w:t>FHR</w:t>
            </w:r>
            <w:r w:rsidR="00A52C84" w:rsidRPr="00A94376">
              <w:rPr>
                <w:b/>
                <w:lang w:val="it-IT"/>
              </w:rPr>
              <w:t>-</w:t>
            </w:r>
            <w:r w:rsidR="002404ED" w:rsidRPr="00A94376">
              <w:rPr>
                <w:b/>
                <w:lang w:val="it-IT"/>
              </w:rPr>
              <w:t>1</w:t>
            </w:r>
            <w:r w:rsidR="00E03C3D">
              <w:rPr>
                <w:b/>
                <w:lang w:val="it-IT"/>
              </w:rPr>
              <w:t>9</w:t>
            </w:r>
            <w:r w:rsidRPr="00A94376">
              <w:rPr>
                <w:b/>
                <w:lang w:val="it-IT"/>
              </w:rPr>
              <w:t>/</w:t>
            </w:r>
            <w:r w:rsidR="00566B56">
              <w:rPr>
                <w:b/>
                <w:lang w:val="it-IT"/>
              </w:rPr>
              <w:t>15</w:t>
            </w:r>
          </w:p>
        </w:tc>
      </w:tr>
      <w:tr w:rsidR="00AD3606" w:rsidRPr="00A94376" w14:paraId="789B45BA" w14:textId="77777777" w:rsidTr="00AD3606">
        <w:trPr>
          <w:cantSplit/>
        </w:trPr>
        <w:tc>
          <w:tcPr>
            <w:tcW w:w="3969" w:type="dxa"/>
            <w:vMerge/>
          </w:tcPr>
          <w:p w14:paraId="3F3D4E17" w14:textId="77777777" w:rsidR="00AD3606" w:rsidRPr="009B2D4B"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25EBCF8E" w:rsidR="00AD3606" w:rsidRPr="00A94376" w:rsidRDefault="00D42CE7" w:rsidP="00AD3606">
            <w:pPr>
              <w:tabs>
                <w:tab w:val="left" w:pos="851"/>
              </w:tabs>
              <w:spacing w:before="0"/>
              <w:jc w:val="right"/>
              <w:rPr>
                <w:b/>
              </w:rPr>
            </w:pPr>
            <w:r>
              <w:rPr>
                <w:b/>
              </w:rPr>
              <w:t>24</w:t>
            </w:r>
            <w:r w:rsidR="00AB3B42">
              <w:rPr>
                <w:b/>
              </w:rPr>
              <w:t xml:space="preserve"> October</w:t>
            </w:r>
            <w:r w:rsidR="00AD3606" w:rsidRPr="00A94376">
              <w:rPr>
                <w:b/>
              </w:rPr>
              <w:t xml:space="preserve"> 202</w:t>
            </w:r>
            <w:r w:rsidR="00A94376" w:rsidRPr="00A94376">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E85629" w:rsidRDefault="00891503" w:rsidP="00AD3606">
            <w:pPr>
              <w:tabs>
                <w:tab w:val="left" w:pos="851"/>
              </w:tabs>
              <w:spacing w:before="0" w:line="240" w:lineRule="atLeast"/>
              <w:jc w:val="right"/>
              <w:rPr>
                <w:b/>
              </w:rPr>
            </w:pPr>
            <w:r>
              <w:rPr>
                <w:b/>
              </w:rPr>
              <w:t>English</w:t>
            </w:r>
            <w:r w:rsidR="009B2D4B">
              <w:rPr>
                <w:b/>
              </w:rPr>
              <w:t xml:space="preserve"> only</w:t>
            </w:r>
          </w:p>
        </w:tc>
      </w:tr>
      <w:tr w:rsidR="00472BAD" w:rsidRPr="00813E5E" w14:paraId="12C5EF5F" w14:textId="77777777" w:rsidTr="00AD3606">
        <w:trPr>
          <w:cantSplit/>
          <w:trHeight w:val="23"/>
        </w:trPr>
        <w:tc>
          <w:tcPr>
            <w:tcW w:w="3969" w:type="dxa"/>
          </w:tcPr>
          <w:p w14:paraId="4B839BA2" w14:textId="21A5EFA7" w:rsidR="00472BAD" w:rsidRPr="00566B56" w:rsidRDefault="00472BAD" w:rsidP="00AD3606">
            <w:pPr>
              <w:tabs>
                <w:tab w:val="left" w:pos="851"/>
              </w:tabs>
              <w:spacing w:line="240" w:lineRule="atLeast"/>
              <w:rPr>
                <w:b/>
                <w:i/>
                <w:iCs/>
                <w:sz w:val="32"/>
                <w:szCs w:val="32"/>
              </w:rPr>
            </w:pPr>
          </w:p>
        </w:tc>
        <w:tc>
          <w:tcPr>
            <w:tcW w:w="5245" w:type="dxa"/>
          </w:tcPr>
          <w:p w14:paraId="12F66D25" w14:textId="77777777" w:rsidR="00472BAD" w:rsidRDefault="00472BAD" w:rsidP="00AD3606">
            <w:pPr>
              <w:tabs>
                <w:tab w:val="left" w:pos="851"/>
              </w:tabs>
              <w:spacing w:before="0" w:line="240" w:lineRule="atLeast"/>
              <w:jc w:val="right"/>
              <w:rPr>
                <w:b/>
              </w:rPr>
            </w:pPr>
          </w:p>
        </w:tc>
      </w:tr>
      <w:bookmarkEnd w:id="2"/>
      <w:bookmarkEnd w:id="3"/>
      <w:bookmarkEnd w:id="4"/>
      <w:bookmarkEnd w:id="5"/>
      <w:bookmarkEnd w:id="7"/>
    </w:tbl>
    <w:p w14:paraId="257674B4" w14:textId="41F3AB01" w:rsidR="00A514A4" w:rsidRPr="00262D52" w:rsidRDefault="00A514A4" w:rsidP="00262D52">
      <w:pPr>
        <w:pStyle w:val="TitleAgenda"/>
        <w:spacing w:before="0"/>
        <w:jc w:val="left"/>
        <w:rPr>
          <w:sz w:val="24"/>
          <w:szCs w:val="24"/>
        </w:rPr>
      </w:pPr>
    </w:p>
    <w:p w14:paraId="232CD0E3" w14:textId="230E2AF0" w:rsidR="00262D52" w:rsidRPr="00BD0203" w:rsidRDefault="00262D52" w:rsidP="00262D52">
      <w:pPr>
        <w:spacing w:before="0"/>
        <w:jc w:val="center"/>
        <w:rPr>
          <w:rFonts w:asciiTheme="minorHAnsi" w:hAnsiTheme="minorHAnsi" w:cstheme="minorHAnsi"/>
          <w:b/>
          <w:bCs/>
          <w:caps/>
          <w:sz w:val="28"/>
          <w:szCs w:val="28"/>
          <w:lang w:val="en-AU" w:eastAsia="en-AU"/>
        </w:rPr>
      </w:pPr>
      <w:r w:rsidRPr="00BD0203">
        <w:rPr>
          <w:rFonts w:asciiTheme="minorHAnsi" w:hAnsiTheme="minorHAnsi" w:cstheme="minorHAnsi"/>
          <w:b/>
          <w:bCs/>
          <w:caps/>
          <w:sz w:val="28"/>
          <w:szCs w:val="28"/>
          <w:lang w:val="en-AU" w:eastAsia="en-AU"/>
        </w:rPr>
        <w:t>Chair of the Council Working Group on</w:t>
      </w:r>
      <w:r w:rsidR="006044EF">
        <w:rPr>
          <w:rFonts w:asciiTheme="minorHAnsi" w:hAnsiTheme="minorHAnsi" w:cstheme="minorHAnsi"/>
          <w:b/>
          <w:bCs/>
          <w:caps/>
          <w:sz w:val="28"/>
          <w:szCs w:val="28"/>
          <w:lang w:val="en-AU" w:eastAsia="en-AU"/>
        </w:rPr>
        <w:br/>
      </w:r>
      <w:r w:rsidRPr="00BD0203">
        <w:rPr>
          <w:rFonts w:asciiTheme="minorHAnsi" w:hAnsiTheme="minorHAnsi" w:cstheme="minorHAnsi"/>
          <w:b/>
          <w:bCs/>
          <w:caps/>
          <w:sz w:val="28"/>
          <w:szCs w:val="28"/>
          <w:lang w:val="en-AU" w:eastAsia="en-AU"/>
        </w:rPr>
        <w:t>Financial</w:t>
      </w:r>
      <w:r w:rsidR="006044EF">
        <w:rPr>
          <w:rFonts w:asciiTheme="minorHAnsi" w:hAnsiTheme="minorHAnsi" w:cstheme="minorHAnsi"/>
          <w:b/>
          <w:bCs/>
          <w:caps/>
          <w:sz w:val="28"/>
          <w:szCs w:val="28"/>
          <w:lang w:val="en-AU" w:eastAsia="en-AU"/>
        </w:rPr>
        <w:t xml:space="preserve"> </w:t>
      </w:r>
      <w:r w:rsidRPr="00BD0203">
        <w:rPr>
          <w:rFonts w:asciiTheme="minorHAnsi" w:hAnsiTheme="minorHAnsi" w:cstheme="minorHAnsi"/>
          <w:b/>
          <w:bCs/>
          <w:caps/>
          <w:sz w:val="28"/>
          <w:szCs w:val="28"/>
          <w:lang w:val="en-AU" w:eastAsia="en-AU"/>
        </w:rPr>
        <w:t>and Human Resources</w:t>
      </w:r>
    </w:p>
    <w:p w14:paraId="09564B8A" w14:textId="77777777" w:rsidR="00262D52" w:rsidRPr="0077018F" w:rsidRDefault="00262D52" w:rsidP="00262D52">
      <w:pPr>
        <w:spacing w:before="0"/>
        <w:rPr>
          <w:szCs w:val="24"/>
          <w:lang w:val="en-AU"/>
        </w:rPr>
      </w:pPr>
    </w:p>
    <w:p w14:paraId="4E9CB404" w14:textId="63A0A31F" w:rsidR="00262D52" w:rsidRDefault="00262D52" w:rsidP="00262D52">
      <w:pPr>
        <w:spacing w:before="0"/>
        <w:jc w:val="center"/>
        <w:rPr>
          <w:szCs w:val="24"/>
        </w:rPr>
      </w:pPr>
      <w:r w:rsidRPr="00BD0203">
        <w:rPr>
          <w:rFonts w:asciiTheme="minorHAnsi" w:hAnsiTheme="minorHAnsi" w:cstheme="minorHAnsi"/>
          <w:b/>
          <w:bCs/>
          <w:sz w:val="28"/>
          <w:szCs w:val="28"/>
          <w:lang w:val="en-AU"/>
        </w:rPr>
        <w:t xml:space="preserve">Summary report of the </w:t>
      </w:r>
      <w:r>
        <w:rPr>
          <w:rFonts w:asciiTheme="minorHAnsi" w:hAnsiTheme="minorHAnsi" w:cstheme="minorHAnsi"/>
          <w:b/>
          <w:bCs/>
          <w:sz w:val="28"/>
          <w:szCs w:val="28"/>
          <w:lang w:val="en-AU"/>
        </w:rPr>
        <w:t xml:space="preserve">nineteenth </w:t>
      </w:r>
      <w:r w:rsidRPr="00BD0203">
        <w:rPr>
          <w:rFonts w:asciiTheme="minorHAnsi" w:hAnsiTheme="minorHAnsi" w:cstheme="minorHAnsi"/>
          <w:b/>
          <w:bCs/>
          <w:sz w:val="28"/>
          <w:szCs w:val="28"/>
          <w:lang w:val="en-AU"/>
        </w:rPr>
        <w:t>meeting</w:t>
      </w:r>
    </w:p>
    <w:p w14:paraId="6CB2D0D9" w14:textId="77777777" w:rsidR="00262D52" w:rsidRDefault="00262D52" w:rsidP="00262D52">
      <w:pPr>
        <w:spacing w:before="0"/>
        <w:rPr>
          <w:szCs w:val="24"/>
        </w:rPr>
      </w:pPr>
    </w:p>
    <w:p w14:paraId="2302F50B" w14:textId="77777777" w:rsidR="00262D52" w:rsidRPr="00BD0203" w:rsidRDefault="00262D52" w:rsidP="00262D52">
      <w:pPr>
        <w:tabs>
          <w:tab w:val="left" w:pos="709"/>
        </w:tabs>
        <w:snapToGrid w:val="0"/>
        <w:spacing w:before="480" w:after="240"/>
        <w:rPr>
          <w:rFonts w:asciiTheme="minorHAnsi" w:hAnsiTheme="minorHAnsi" w:cstheme="minorHAnsi"/>
        </w:rPr>
      </w:pPr>
      <w:r w:rsidRPr="00BD0203">
        <w:rPr>
          <w:rFonts w:asciiTheme="minorHAnsi" w:hAnsiTheme="minorHAnsi" w:cstheme="minorHAnsi"/>
          <w:bCs/>
          <w:lang w:val="en-CA" w:eastAsia="en-AU"/>
        </w:rPr>
        <w:t xml:space="preserve">The Council Working Group on Financial and Human Resources is </w:t>
      </w:r>
      <w:r w:rsidRPr="000E5AED">
        <w:rPr>
          <w:rFonts w:asciiTheme="minorHAnsi" w:hAnsiTheme="minorHAnsi" w:cstheme="minorHAnsi"/>
          <w:bCs/>
          <w:lang w:val="en-CA" w:eastAsia="en-AU"/>
        </w:rPr>
        <w:t>chaired by</w:t>
      </w:r>
      <w:r>
        <w:rPr>
          <w:rFonts w:asciiTheme="minorHAnsi" w:hAnsiTheme="minorHAnsi" w:cstheme="minorHAnsi"/>
          <w:bCs/>
          <w:lang w:val="en-CA" w:eastAsia="en-AU"/>
        </w:rPr>
        <w:br/>
      </w:r>
      <w:r w:rsidRPr="000E5AED">
        <w:rPr>
          <w:rFonts w:asciiTheme="minorHAnsi" w:hAnsiTheme="minorHAnsi" w:cstheme="minorHAnsi"/>
        </w:rPr>
        <w:t>Ms. Vernita D. Harris</w:t>
      </w:r>
      <w:r w:rsidRPr="00BD0203">
        <w:rPr>
          <w:rFonts w:asciiTheme="minorHAnsi" w:hAnsiTheme="minorHAnsi" w:cstheme="minorHAnsi"/>
        </w:rPr>
        <w:t>, (</w:t>
      </w:r>
      <w:r>
        <w:rPr>
          <w:rFonts w:asciiTheme="minorHAnsi" w:hAnsiTheme="minorHAnsi" w:cstheme="minorHAnsi"/>
        </w:rPr>
        <w:t>United States of America</w:t>
      </w:r>
      <w:r w:rsidRPr="00BD0203">
        <w:rPr>
          <w:rFonts w:asciiTheme="minorHAnsi" w:hAnsiTheme="minorHAnsi" w:cstheme="minorHAnsi"/>
        </w:rPr>
        <w:t xml:space="preserve">) assisted by </w:t>
      </w:r>
      <w:r>
        <w:rPr>
          <w:rFonts w:asciiTheme="minorHAnsi" w:hAnsiTheme="minorHAnsi" w:cstheme="minorHAnsi"/>
        </w:rPr>
        <w:t>six V</w:t>
      </w:r>
      <w:r w:rsidRPr="00BD0203">
        <w:rPr>
          <w:rFonts w:asciiTheme="minorHAnsi" w:hAnsiTheme="minorHAnsi" w:cstheme="minorHAnsi"/>
        </w:rPr>
        <w:t>ice-Chairs as follows:</w:t>
      </w:r>
    </w:p>
    <w:p w14:paraId="437F632A" w14:textId="77777777" w:rsidR="00262D52" w:rsidRPr="00C95C22" w:rsidRDefault="00262D52" w:rsidP="00262D52">
      <w:pPr>
        <w:tabs>
          <w:tab w:val="left" w:pos="709"/>
        </w:tabs>
        <w:snapToGrid w:val="0"/>
        <w:rPr>
          <w:rFonts w:asciiTheme="minorHAnsi" w:hAnsiTheme="minorHAnsi" w:cstheme="minorHAnsi"/>
        </w:rPr>
      </w:pPr>
      <w:r w:rsidRPr="00C95C22">
        <w:rPr>
          <w:rFonts w:asciiTheme="minorHAnsi" w:hAnsiTheme="minorHAnsi" w:cstheme="minorHAnsi"/>
        </w:rPr>
        <w:t xml:space="preserve">AFR - Ms Seynabou Cisse Seck (Senegal) </w:t>
      </w:r>
    </w:p>
    <w:p w14:paraId="090C16A1" w14:textId="77777777" w:rsidR="00262D52" w:rsidRPr="00C95C22" w:rsidRDefault="00262D52" w:rsidP="00262D52">
      <w:pPr>
        <w:tabs>
          <w:tab w:val="left" w:pos="709"/>
        </w:tabs>
        <w:snapToGrid w:val="0"/>
        <w:rPr>
          <w:rFonts w:asciiTheme="minorHAnsi" w:hAnsiTheme="minorHAnsi" w:cstheme="minorHAnsi"/>
        </w:rPr>
      </w:pPr>
      <w:r w:rsidRPr="00C95C22">
        <w:rPr>
          <w:rFonts w:asciiTheme="minorHAnsi" w:hAnsiTheme="minorHAnsi" w:cstheme="minorHAnsi"/>
        </w:rPr>
        <w:t xml:space="preserve">AMS - Mr Ronaldo Moura (Brazil) </w:t>
      </w:r>
    </w:p>
    <w:p w14:paraId="2FCCE632" w14:textId="77777777" w:rsidR="00262D52" w:rsidRPr="00E31C7D" w:rsidRDefault="00262D52" w:rsidP="00262D52">
      <w:pPr>
        <w:tabs>
          <w:tab w:val="left" w:pos="709"/>
        </w:tabs>
        <w:snapToGrid w:val="0"/>
        <w:rPr>
          <w:rFonts w:asciiTheme="minorHAnsi" w:hAnsiTheme="minorHAnsi" w:cstheme="minorHAnsi"/>
          <w:lang w:val="da-DK"/>
        </w:rPr>
      </w:pPr>
      <w:r w:rsidRPr="00E31C7D">
        <w:rPr>
          <w:rFonts w:asciiTheme="minorHAnsi" w:hAnsiTheme="minorHAnsi" w:cstheme="minorHAnsi"/>
          <w:lang w:val="da-DK"/>
        </w:rPr>
        <w:t xml:space="preserve">ARB - Ms Noha Gaafar (Egypt) </w:t>
      </w:r>
    </w:p>
    <w:p w14:paraId="62A7DF7C" w14:textId="77777777" w:rsidR="00262D52" w:rsidRDefault="00262D52" w:rsidP="00262D52">
      <w:pPr>
        <w:tabs>
          <w:tab w:val="left" w:pos="709"/>
        </w:tabs>
        <w:snapToGrid w:val="0"/>
        <w:rPr>
          <w:rFonts w:asciiTheme="minorHAnsi" w:hAnsiTheme="minorHAnsi" w:cstheme="minorHAnsi"/>
        </w:rPr>
      </w:pPr>
      <w:r w:rsidRPr="00C95C22">
        <w:rPr>
          <w:rFonts w:asciiTheme="minorHAnsi" w:hAnsiTheme="minorHAnsi" w:cstheme="minorHAnsi"/>
        </w:rPr>
        <w:t xml:space="preserve">ASP - Mr Daniel Caruso (Australia) </w:t>
      </w:r>
    </w:p>
    <w:p w14:paraId="5D357149" w14:textId="77777777" w:rsidR="00262D52" w:rsidRPr="00C95C22" w:rsidRDefault="00262D52" w:rsidP="00262D52">
      <w:pPr>
        <w:spacing w:line="259" w:lineRule="auto"/>
        <w:jc w:val="both"/>
        <w:rPr>
          <w:rFonts w:asciiTheme="minorHAnsi" w:hAnsiTheme="minorHAnsi" w:cstheme="minorHAnsi"/>
        </w:rPr>
      </w:pPr>
      <w:r w:rsidRPr="00986D41">
        <w:rPr>
          <w:rFonts w:asciiTheme="minorHAnsi" w:hAnsiTheme="minorHAnsi" w:cstheme="minorHAnsi"/>
        </w:rPr>
        <w:t xml:space="preserve">CIS - Mr Erzhan </w:t>
      </w:r>
      <w:proofErr w:type="spellStart"/>
      <w:r w:rsidRPr="00986D41">
        <w:rPr>
          <w:rFonts w:asciiTheme="minorHAnsi" w:hAnsiTheme="minorHAnsi" w:cstheme="minorHAnsi"/>
        </w:rPr>
        <w:t>Meiramov</w:t>
      </w:r>
      <w:proofErr w:type="spellEnd"/>
      <w:r w:rsidRPr="00986D41">
        <w:rPr>
          <w:rFonts w:asciiTheme="minorHAnsi" w:hAnsiTheme="minorHAnsi" w:cstheme="minorHAnsi"/>
        </w:rPr>
        <w:t xml:space="preserve"> (Kazakhstan)</w:t>
      </w:r>
    </w:p>
    <w:p w14:paraId="6647E42B" w14:textId="77777777" w:rsidR="00262D52" w:rsidRPr="00C95C22" w:rsidRDefault="00262D52" w:rsidP="00262D52">
      <w:pPr>
        <w:tabs>
          <w:tab w:val="left" w:pos="709"/>
        </w:tabs>
        <w:snapToGrid w:val="0"/>
        <w:rPr>
          <w:rFonts w:asciiTheme="minorHAnsi" w:hAnsiTheme="minorHAnsi" w:cstheme="minorHAnsi"/>
          <w:color w:val="000000"/>
          <w:lang w:eastAsia="en-AU"/>
        </w:rPr>
      </w:pPr>
      <w:r w:rsidRPr="00C95C22">
        <w:rPr>
          <w:rFonts w:asciiTheme="minorHAnsi" w:hAnsiTheme="minorHAnsi" w:cstheme="minorHAnsi"/>
        </w:rPr>
        <w:t xml:space="preserve">EUR - Mr Szabolcs </w:t>
      </w:r>
      <w:proofErr w:type="spellStart"/>
      <w:r w:rsidRPr="00C95C22">
        <w:rPr>
          <w:rFonts w:asciiTheme="minorHAnsi" w:hAnsiTheme="minorHAnsi" w:cstheme="minorHAnsi"/>
        </w:rPr>
        <w:t>Szentleleky</w:t>
      </w:r>
      <w:proofErr w:type="spellEnd"/>
      <w:r w:rsidRPr="00C95C22">
        <w:rPr>
          <w:rFonts w:asciiTheme="minorHAnsi" w:hAnsiTheme="minorHAnsi" w:cstheme="minorHAnsi"/>
        </w:rPr>
        <w:t xml:space="preserve"> (Hungary)</w:t>
      </w:r>
    </w:p>
    <w:p w14:paraId="6F093FFA" w14:textId="77777777" w:rsidR="00262D52" w:rsidRPr="00BD0203" w:rsidRDefault="00262D52" w:rsidP="00262D52">
      <w:pPr>
        <w:tabs>
          <w:tab w:val="left" w:pos="709"/>
        </w:tabs>
        <w:snapToGrid w:val="0"/>
        <w:rPr>
          <w:rFonts w:asciiTheme="minorHAnsi" w:hAnsiTheme="minorHAnsi" w:cstheme="minorHAnsi"/>
          <w:color w:val="000000"/>
          <w:lang w:eastAsia="en-AU"/>
        </w:rPr>
      </w:pPr>
    </w:p>
    <w:p w14:paraId="50E84B69" w14:textId="2E8225C5" w:rsidR="00262D52" w:rsidRPr="000F29EA" w:rsidRDefault="00262D52" w:rsidP="00296B9F">
      <w:pPr>
        <w:tabs>
          <w:tab w:val="clear" w:pos="567"/>
          <w:tab w:val="clear" w:pos="1134"/>
          <w:tab w:val="clear" w:pos="1701"/>
          <w:tab w:val="clear" w:pos="2268"/>
          <w:tab w:val="clear" w:pos="2835"/>
          <w:tab w:val="left" w:pos="709"/>
          <w:tab w:val="left" w:pos="851"/>
        </w:tabs>
        <w:snapToGrid w:val="0"/>
        <w:ind w:left="709" w:hanging="709"/>
        <w:rPr>
          <w:rFonts w:cs="Calibri"/>
          <w:b/>
          <w:bCs/>
          <w:u w:val="single"/>
          <w:lang w:val="en-AU" w:eastAsia="en-AU"/>
        </w:rPr>
      </w:pPr>
      <w:r w:rsidRPr="000F29EA">
        <w:rPr>
          <w:rFonts w:cs="Calibri"/>
          <w:b/>
          <w:bCs/>
          <w:lang w:val="en-CA" w:eastAsia="en-AU"/>
        </w:rPr>
        <w:t>1</w:t>
      </w:r>
      <w:r w:rsidRPr="000F29EA">
        <w:rPr>
          <w:rFonts w:cs="Calibri"/>
          <w:b/>
          <w:bCs/>
          <w:lang w:val="en-CA" w:eastAsia="en-AU"/>
        </w:rPr>
        <w:tab/>
        <w:t>Opening remarks and approval of the revised Agenda</w:t>
      </w:r>
      <w:r>
        <w:rPr>
          <w:rFonts w:cs="Calibri"/>
          <w:b/>
          <w:bCs/>
          <w:lang w:val="en-CA" w:eastAsia="en-AU"/>
        </w:rPr>
        <w:br/>
      </w:r>
      <w:r w:rsidRPr="000F29EA">
        <w:rPr>
          <w:rFonts w:cs="Calibri"/>
          <w:b/>
          <w:bCs/>
          <w:lang w:val="en-CA" w:eastAsia="en-AU"/>
        </w:rPr>
        <w:t>(</w:t>
      </w:r>
      <w:r w:rsidRPr="00C3495B">
        <w:rPr>
          <w:rFonts w:cs="Calibri"/>
          <w:b/>
          <w:bCs/>
          <w:lang w:val="en-AU"/>
        </w:rPr>
        <w:t xml:space="preserve">Document </w:t>
      </w:r>
      <w:hyperlink r:id="rId8" w:history="1">
        <w:r w:rsidRPr="00297E3C">
          <w:rPr>
            <w:rStyle w:val="Hyperlink"/>
            <w:rFonts w:cs="Calibri"/>
            <w:b/>
            <w:bCs/>
            <w:lang w:val="en-AU"/>
          </w:rPr>
          <w:t>CWG-FHR-1</w:t>
        </w:r>
        <w:r>
          <w:rPr>
            <w:rStyle w:val="Hyperlink"/>
            <w:rFonts w:cs="Calibri"/>
            <w:b/>
            <w:bCs/>
            <w:lang w:val="en-AU"/>
          </w:rPr>
          <w:t>9</w:t>
        </w:r>
        <w:r w:rsidRPr="00297E3C">
          <w:rPr>
            <w:rStyle w:val="Hyperlink"/>
            <w:rFonts w:cs="Calibri"/>
            <w:b/>
            <w:bCs/>
            <w:lang w:val="en-AU"/>
          </w:rPr>
          <w:t xml:space="preserve">/1 </w:t>
        </w:r>
        <w:r>
          <w:rPr>
            <w:rStyle w:val="Hyperlink"/>
            <w:rFonts w:cs="Calibri"/>
            <w:b/>
            <w:bCs/>
            <w:lang w:val="en-AU"/>
          </w:rPr>
          <w:t>(R</w:t>
        </w:r>
        <w:r w:rsidRPr="00297E3C">
          <w:rPr>
            <w:rStyle w:val="Hyperlink"/>
            <w:rFonts w:cs="Calibri"/>
            <w:b/>
            <w:bCs/>
            <w:lang w:val="en-AU"/>
          </w:rPr>
          <w:t>ev.</w:t>
        </w:r>
        <w:r w:rsidR="000B590D">
          <w:rPr>
            <w:rStyle w:val="Hyperlink"/>
            <w:rFonts w:cs="Calibri"/>
            <w:b/>
            <w:bCs/>
            <w:lang w:val="en-AU"/>
          </w:rPr>
          <w:t>4</w:t>
        </w:r>
      </w:hyperlink>
      <w:r>
        <w:rPr>
          <w:rStyle w:val="Hyperlink"/>
          <w:rFonts w:cs="Calibri"/>
          <w:b/>
          <w:bCs/>
          <w:lang w:val="en-AU"/>
        </w:rPr>
        <w:t>)</w:t>
      </w:r>
      <w:r>
        <w:rPr>
          <w:rFonts w:cs="Calibri"/>
          <w:b/>
          <w:bCs/>
          <w:lang w:val="en-AU"/>
        </w:rPr>
        <w:t>)</w:t>
      </w:r>
    </w:p>
    <w:p w14:paraId="7AA1E311" w14:textId="77777777" w:rsidR="00262D52" w:rsidRPr="000F29EA" w:rsidRDefault="00262D52" w:rsidP="00262D52">
      <w:pPr>
        <w:tabs>
          <w:tab w:val="clear" w:pos="567"/>
          <w:tab w:val="clear" w:pos="1134"/>
          <w:tab w:val="clear" w:pos="1701"/>
          <w:tab w:val="clear" w:pos="2268"/>
          <w:tab w:val="clear" w:pos="2835"/>
          <w:tab w:val="left" w:pos="709"/>
        </w:tabs>
        <w:snapToGrid w:val="0"/>
        <w:spacing w:before="0"/>
        <w:ind w:right="57"/>
        <w:jc w:val="both"/>
        <w:rPr>
          <w:rFonts w:cs="Calibri"/>
          <w:b/>
          <w:bCs/>
          <w:lang w:val="en-AU"/>
        </w:rPr>
      </w:pPr>
    </w:p>
    <w:p w14:paraId="2F9100E8" w14:textId="77777777" w:rsidR="00262D52" w:rsidRPr="000B590D" w:rsidRDefault="00262D52" w:rsidP="00262D52">
      <w:pPr>
        <w:tabs>
          <w:tab w:val="clear" w:pos="567"/>
          <w:tab w:val="clear" w:pos="1134"/>
          <w:tab w:val="clear" w:pos="1701"/>
          <w:tab w:val="clear" w:pos="2268"/>
          <w:tab w:val="clear" w:pos="2835"/>
          <w:tab w:val="left" w:pos="709"/>
        </w:tabs>
        <w:snapToGrid w:val="0"/>
        <w:spacing w:before="0"/>
        <w:ind w:right="57"/>
        <w:jc w:val="both"/>
        <w:rPr>
          <w:rFonts w:cs="Calibri"/>
          <w:b/>
          <w:bCs/>
        </w:rPr>
      </w:pPr>
      <w:r w:rsidRPr="000F29EA">
        <w:rPr>
          <w:rFonts w:cs="Calibri"/>
          <w:b/>
          <w:bCs/>
        </w:rPr>
        <w:tab/>
      </w:r>
      <w:r w:rsidRPr="000B590D">
        <w:rPr>
          <w:rFonts w:cs="Calibri"/>
          <w:b/>
          <w:bCs/>
        </w:rPr>
        <w:t>Opening remarks by the Chair</w:t>
      </w:r>
    </w:p>
    <w:p w14:paraId="68DC9653" w14:textId="77777777" w:rsidR="00262D52" w:rsidRPr="000B590D" w:rsidRDefault="00262D52" w:rsidP="00262D52">
      <w:pPr>
        <w:tabs>
          <w:tab w:val="clear" w:pos="567"/>
          <w:tab w:val="clear" w:pos="1134"/>
          <w:tab w:val="clear" w:pos="1701"/>
          <w:tab w:val="clear" w:pos="2268"/>
          <w:tab w:val="clear" w:pos="2835"/>
          <w:tab w:val="left" w:pos="709"/>
        </w:tabs>
        <w:snapToGrid w:val="0"/>
        <w:spacing w:before="0"/>
        <w:outlineLvl w:val="0"/>
        <w:rPr>
          <w:rFonts w:cs="Calibri"/>
          <w:color w:val="000000"/>
          <w:lang w:val="en-CA"/>
        </w:rPr>
      </w:pPr>
    </w:p>
    <w:p w14:paraId="717FEA61" w14:textId="77777777" w:rsidR="00262D52" w:rsidRPr="002261DA" w:rsidRDefault="00262D52" w:rsidP="00262D52">
      <w:pPr>
        <w:pStyle w:val="ListParagraph"/>
        <w:tabs>
          <w:tab w:val="left" w:pos="709"/>
        </w:tabs>
        <w:overflowPunct w:val="0"/>
        <w:autoSpaceDE w:val="0"/>
        <w:autoSpaceDN w:val="0"/>
        <w:adjustRightInd w:val="0"/>
        <w:snapToGrid w:val="0"/>
        <w:ind w:left="0"/>
        <w:contextualSpacing w:val="0"/>
        <w:jc w:val="left"/>
        <w:textAlignment w:val="baseline"/>
        <w:outlineLvl w:val="0"/>
        <w:rPr>
          <w:rFonts w:ascii="Calibri" w:hAnsi="Calibri" w:cs="Calibri"/>
          <w:sz w:val="24"/>
        </w:rPr>
      </w:pPr>
      <w:r w:rsidRPr="002261DA">
        <w:rPr>
          <w:rFonts w:ascii="Calibri" w:hAnsi="Calibri" w:cs="Calibri"/>
          <w:sz w:val="24"/>
        </w:rPr>
        <w:t>1.1</w:t>
      </w:r>
      <w:r w:rsidRPr="002261DA">
        <w:rPr>
          <w:rFonts w:ascii="Calibri" w:hAnsi="Calibri" w:cs="Calibri"/>
          <w:sz w:val="24"/>
        </w:rPr>
        <w:tab/>
        <w:t xml:space="preserve">The Chair, </w:t>
      </w:r>
      <w:bookmarkStart w:id="8" w:name="_Hlk62546548"/>
      <w:r w:rsidRPr="002261DA">
        <w:rPr>
          <w:rFonts w:ascii="Calibri" w:hAnsi="Calibri" w:cs="Calibri"/>
          <w:sz w:val="24"/>
        </w:rPr>
        <w:t>Ms. Vernita D. Harris</w:t>
      </w:r>
      <w:bookmarkEnd w:id="8"/>
      <w:r w:rsidRPr="002261DA">
        <w:rPr>
          <w:rFonts w:ascii="Calibri" w:hAnsi="Calibri" w:cs="Calibri"/>
          <w:sz w:val="24"/>
        </w:rPr>
        <w:t xml:space="preserve"> (United States of America) welcomed delegates.</w:t>
      </w:r>
    </w:p>
    <w:p w14:paraId="534F9195" w14:textId="77777777" w:rsidR="00262D52" w:rsidRPr="002261DA" w:rsidRDefault="00262D52" w:rsidP="00262D52">
      <w:pPr>
        <w:pStyle w:val="ListParagraph"/>
        <w:tabs>
          <w:tab w:val="left" w:pos="709"/>
        </w:tabs>
        <w:overflowPunct w:val="0"/>
        <w:autoSpaceDE w:val="0"/>
        <w:autoSpaceDN w:val="0"/>
        <w:adjustRightInd w:val="0"/>
        <w:snapToGrid w:val="0"/>
        <w:ind w:left="0"/>
        <w:contextualSpacing w:val="0"/>
        <w:jc w:val="left"/>
        <w:textAlignment w:val="baseline"/>
        <w:outlineLvl w:val="0"/>
        <w:rPr>
          <w:rFonts w:ascii="Calibri" w:hAnsi="Calibri" w:cs="Calibri"/>
          <w:sz w:val="24"/>
          <w:highlight w:val="yellow"/>
        </w:rPr>
      </w:pPr>
    </w:p>
    <w:p w14:paraId="5CA3F000" w14:textId="080E72C4" w:rsidR="00B53331" w:rsidRPr="002261DA" w:rsidRDefault="00262D52" w:rsidP="00B53331">
      <w:pPr>
        <w:tabs>
          <w:tab w:val="left" w:pos="709"/>
        </w:tabs>
        <w:snapToGrid w:val="0"/>
        <w:spacing w:before="0"/>
        <w:outlineLvl w:val="0"/>
        <w:rPr>
          <w:rFonts w:asciiTheme="minorHAnsi" w:hAnsiTheme="minorHAnsi" w:cstheme="minorHAnsi"/>
        </w:rPr>
      </w:pPr>
      <w:r w:rsidRPr="002261DA">
        <w:rPr>
          <w:rFonts w:asciiTheme="minorHAnsi" w:hAnsiTheme="minorHAnsi" w:cstheme="minorHAnsi"/>
        </w:rPr>
        <w:t>1.2</w:t>
      </w:r>
      <w:r w:rsidRPr="002261DA">
        <w:rPr>
          <w:rFonts w:asciiTheme="minorHAnsi" w:hAnsiTheme="minorHAnsi" w:cstheme="minorHAnsi"/>
        </w:rPr>
        <w:tab/>
      </w:r>
      <w:r w:rsidR="00B76917" w:rsidRPr="002261DA">
        <w:rPr>
          <w:rFonts w:asciiTheme="minorHAnsi" w:hAnsiTheme="minorHAnsi" w:cstheme="minorHAnsi"/>
        </w:rPr>
        <w:tab/>
        <w:t xml:space="preserve">Modification to the agenda was requested to reflect a </w:t>
      </w:r>
      <w:r w:rsidR="00B53331" w:rsidRPr="002261DA">
        <w:rPr>
          <w:rFonts w:asciiTheme="minorHAnsi" w:hAnsiTheme="minorHAnsi" w:cstheme="minorHAnsi"/>
        </w:rPr>
        <w:t xml:space="preserve">contribution by the </w:t>
      </w:r>
      <w:r w:rsidR="00556BBF" w:rsidRPr="002261DA">
        <w:rPr>
          <w:rFonts w:asciiTheme="minorHAnsi" w:hAnsiTheme="minorHAnsi" w:cstheme="minorHAnsi"/>
        </w:rPr>
        <w:t>RCC</w:t>
      </w:r>
      <w:r w:rsidR="00B53331" w:rsidRPr="002261DA">
        <w:rPr>
          <w:rFonts w:asciiTheme="minorHAnsi" w:hAnsiTheme="minorHAnsi" w:cstheme="minorHAnsi"/>
        </w:rPr>
        <w:t>: Comments on the revision of the implementation of the roadmap to improving the ITU website</w:t>
      </w:r>
      <w:r w:rsidR="003F541C" w:rsidRPr="002261DA">
        <w:rPr>
          <w:rFonts w:asciiTheme="minorHAnsi" w:hAnsiTheme="minorHAnsi" w:cstheme="minorHAnsi"/>
        </w:rPr>
        <w:t xml:space="preserve"> (CWG-FHR-19/11)</w:t>
      </w:r>
      <w:r w:rsidR="001A1097" w:rsidRPr="002261DA">
        <w:rPr>
          <w:rFonts w:asciiTheme="minorHAnsi" w:hAnsiTheme="minorHAnsi" w:cstheme="minorHAnsi"/>
        </w:rPr>
        <w:t xml:space="preserve"> </w:t>
      </w:r>
      <w:r w:rsidR="00597589" w:rsidRPr="002261DA">
        <w:rPr>
          <w:rFonts w:asciiTheme="minorHAnsi" w:hAnsiTheme="minorHAnsi" w:cstheme="minorHAnsi"/>
        </w:rPr>
        <w:t xml:space="preserve">under Agenda item 11 </w:t>
      </w:r>
      <w:r w:rsidR="00545222" w:rsidRPr="002261DA">
        <w:rPr>
          <w:rFonts w:asciiTheme="minorHAnsi" w:hAnsiTheme="minorHAnsi" w:cstheme="minorHAnsi"/>
        </w:rPr>
        <w:t>(</w:t>
      </w:r>
      <w:r w:rsidR="00B53331" w:rsidRPr="002261DA">
        <w:rPr>
          <w:rFonts w:asciiTheme="minorHAnsi" w:hAnsiTheme="minorHAnsi" w:cstheme="minorHAnsi"/>
        </w:rPr>
        <w:t>CWG-FHR-19/7</w:t>
      </w:r>
      <w:r w:rsidR="00545222" w:rsidRPr="002261DA">
        <w:rPr>
          <w:rFonts w:asciiTheme="minorHAnsi" w:hAnsiTheme="minorHAnsi" w:cstheme="minorHAnsi"/>
        </w:rPr>
        <w:t>).</w:t>
      </w:r>
    </w:p>
    <w:p w14:paraId="414BFC37" w14:textId="77777777" w:rsidR="00B76917" w:rsidRPr="002261DA" w:rsidRDefault="00B76917" w:rsidP="00262D52">
      <w:pPr>
        <w:tabs>
          <w:tab w:val="left" w:pos="709"/>
        </w:tabs>
        <w:snapToGrid w:val="0"/>
        <w:spacing w:before="0"/>
        <w:outlineLvl w:val="0"/>
        <w:rPr>
          <w:rFonts w:asciiTheme="minorHAnsi" w:hAnsiTheme="minorHAnsi" w:cstheme="minorHAnsi"/>
        </w:rPr>
      </w:pPr>
    </w:p>
    <w:p w14:paraId="2E90F532" w14:textId="744BE54B" w:rsidR="00262D52" w:rsidRPr="002261DA" w:rsidRDefault="00B76917" w:rsidP="00262D52">
      <w:pPr>
        <w:tabs>
          <w:tab w:val="left" w:pos="709"/>
        </w:tabs>
        <w:snapToGrid w:val="0"/>
        <w:spacing w:before="0"/>
        <w:outlineLvl w:val="0"/>
        <w:rPr>
          <w:rFonts w:cs="Calibri"/>
        </w:rPr>
      </w:pPr>
      <w:r>
        <w:rPr>
          <w:rFonts w:asciiTheme="minorHAnsi" w:hAnsiTheme="minorHAnsi" w:cstheme="minorHAnsi"/>
        </w:rPr>
        <w:t xml:space="preserve">1.3 </w:t>
      </w:r>
      <w:r>
        <w:rPr>
          <w:rFonts w:asciiTheme="minorHAnsi" w:hAnsiTheme="minorHAnsi" w:cstheme="minorHAnsi"/>
        </w:rPr>
        <w:tab/>
      </w:r>
      <w:r>
        <w:rPr>
          <w:rFonts w:asciiTheme="minorHAnsi" w:hAnsiTheme="minorHAnsi" w:cstheme="minorHAnsi"/>
        </w:rPr>
        <w:tab/>
      </w:r>
      <w:r w:rsidR="00262D52" w:rsidRPr="000B590D">
        <w:rPr>
          <w:rFonts w:asciiTheme="minorHAnsi" w:hAnsiTheme="minorHAnsi" w:cstheme="minorHAnsi"/>
        </w:rPr>
        <w:t>Expressing no further objections to the agenda, t</w:t>
      </w:r>
      <w:r w:rsidR="00262D52" w:rsidRPr="000B590D">
        <w:rPr>
          <w:rFonts w:cs="Calibri"/>
        </w:rPr>
        <w:t>he revised Agenda</w:t>
      </w:r>
      <w:r>
        <w:rPr>
          <w:rFonts w:cs="Calibri"/>
        </w:rPr>
        <w:t xml:space="preserve"> </w:t>
      </w:r>
      <w:r w:rsidR="00262D52" w:rsidRPr="000B590D">
        <w:rPr>
          <w:rFonts w:cs="Calibri"/>
        </w:rPr>
        <w:t>(CWG-FHR 19/1 (Rev. </w:t>
      </w:r>
      <w:r w:rsidR="00976A35">
        <w:rPr>
          <w:rFonts w:cs="Calibri"/>
        </w:rPr>
        <w:t>4</w:t>
      </w:r>
      <w:r w:rsidR="00262D52" w:rsidRPr="000B590D">
        <w:rPr>
          <w:rFonts w:cs="Calibri"/>
        </w:rPr>
        <w:t>)) was approved.</w:t>
      </w:r>
    </w:p>
    <w:p w14:paraId="0A1B4081" w14:textId="77777777" w:rsidR="00262D52" w:rsidRPr="00D64556" w:rsidRDefault="00262D52" w:rsidP="00296B9F">
      <w:pPr>
        <w:tabs>
          <w:tab w:val="clear" w:pos="567"/>
          <w:tab w:val="clear" w:pos="1134"/>
          <w:tab w:val="clear" w:pos="1701"/>
          <w:tab w:val="clear" w:pos="2268"/>
          <w:tab w:val="clear" w:pos="2835"/>
          <w:tab w:val="left" w:pos="709"/>
        </w:tabs>
        <w:snapToGrid w:val="0"/>
        <w:spacing w:before="0"/>
        <w:outlineLvl w:val="0"/>
        <w:rPr>
          <w:rFonts w:cs="Calibri"/>
          <w:highlight w:val="yellow"/>
        </w:rPr>
      </w:pPr>
    </w:p>
    <w:p w14:paraId="52865753" w14:textId="77777777" w:rsidR="00262D52" w:rsidRPr="0094381E" w:rsidRDefault="00262D52" w:rsidP="00296B9F">
      <w:pPr>
        <w:tabs>
          <w:tab w:val="clear" w:pos="567"/>
          <w:tab w:val="clear" w:pos="1134"/>
          <w:tab w:val="clear" w:pos="1701"/>
          <w:tab w:val="clear" w:pos="2268"/>
          <w:tab w:val="clear" w:pos="2835"/>
          <w:tab w:val="left" w:pos="709"/>
        </w:tabs>
        <w:snapToGrid w:val="0"/>
        <w:spacing w:before="0"/>
        <w:outlineLvl w:val="0"/>
        <w:rPr>
          <w:rFonts w:cs="Calibri"/>
          <w:b/>
          <w:bCs/>
        </w:rPr>
      </w:pPr>
      <w:bookmarkStart w:id="9" w:name="_Hlk179789530"/>
      <w:r w:rsidRPr="0094381E">
        <w:rPr>
          <w:rFonts w:cs="Calibri"/>
        </w:rPr>
        <w:tab/>
      </w:r>
      <w:r w:rsidRPr="0094381E">
        <w:rPr>
          <w:rFonts w:cs="Calibri"/>
          <w:b/>
          <w:bCs/>
        </w:rPr>
        <w:t>Welcome remarks by the Secretary-General</w:t>
      </w:r>
    </w:p>
    <w:bookmarkEnd w:id="9"/>
    <w:p w14:paraId="06D0E96A" w14:textId="77777777" w:rsidR="00262D52" w:rsidRPr="00D64556" w:rsidRDefault="00262D52" w:rsidP="00262D52">
      <w:pPr>
        <w:tabs>
          <w:tab w:val="clear" w:pos="567"/>
          <w:tab w:val="clear" w:pos="1134"/>
          <w:tab w:val="clear" w:pos="1701"/>
          <w:tab w:val="clear" w:pos="2268"/>
          <w:tab w:val="clear" w:pos="2835"/>
          <w:tab w:val="left" w:pos="709"/>
        </w:tabs>
        <w:snapToGrid w:val="0"/>
        <w:spacing w:before="0"/>
        <w:outlineLvl w:val="0"/>
        <w:rPr>
          <w:rFonts w:cs="Calibri"/>
          <w:highlight w:val="yellow"/>
        </w:rPr>
      </w:pPr>
    </w:p>
    <w:p w14:paraId="24615DD1" w14:textId="7032CE42" w:rsidR="000B590D" w:rsidRPr="000B590D" w:rsidRDefault="00262D52" w:rsidP="000B590D">
      <w:pPr>
        <w:tabs>
          <w:tab w:val="clear" w:pos="567"/>
          <w:tab w:val="clear" w:pos="1134"/>
          <w:tab w:val="clear" w:pos="1701"/>
          <w:tab w:val="clear" w:pos="2268"/>
          <w:tab w:val="clear" w:pos="2835"/>
          <w:tab w:val="left" w:pos="709"/>
        </w:tabs>
        <w:spacing w:before="0"/>
        <w:rPr>
          <w:rFonts w:cs="Calibri"/>
        </w:rPr>
      </w:pPr>
      <w:r w:rsidRPr="000B590D">
        <w:rPr>
          <w:rFonts w:cs="Calibri"/>
        </w:rPr>
        <w:t>1.</w:t>
      </w:r>
      <w:r w:rsidR="002261DA">
        <w:rPr>
          <w:rFonts w:cs="Calibri"/>
        </w:rPr>
        <w:t>4</w:t>
      </w:r>
      <w:r w:rsidR="000B590D" w:rsidRPr="000B590D">
        <w:rPr>
          <w:rFonts w:cs="Calibri"/>
        </w:rPr>
        <w:tab/>
        <w:t xml:space="preserve">The ITU Secretary-General, Ms Doreen Bogdan-Martin, addressed the Council Working Group on Financial and Human Resources (CWG-FHR) and welcomed the delegates on behalf of all the Elected Officials. The Secretary-General highlighted the </w:t>
      </w:r>
      <w:r w:rsidR="000B590D" w:rsidRPr="000B590D">
        <w:rPr>
          <w:rFonts w:cs="Calibri"/>
        </w:rPr>
        <w:lastRenderedPageBreak/>
        <w:t>organization</w:t>
      </w:r>
      <w:r w:rsidR="001968A7">
        <w:rPr>
          <w:rFonts w:cs="Calibri"/>
        </w:rPr>
        <w:t>’</w:t>
      </w:r>
      <w:r w:rsidR="000B590D" w:rsidRPr="000B590D">
        <w:rPr>
          <w:rFonts w:cs="Calibri"/>
        </w:rPr>
        <w:t xml:space="preserve">s recent work on topics related to the CWG-FHR, achievements and ongoing initiatives. She highlighted key issues such as financial management, budgetary and human resources issues, the transformation initiative, and the New </w:t>
      </w:r>
      <w:proofErr w:type="spellStart"/>
      <w:r w:rsidR="000B590D" w:rsidRPr="000B590D">
        <w:rPr>
          <w:rFonts w:cs="Calibri"/>
        </w:rPr>
        <w:t>Varembé</w:t>
      </w:r>
      <w:proofErr w:type="spellEnd"/>
      <w:r w:rsidR="000B590D" w:rsidRPr="000B590D">
        <w:rPr>
          <w:rFonts w:cs="Calibri"/>
        </w:rPr>
        <w:t xml:space="preserve"> building project, as well as key appointments, including the new Chiefs for the Transformation Team and the Oversight Unit. She also underscored the importance of improving internal governance, accountability, and efficiency, as well as efforts related to staff wellbeing and fostering a positive working environment in the organization. The Secretary-General concluded by thanking the Chair and wishing the delegates a productive meeting.</w:t>
      </w:r>
    </w:p>
    <w:p w14:paraId="671FE7A2" w14:textId="77777777" w:rsidR="00262D52" w:rsidRPr="000C5DFF" w:rsidRDefault="00262D52" w:rsidP="00296B9F">
      <w:pPr>
        <w:tabs>
          <w:tab w:val="clear" w:pos="567"/>
          <w:tab w:val="clear" w:pos="1134"/>
          <w:tab w:val="clear" w:pos="1701"/>
          <w:tab w:val="clear" w:pos="2268"/>
          <w:tab w:val="clear" w:pos="2835"/>
          <w:tab w:val="left" w:pos="709"/>
        </w:tabs>
        <w:spacing w:before="0"/>
        <w:rPr>
          <w:rFonts w:cs="Calibri"/>
          <w:szCs w:val="24"/>
          <w:lang w:val="es-ES"/>
        </w:rPr>
      </w:pPr>
    </w:p>
    <w:p w14:paraId="18B5EDA6" w14:textId="0EB13C9F" w:rsidR="00262D52" w:rsidRDefault="00976C7B" w:rsidP="00296B9F">
      <w:pPr>
        <w:tabs>
          <w:tab w:val="clear" w:pos="567"/>
          <w:tab w:val="clear" w:pos="1134"/>
          <w:tab w:val="clear" w:pos="1701"/>
          <w:tab w:val="clear" w:pos="2268"/>
          <w:tab w:val="clear" w:pos="2835"/>
          <w:tab w:val="left" w:pos="709"/>
        </w:tabs>
        <w:spacing w:before="0"/>
        <w:rPr>
          <w:rFonts w:cs="Calibri"/>
          <w:b/>
          <w:bCs/>
          <w:szCs w:val="24"/>
          <w:lang w:val="es-ES"/>
        </w:rPr>
      </w:pPr>
      <w:r>
        <w:rPr>
          <w:rFonts w:cs="Calibri"/>
          <w:b/>
          <w:bCs/>
          <w:szCs w:val="24"/>
          <w:lang w:val="es-ES"/>
        </w:rPr>
        <w:t>2</w:t>
      </w:r>
      <w:r>
        <w:rPr>
          <w:rFonts w:cs="Calibri"/>
          <w:b/>
          <w:bCs/>
          <w:szCs w:val="24"/>
          <w:lang w:val="es-ES"/>
        </w:rPr>
        <w:tab/>
      </w:r>
      <w:proofErr w:type="spellStart"/>
      <w:r>
        <w:rPr>
          <w:rFonts w:cs="Calibri"/>
          <w:b/>
          <w:bCs/>
          <w:szCs w:val="24"/>
          <w:lang w:val="es-ES"/>
        </w:rPr>
        <w:t>Statement</w:t>
      </w:r>
      <w:proofErr w:type="spellEnd"/>
      <w:r>
        <w:rPr>
          <w:rFonts w:cs="Calibri"/>
          <w:b/>
          <w:bCs/>
          <w:szCs w:val="24"/>
          <w:lang w:val="es-ES"/>
        </w:rPr>
        <w:t xml:space="preserve"> </w:t>
      </w:r>
      <w:proofErr w:type="spellStart"/>
      <w:r>
        <w:rPr>
          <w:rFonts w:cs="Calibri"/>
          <w:b/>
          <w:bCs/>
          <w:szCs w:val="24"/>
          <w:lang w:val="es-ES"/>
        </w:rPr>
        <w:t>by</w:t>
      </w:r>
      <w:proofErr w:type="spellEnd"/>
      <w:r>
        <w:rPr>
          <w:rFonts w:cs="Calibri"/>
          <w:b/>
          <w:bCs/>
          <w:szCs w:val="24"/>
          <w:lang w:val="es-ES"/>
        </w:rPr>
        <w:t xml:space="preserve"> the Staff Council</w:t>
      </w:r>
    </w:p>
    <w:p w14:paraId="0912C5C2" w14:textId="77777777" w:rsidR="00976C7B" w:rsidRDefault="00976C7B" w:rsidP="00296B9F">
      <w:pPr>
        <w:tabs>
          <w:tab w:val="clear" w:pos="567"/>
          <w:tab w:val="clear" w:pos="1134"/>
          <w:tab w:val="clear" w:pos="1701"/>
          <w:tab w:val="clear" w:pos="2268"/>
          <w:tab w:val="clear" w:pos="2835"/>
          <w:tab w:val="left" w:pos="709"/>
        </w:tabs>
        <w:spacing w:before="0"/>
        <w:rPr>
          <w:rFonts w:cs="Calibri"/>
          <w:b/>
          <w:bCs/>
          <w:szCs w:val="24"/>
          <w:lang w:val="es-ES"/>
        </w:rPr>
      </w:pPr>
    </w:p>
    <w:p w14:paraId="1248E8AE" w14:textId="6E612055" w:rsidR="00976C7B" w:rsidRPr="00FA58EB" w:rsidRDefault="00976C7B" w:rsidP="006044EF">
      <w:pPr>
        <w:tabs>
          <w:tab w:val="clear" w:pos="567"/>
          <w:tab w:val="clear" w:pos="1134"/>
          <w:tab w:val="clear" w:pos="1701"/>
          <w:tab w:val="clear" w:pos="2268"/>
          <w:tab w:val="clear" w:pos="2835"/>
          <w:tab w:val="left" w:pos="709"/>
        </w:tabs>
        <w:spacing w:before="0"/>
        <w:rPr>
          <w:b/>
          <w:bCs/>
          <w:szCs w:val="24"/>
        </w:rPr>
      </w:pPr>
      <w:r w:rsidRPr="00FA58EB">
        <w:rPr>
          <w:rFonts w:cstheme="minorHAnsi"/>
        </w:rPr>
        <w:t>2.1</w:t>
      </w:r>
      <w:r w:rsidRPr="00FA58EB">
        <w:rPr>
          <w:rFonts w:cstheme="minorHAnsi"/>
        </w:rPr>
        <w:tab/>
        <w:t xml:space="preserve">The statement which is to be found in </w:t>
      </w:r>
      <w:r w:rsidR="0041131B">
        <w:rPr>
          <w:rFonts w:cstheme="minorHAnsi"/>
        </w:rPr>
        <w:t>D</w:t>
      </w:r>
      <w:r w:rsidRPr="00FA58EB">
        <w:rPr>
          <w:rFonts w:cstheme="minorHAnsi"/>
        </w:rPr>
        <w:t xml:space="preserve">ocument </w:t>
      </w:r>
      <w:hyperlink r:id="rId9" w:history="1">
        <w:r w:rsidRPr="00FA58EB">
          <w:rPr>
            <w:rStyle w:val="Hyperlink"/>
            <w:rFonts w:cstheme="minorHAnsi"/>
          </w:rPr>
          <w:t>CWG-FHR-1</w:t>
        </w:r>
        <w:r>
          <w:rPr>
            <w:rStyle w:val="Hyperlink"/>
            <w:rFonts w:cstheme="minorHAnsi"/>
          </w:rPr>
          <w:t>9</w:t>
        </w:r>
        <w:r w:rsidRPr="00FA58EB">
          <w:rPr>
            <w:rStyle w:val="Hyperlink"/>
            <w:rFonts w:cstheme="minorHAnsi"/>
          </w:rPr>
          <w:t>/INF-</w:t>
        </w:r>
        <w:r w:rsidR="00EB76FB">
          <w:rPr>
            <w:rStyle w:val="Hyperlink"/>
            <w:rFonts w:cstheme="minorHAnsi"/>
          </w:rPr>
          <w:t>3</w:t>
        </w:r>
      </w:hyperlink>
      <w:r w:rsidRPr="00FA58EB">
        <w:rPr>
          <w:rFonts w:cstheme="minorHAnsi"/>
        </w:rPr>
        <w:t xml:space="preserve"> was made by the Chair of the Staff Council, Mr. Onder Cetinkaya.</w:t>
      </w:r>
    </w:p>
    <w:p w14:paraId="2516E5CD" w14:textId="77777777" w:rsidR="00976C7B" w:rsidRDefault="00976C7B" w:rsidP="00296B9F">
      <w:pPr>
        <w:tabs>
          <w:tab w:val="clear" w:pos="567"/>
          <w:tab w:val="clear" w:pos="1134"/>
          <w:tab w:val="clear" w:pos="1701"/>
          <w:tab w:val="clear" w:pos="2268"/>
          <w:tab w:val="clear" w:pos="2835"/>
          <w:tab w:val="left" w:pos="709"/>
        </w:tabs>
        <w:spacing w:before="0"/>
        <w:rPr>
          <w:rFonts w:cs="Calibri"/>
          <w:b/>
          <w:bCs/>
          <w:szCs w:val="24"/>
        </w:rPr>
      </w:pPr>
    </w:p>
    <w:p w14:paraId="68F63204" w14:textId="7F6F8ED3" w:rsidR="00296B9F" w:rsidRPr="006044EF" w:rsidRDefault="00296B9F" w:rsidP="001478FD">
      <w:pPr>
        <w:tabs>
          <w:tab w:val="clear" w:pos="567"/>
          <w:tab w:val="clear" w:pos="1134"/>
          <w:tab w:val="clear" w:pos="1701"/>
          <w:tab w:val="clear" w:pos="2268"/>
          <w:tab w:val="clear" w:pos="2835"/>
          <w:tab w:val="left" w:pos="709"/>
        </w:tabs>
        <w:spacing w:before="0"/>
        <w:ind w:left="709" w:hanging="709"/>
        <w:rPr>
          <w:rFonts w:cs="Calibri"/>
          <w:b/>
          <w:bCs/>
          <w:szCs w:val="24"/>
        </w:rPr>
      </w:pPr>
      <w:bookmarkStart w:id="10" w:name="_Hlk179967197"/>
      <w:bookmarkStart w:id="11" w:name="_Hlk179190549"/>
      <w:bookmarkStart w:id="12" w:name="_Hlk179789692"/>
      <w:r w:rsidRPr="001478FD">
        <w:rPr>
          <w:rFonts w:cs="Calibri"/>
          <w:b/>
          <w:bCs/>
          <w:szCs w:val="24"/>
        </w:rPr>
        <w:t>3</w:t>
      </w:r>
      <w:r w:rsidRPr="001478FD">
        <w:rPr>
          <w:rFonts w:cs="Calibri"/>
          <w:b/>
          <w:bCs/>
          <w:szCs w:val="24"/>
        </w:rPr>
        <w:tab/>
      </w:r>
      <w:r w:rsidRPr="001478FD">
        <w:rPr>
          <w:rFonts w:asciiTheme="minorHAnsi" w:hAnsiTheme="minorHAnsi" w:cstheme="minorHAnsi"/>
          <w:b/>
          <w:bCs/>
        </w:rPr>
        <w:t>Strengthening the regional presence (</w:t>
      </w:r>
      <w:r w:rsidR="0041131B" w:rsidRPr="001478FD">
        <w:rPr>
          <w:rFonts w:asciiTheme="minorHAnsi" w:hAnsiTheme="minorHAnsi" w:cstheme="minorHAnsi"/>
          <w:b/>
          <w:bCs/>
        </w:rPr>
        <w:t>Document</w:t>
      </w:r>
      <w:r w:rsidR="00256499" w:rsidRPr="001478FD">
        <w:rPr>
          <w:rFonts w:asciiTheme="minorHAnsi" w:hAnsiTheme="minorHAnsi" w:cstheme="minorHAnsi"/>
          <w:b/>
          <w:bCs/>
        </w:rPr>
        <w:t>s</w:t>
      </w:r>
      <w:r w:rsidR="0041131B" w:rsidRPr="001478FD">
        <w:rPr>
          <w:rFonts w:asciiTheme="minorHAnsi" w:hAnsiTheme="minorHAnsi" w:cstheme="minorHAnsi"/>
          <w:b/>
          <w:bCs/>
        </w:rPr>
        <w:t xml:space="preserve"> </w:t>
      </w:r>
      <w:hyperlink r:id="rId10" w:history="1">
        <w:r w:rsidRPr="00E6747B">
          <w:rPr>
            <w:rStyle w:val="Hyperlink"/>
            <w:rFonts w:asciiTheme="minorHAnsi" w:hAnsiTheme="minorHAnsi" w:cstheme="minorHAnsi"/>
            <w:b/>
            <w:szCs w:val="24"/>
          </w:rPr>
          <w:t>CWG-FHR-19/2</w:t>
        </w:r>
      </w:hyperlink>
      <w:r w:rsidR="00351B9C" w:rsidRPr="00E6747B">
        <w:rPr>
          <w:rStyle w:val="Hyperlink"/>
          <w:rFonts w:asciiTheme="minorHAnsi" w:hAnsiTheme="minorHAnsi" w:cstheme="minorHAnsi"/>
          <w:b/>
          <w:szCs w:val="24"/>
        </w:rPr>
        <w:t xml:space="preserve"> (Rev.1)</w:t>
      </w:r>
      <w:r w:rsidR="00256499" w:rsidRPr="00E6747B">
        <w:rPr>
          <w:rStyle w:val="Hyperlink"/>
          <w:rFonts w:asciiTheme="minorHAnsi" w:hAnsiTheme="minorHAnsi" w:cstheme="minorHAnsi"/>
          <w:b/>
          <w:szCs w:val="24"/>
        </w:rPr>
        <w:br/>
      </w:r>
      <w:r w:rsidR="00256499" w:rsidRPr="00E6747B">
        <w:rPr>
          <w:rStyle w:val="Hyperlink"/>
          <w:rFonts w:asciiTheme="minorHAnsi" w:hAnsiTheme="minorHAnsi" w:cstheme="minorHAnsi"/>
          <w:b/>
          <w:szCs w:val="24"/>
          <w:u w:val="none"/>
        </w:rPr>
        <w:t xml:space="preserve">and </w:t>
      </w:r>
      <w:hyperlink r:id="rId11" w:history="1">
        <w:r w:rsidR="00256499" w:rsidRPr="001478FD">
          <w:rPr>
            <w:rStyle w:val="Hyperlink"/>
            <w:b/>
            <w:bCs/>
          </w:rPr>
          <w:t>CWG-FHR-19/DT/1</w:t>
        </w:r>
      </w:hyperlink>
      <w:r w:rsidRPr="00E6747B">
        <w:rPr>
          <w:rStyle w:val="Hyperlink"/>
          <w:rFonts w:asciiTheme="minorHAnsi" w:hAnsiTheme="minorHAnsi" w:cstheme="minorHAnsi"/>
          <w:b/>
          <w:szCs w:val="24"/>
        </w:rPr>
        <w:t>)</w:t>
      </w:r>
      <w:r w:rsidR="001478FD" w:rsidRPr="00E6747B">
        <w:rPr>
          <w:rStyle w:val="Hyperlink"/>
          <w:rFonts w:asciiTheme="minorHAnsi" w:hAnsiTheme="minorHAnsi" w:cstheme="minorHAnsi"/>
          <w:b/>
          <w:color w:val="auto"/>
          <w:szCs w:val="24"/>
          <w:u w:val="none"/>
        </w:rPr>
        <w:t xml:space="preserve"> and </w:t>
      </w:r>
      <w:r w:rsidRPr="001478FD">
        <w:rPr>
          <w:rFonts w:cs="Calibri"/>
          <w:b/>
          <w:bCs/>
          <w:color w:val="000000"/>
          <w:shd w:val="clear" w:color="auto" w:fill="FFFFFF"/>
        </w:rPr>
        <w:t xml:space="preserve">Multi-country contribution: </w:t>
      </w:r>
      <w:r w:rsidRPr="001478FD">
        <w:rPr>
          <w:rFonts w:asciiTheme="minorHAnsi" w:hAnsiTheme="minorHAnsi" w:cstheme="minorHAnsi"/>
          <w:b/>
          <w:bCs/>
        </w:rPr>
        <w:t>Completion of review of the regional</w:t>
      </w:r>
      <w:r w:rsidR="001478FD">
        <w:rPr>
          <w:rFonts w:asciiTheme="minorHAnsi" w:hAnsiTheme="minorHAnsi" w:cstheme="minorHAnsi"/>
          <w:b/>
          <w:bCs/>
        </w:rPr>
        <w:t xml:space="preserve"> </w:t>
      </w:r>
      <w:r w:rsidRPr="001478FD">
        <w:rPr>
          <w:rFonts w:asciiTheme="minorHAnsi" w:hAnsiTheme="minorHAnsi" w:cstheme="minorHAnsi"/>
          <w:b/>
          <w:bCs/>
        </w:rPr>
        <w:t>presence (</w:t>
      </w:r>
      <w:r w:rsidR="0041131B" w:rsidRPr="001478FD">
        <w:rPr>
          <w:rFonts w:asciiTheme="minorHAnsi" w:hAnsiTheme="minorHAnsi" w:cstheme="minorHAnsi"/>
          <w:b/>
          <w:bCs/>
        </w:rPr>
        <w:t>Document</w:t>
      </w:r>
      <w:r w:rsidR="0041131B" w:rsidRPr="001478FD">
        <w:rPr>
          <w:b/>
          <w:bCs/>
        </w:rPr>
        <w:t xml:space="preserve"> </w:t>
      </w:r>
      <w:hyperlink r:id="rId12" w:history="1">
        <w:r w:rsidRPr="00E6747B">
          <w:rPr>
            <w:rStyle w:val="Hyperlink"/>
            <w:rFonts w:asciiTheme="minorHAnsi" w:hAnsiTheme="minorHAnsi" w:cstheme="minorHAnsi"/>
            <w:b/>
            <w:szCs w:val="24"/>
          </w:rPr>
          <w:t>CWG-FHR-19/14</w:t>
        </w:r>
      </w:hyperlink>
      <w:r w:rsidRPr="00E6747B">
        <w:rPr>
          <w:rStyle w:val="Hyperlink"/>
          <w:rFonts w:asciiTheme="minorHAnsi" w:hAnsiTheme="minorHAnsi" w:cstheme="minorHAnsi"/>
          <w:b/>
          <w:szCs w:val="24"/>
        </w:rPr>
        <w:t>)</w:t>
      </w:r>
    </w:p>
    <w:p w14:paraId="6DD5D7C5" w14:textId="2EC9F99A" w:rsidR="00296B9F" w:rsidRPr="001478FD" w:rsidRDefault="00296B9F" w:rsidP="001478FD">
      <w:pPr>
        <w:tabs>
          <w:tab w:val="clear" w:pos="567"/>
          <w:tab w:val="clear" w:pos="1134"/>
          <w:tab w:val="clear" w:pos="1701"/>
          <w:tab w:val="clear" w:pos="2268"/>
          <w:tab w:val="clear" w:pos="2835"/>
          <w:tab w:val="left" w:pos="709"/>
        </w:tabs>
        <w:spacing w:before="0"/>
        <w:rPr>
          <w:rFonts w:cs="Calibri"/>
          <w:b/>
          <w:bCs/>
          <w:szCs w:val="24"/>
        </w:rPr>
      </w:pPr>
    </w:p>
    <w:bookmarkEnd w:id="10"/>
    <w:p w14:paraId="5B594231" w14:textId="0B5FAEF4" w:rsidR="001478FD" w:rsidRPr="001478FD" w:rsidRDefault="001478FD" w:rsidP="00387098">
      <w:pPr>
        <w:tabs>
          <w:tab w:val="clear" w:pos="567"/>
          <w:tab w:val="left" w:pos="709"/>
        </w:tabs>
        <w:spacing w:before="0"/>
        <w:rPr>
          <w:rFonts w:cs="Calibri"/>
        </w:rPr>
      </w:pPr>
      <w:r w:rsidRPr="001478FD">
        <w:rPr>
          <w:rFonts w:cs="Calibri"/>
        </w:rPr>
        <w:t>3.1</w:t>
      </w:r>
      <w:r w:rsidRPr="001478FD">
        <w:rPr>
          <w:rFonts w:cs="Calibri"/>
        </w:rPr>
        <w:tab/>
        <w:t>The Deputy to the Director of BDT introduced Document CWG-FHR 19/2</w:t>
      </w:r>
      <w:r>
        <w:rPr>
          <w:rFonts w:cs="Calibri"/>
        </w:rPr>
        <w:t xml:space="preserve"> (Rev.1)</w:t>
      </w:r>
      <w:r w:rsidRPr="001478FD">
        <w:rPr>
          <w:rFonts w:cs="Calibri"/>
        </w:rPr>
        <w:t xml:space="preserve"> which informed the </w:t>
      </w:r>
      <w:r w:rsidRPr="001478FD">
        <w:rPr>
          <w:rFonts w:cs="Calibri"/>
          <w:spacing w:val="-2"/>
        </w:rPr>
        <w:t xml:space="preserve">Council </w:t>
      </w:r>
      <w:r w:rsidRPr="001478FD">
        <w:rPr>
          <w:rFonts w:cs="Calibri"/>
        </w:rPr>
        <w:t>Work</w:t>
      </w:r>
      <w:r>
        <w:rPr>
          <w:rFonts w:cs="Calibri"/>
        </w:rPr>
        <w:t>ing</w:t>
      </w:r>
      <w:r w:rsidRPr="001478FD">
        <w:rPr>
          <w:rFonts w:cs="Calibri"/>
        </w:rPr>
        <w:t xml:space="preserve"> Group </w:t>
      </w:r>
      <w:r>
        <w:rPr>
          <w:rFonts w:cs="Calibri"/>
        </w:rPr>
        <w:t xml:space="preserve">on </w:t>
      </w:r>
      <w:r w:rsidRPr="001478FD">
        <w:rPr>
          <w:rFonts w:cs="Calibri"/>
        </w:rPr>
        <w:t>the actions undertaken by BDT to strengthen ITU’s regional presence.</w:t>
      </w:r>
    </w:p>
    <w:p w14:paraId="0A4D481E" w14:textId="4B60F026" w:rsidR="001478FD" w:rsidRPr="001478FD" w:rsidRDefault="001478FD" w:rsidP="00387098">
      <w:pPr>
        <w:tabs>
          <w:tab w:val="clear" w:pos="567"/>
          <w:tab w:val="left" w:pos="709"/>
        </w:tabs>
        <w:rPr>
          <w:rFonts w:cs="Calibri"/>
          <w:szCs w:val="24"/>
          <w:lang w:val="en-US"/>
        </w:rPr>
      </w:pPr>
      <w:r w:rsidRPr="001478FD">
        <w:rPr>
          <w:rFonts w:cs="Calibri"/>
        </w:rPr>
        <w:t>3.2</w:t>
      </w:r>
      <w:r w:rsidRPr="001478FD">
        <w:rPr>
          <w:rFonts w:cs="Calibri"/>
        </w:rPr>
        <w:tab/>
        <w:t xml:space="preserve">The </w:t>
      </w:r>
      <w:r w:rsidR="00B1033B">
        <w:rPr>
          <w:rFonts w:cs="Calibri"/>
        </w:rPr>
        <w:t xml:space="preserve">delegate </w:t>
      </w:r>
      <w:r w:rsidRPr="001478FD">
        <w:rPr>
          <w:rFonts w:cs="Calibri"/>
        </w:rPr>
        <w:t>from Germany presented Document CWG-FHR 19/14, the multi-country contribution from the Europe</w:t>
      </w:r>
      <w:r w:rsidR="00B1033B">
        <w:rPr>
          <w:rFonts w:cs="Calibri"/>
        </w:rPr>
        <w:t xml:space="preserve">an </w:t>
      </w:r>
      <w:r w:rsidRPr="001478FD">
        <w:rPr>
          <w:rFonts w:cs="Calibri"/>
        </w:rPr>
        <w:t>region requesting the ITU Secretary</w:t>
      </w:r>
      <w:r w:rsidR="00B1033B">
        <w:rPr>
          <w:rFonts w:cs="Calibri"/>
        </w:rPr>
        <w:t>-</w:t>
      </w:r>
      <w:r w:rsidRPr="001478FD">
        <w:rPr>
          <w:rFonts w:cs="Calibri"/>
        </w:rPr>
        <w:t xml:space="preserve">General to </w:t>
      </w:r>
      <w:r w:rsidRPr="001478FD">
        <w:rPr>
          <w:rFonts w:eastAsia="Aptos" w:cs="Calibri"/>
          <w:kern w:val="2"/>
          <w:szCs w:val="24"/>
          <w14:ligatures w14:val="standardContextual"/>
        </w:rPr>
        <w:t>conduct a review of ITU’s regional presence</w:t>
      </w:r>
      <w:r w:rsidRPr="001478FD">
        <w:rPr>
          <w:rFonts w:cs="Calibri"/>
          <w:szCs w:val="24"/>
          <w:lang w:val="en-US"/>
        </w:rPr>
        <w:t xml:space="preserve"> and present at the next meeting of the CWG-FHR a detailed roadmap, including specific actions and a timeline for the review.</w:t>
      </w:r>
    </w:p>
    <w:p w14:paraId="51D4531B" w14:textId="1C8C8643" w:rsidR="001478FD" w:rsidRPr="001478FD" w:rsidRDefault="001478FD" w:rsidP="00387098">
      <w:pPr>
        <w:tabs>
          <w:tab w:val="clear" w:pos="567"/>
          <w:tab w:val="left" w:pos="709"/>
        </w:tabs>
        <w:rPr>
          <w:rFonts w:cs="Calibri"/>
        </w:rPr>
      </w:pPr>
      <w:r w:rsidRPr="001478FD">
        <w:rPr>
          <w:rFonts w:cs="Calibri"/>
          <w:szCs w:val="24"/>
          <w:lang w:val="en-US"/>
        </w:rPr>
        <w:t>3.3</w:t>
      </w:r>
      <w:r w:rsidR="00B1033B">
        <w:rPr>
          <w:rFonts w:cs="Calibri"/>
          <w:szCs w:val="24"/>
          <w:lang w:val="en-US"/>
        </w:rPr>
        <w:tab/>
      </w:r>
      <w:r w:rsidR="005C5803">
        <w:rPr>
          <w:rFonts w:cs="Calibri"/>
          <w:szCs w:val="24"/>
          <w:lang w:val="en-US"/>
        </w:rPr>
        <w:t xml:space="preserve">Several delegates </w:t>
      </w:r>
      <w:r w:rsidRPr="001478FD">
        <w:rPr>
          <w:rFonts w:cs="Calibri"/>
        </w:rPr>
        <w:t>expressing support for the multi</w:t>
      </w:r>
      <w:r w:rsidR="005C5803">
        <w:rPr>
          <w:rFonts w:cs="Calibri"/>
        </w:rPr>
        <w:t>-</w:t>
      </w:r>
      <w:r w:rsidRPr="001478FD">
        <w:rPr>
          <w:rFonts w:cs="Calibri"/>
        </w:rPr>
        <w:t xml:space="preserve">country contribution, echoed the need for a review including information on the work of the three sectors in the regions, a report on the regional offices expenditures, the measures undertaken so far to improve systems and administrative processes. </w:t>
      </w:r>
      <w:r w:rsidR="005C5803">
        <w:rPr>
          <w:rFonts w:cs="Calibri"/>
        </w:rPr>
        <w:t xml:space="preserve">One </w:t>
      </w:r>
      <w:r w:rsidRPr="001478FD">
        <w:rPr>
          <w:rFonts w:cs="Calibri"/>
        </w:rPr>
        <w:t>delegate requested that such report address the needs of SIDS.</w:t>
      </w:r>
    </w:p>
    <w:p w14:paraId="59851317" w14:textId="79C2346D" w:rsidR="001478FD" w:rsidRPr="001478FD" w:rsidRDefault="001478FD" w:rsidP="00387098">
      <w:pPr>
        <w:tabs>
          <w:tab w:val="clear" w:pos="567"/>
          <w:tab w:val="left" w:pos="709"/>
        </w:tabs>
        <w:rPr>
          <w:rFonts w:cs="Calibri"/>
        </w:rPr>
      </w:pPr>
      <w:r w:rsidRPr="001478FD">
        <w:rPr>
          <w:rFonts w:cs="Calibri"/>
        </w:rPr>
        <w:t>3.4</w:t>
      </w:r>
      <w:r w:rsidR="005C5803">
        <w:rPr>
          <w:rFonts w:cs="Calibri"/>
        </w:rPr>
        <w:tab/>
      </w:r>
      <w:r w:rsidRPr="001478FD">
        <w:rPr>
          <w:rFonts w:cs="Calibri"/>
        </w:rPr>
        <w:t xml:space="preserve">The Director of BDT responding to the comments from the floor, invited the meeting to note Document CWG-FHR 19/2 and the related regional presence dashboard which report the actions undertaken including the recent re-alignment by BDT comprising, among other, the creation of three P5 posts to support the effective and efficient implementation of projects through formulation, implementation and evaluation phases.  The Director of BDT also drew attention to the fact that </w:t>
      </w:r>
      <w:proofErr w:type="spellStart"/>
      <w:r w:rsidRPr="001478FD">
        <w:rPr>
          <w:rFonts w:cs="Calibri"/>
        </w:rPr>
        <w:t>PwCs</w:t>
      </w:r>
      <w:proofErr w:type="spellEnd"/>
      <w:r w:rsidRPr="001478FD">
        <w:rPr>
          <w:rFonts w:cs="Calibri"/>
        </w:rPr>
        <w:t xml:space="preserve"> recommendations as well as the internal, external and IMAC recommendations were almost fully implemented. </w:t>
      </w:r>
    </w:p>
    <w:p w14:paraId="613A42DA" w14:textId="1476783F" w:rsidR="001478FD" w:rsidRPr="001478FD" w:rsidRDefault="001478FD" w:rsidP="00387098">
      <w:pPr>
        <w:tabs>
          <w:tab w:val="clear" w:pos="567"/>
          <w:tab w:val="left" w:pos="709"/>
        </w:tabs>
        <w:rPr>
          <w:rFonts w:cs="Calibri"/>
        </w:rPr>
      </w:pPr>
      <w:r w:rsidRPr="001478FD">
        <w:rPr>
          <w:rFonts w:cs="Calibri"/>
        </w:rPr>
        <w:t>3.5</w:t>
      </w:r>
      <w:r w:rsidR="005C5803">
        <w:rPr>
          <w:rFonts w:cs="Calibri"/>
        </w:rPr>
        <w:tab/>
      </w:r>
      <w:r w:rsidRPr="001478FD">
        <w:rPr>
          <w:rFonts w:cs="Calibri"/>
        </w:rPr>
        <w:t xml:space="preserve">As a way forward, the Chair proposed that the CWG-FHR establishes an online correspondence Group to develop Terms of Reference for the secretariat to complete the review of regional presence under Resolution 25 (Rev. Bucharest, 2022) based on the contributions received from Members States and Sector Members, taking into account the Council </w:t>
      </w:r>
      <w:r w:rsidR="00DB3AD7">
        <w:rPr>
          <w:rFonts w:cs="Calibri"/>
        </w:rPr>
        <w:t>D</w:t>
      </w:r>
      <w:r w:rsidRPr="001478FD">
        <w:rPr>
          <w:rFonts w:cs="Calibri"/>
        </w:rPr>
        <w:t>ecision</w:t>
      </w:r>
      <w:r w:rsidR="005C5803">
        <w:rPr>
          <w:rFonts w:cs="Calibri"/>
        </w:rPr>
        <w:t>s</w:t>
      </w:r>
      <w:r w:rsidRPr="001478FD">
        <w:rPr>
          <w:rFonts w:cs="Calibri"/>
        </w:rPr>
        <w:t xml:space="preserve"> of 2023 and 2024</w:t>
      </w:r>
      <w:r w:rsidR="005C5803">
        <w:rPr>
          <w:rFonts w:cs="Calibri"/>
        </w:rPr>
        <w:t xml:space="preserve"> (see </w:t>
      </w:r>
      <w:hyperlink w:anchor="Annex_A" w:history="1">
        <w:r w:rsidR="005C5803" w:rsidRPr="00BC3C4A">
          <w:rPr>
            <w:rStyle w:val="Hyperlink"/>
            <w:rFonts w:cs="Calibri"/>
          </w:rPr>
          <w:t>Annex A</w:t>
        </w:r>
      </w:hyperlink>
      <w:r w:rsidR="005C5803">
        <w:rPr>
          <w:rFonts w:cs="Calibri"/>
        </w:rPr>
        <w:t xml:space="preserve"> to this document)</w:t>
      </w:r>
      <w:r w:rsidRPr="001478FD">
        <w:rPr>
          <w:rFonts w:cs="Calibri"/>
        </w:rPr>
        <w:t>.</w:t>
      </w:r>
    </w:p>
    <w:p w14:paraId="13239BCF" w14:textId="40AEA0FD" w:rsidR="001478FD" w:rsidRPr="001478FD" w:rsidRDefault="001478FD" w:rsidP="00387098">
      <w:pPr>
        <w:tabs>
          <w:tab w:val="clear" w:pos="567"/>
          <w:tab w:val="left" w:pos="709"/>
        </w:tabs>
        <w:rPr>
          <w:rFonts w:cs="Calibri"/>
        </w:rPr>
      </w:pPr>
      <w:r w:rsidRPr="001478FD">
        <w:rPr>
          <w:rFonts w:cs="Calibri"/>
        </w:rPr>
        <w:t>3.6.</w:t>
      </w:r>
      <w:r w:rsidR="005C5803">
        <w:rPr>
          <w:rFonts w:cs="Calibri"/>
        </w:rPr>
        <w:tab/>
      </w:r>
      <w:r w:rsidRPr="001478FD">
        <w:rPr>
          <w:rFonts w:cs="Calibri"/>
        </w:rPr>
        <w:t>So, it was agreed.  No Chair for the online corresponded group was appointed by the meeting</w:t>
      </w:r>
      <w:r w:rsidR="005C5803">
        <w:rPr>
          <w:rFonts w:cs="Calibri"/>
        </w:rPr>
        <w:t>.</w:t>
      </w:r>
    </w:p>
    <w:bookmarkEnd w:id="11"/>
    <w:p w14:paraId="07C0F0AF" w14:textId="1B34BC1F" w:rsidR="001478FD" w:rsidRDefault="001478FD">
      <w:pPr>
        <w:tabs>
          <w:tab w:val="clear" w:pos="567"/>
          <w:tab w:val="clear" w:pos="1134"/>
          <w:tab w:val="clear" w:pos="1701"/>
          <w:tab w:val="clear" w:pos="2268"/>
          <w:tab w:val="clear" w:pos="2835"/>
        </w:tabs>
        <w:overflowPunct/>
        <w:autoSpaceDE/>
        <w:autoSpaceDN/>
        <w:adjustRightInd/>
        <w:spacing w:before="0"/>
        <w:textAlignment w:val="auto"/>
        <w:rPr>
          <w:b/>
          <w:bCs/>
          <w:szCs w:val="24"/>
        </w:rPr>
      </w:pPr>
      <w:r>
        <w:rPr>
          <w:b/>
          <w:bCs/>
          <w:szCs w:val="24"/>
        </w:rPr>
        <w:br w:type="page"/>
      </w:r>
    </w:p>
    <w:p w14:paraId="5121B106" w14:textId="77777777" w:rsidR="00296B9F" w:rsidRDefault="00296B9F" w:rsidP="001478FD">
      <w:pPr>
        <w:tabs>
          <w:tab w:val="clear" w:pos="567"/>
          <w:tab w:val="clear" w:pos="1134"/>
          <w:tab w:val="clear" w:pos="1701"/>
          <w:tab w:val="clear" w:pos="2268"/>
          <w:tab w:val="clear" w:pos="2835"/>
          <w:tab w:val="left" w:pos="709"/>
        </w:tabs>
        <w:spacing w:before="0"/>
        <w:rPr>
          <w:b/>
          <w:bCs/>
          <w:szCs w:val="24"/>
        </w:rPr>
      </w:pPr>
    </w:p>
    <w:p w14:paraId="25426159" w14:textId="7D21F647" w:rsidR="00296B9F" w:rsidRPr="0094381E" w:rsidRDefault="00296B9F" w:rsidP="00296B9F">
      <w:pPr>
        <w:tabs>
          <w:tab w:val="clear" w:pos="567"/>
          <w:tab w:val="clear" w:pos="1134"/>
          <w:tab w:val="clear" w:pos="1701"/>
          <w:tab w:val="clear" w:pos="2268"/>
          <w:tab w:val="clear" w:pos="2835"/>
          <w:tab w:val="left" w:pos="709"/>
        </w:tabs>
        <w:spacing w:before="0"/>
        <w:ind w:left="709" w:hanging="709"/>
        <w:rPr>
          <w:rStyle w:val="Hyperlink"/>
          <w:rFonts w:asciiTheme="minorHAnsi" w:hAnsiTheme="minorHAnsi" w:cstheme="minorHAnsi"/>
          <w:b/>
          <w:bCs/>
          <w:szCs w:val="24"/>
        </w:rPr>
      </w:pPr>
      <w:r w:rsidRPr="0094381E">
        <w:rPr>
          <w:b/>
          <w:bCs/>
          <w:szCs w:val="24"/>
        </w:rPr>
        <w:t>4</w:t>
      </w:r>
      <w:r w:rsidRPr="0094381E">
        <w:rPr>
          <w:b/>
          <w:bCs/>
          <w:szCs w:val="24"/>
        </w:rPr>
        <w:tab/>
      </w:r>
      <w:r w:rsidRPr="0094381E">
        <w:rPr>
          <w:rFonts w:asciiTheme="minorHAnsi" w:hAnsiTheme="minorHAnsi" w:cstheme="minorHAnsi"/>
          <w:b/>
          <w:bCs/>
        </w:rPr>
        <w:t>Possible mechanism to aid in the assessment of the financial implications of conference proposals (</w:t>
      </w:r>
      <w:r w:rsidR="0041131B" w:rsidRPr="0094381E">
        <w:rPr>
          <w:rFonts w:asciiTheme="minorHAnsi" w:hAnsiTheme="minorHAnsi" w:cstheme="minorHAnsi"/>
          <w:b/>
          <w:bCs/>
        </w:rPr>
        <w:t>Document</w:t>
      </w:r>
      <w:r w:rsidR="0041131B" w:rsidRPr="0094381E">
        <w:rPr>
          <w:b/>
          <w:bCs/>
        </w:rPr>
        <w:t xml:space="preserve"> </w:t>
      </w:r>
      <w:hyperlink r:id="rId13" w:history="1">
        <w:r w:rsidRPr="00D93080">
          <w:rPr>
            <w:rStyle w:val="Hyperlink"/>
            <w:rFonts w:asciiTheme="minorHAnsi" w:hAnsiTheme="minorHAnsi" w:cstheme="minorHAnsi"/>
            <w:b/>
            <w:szCs w:val="24"/>
          </w:rPr>
          <w:t>CWG-FHR-19/3</w:t>
        </w:r>
      </w:hyperlink>
      <w:r w:rsidRPr="00D93080">
        <w:rPr>
          <w:rStyle w:val="Hyperlink"/>
          <w:rFonts w:asciiTheme="minorHAnsi" w:hAnsiTheme="minorHAnsi" w:cstheme="minorHAnsi"/>
          <w:b/>
          <w:szCs w:val="24"/>
        </w:rPr>
        <w:t>)</w:t>
      </w:r>
      <w:r w:rsidR="00EB5790" w:rsidRPr="00D93080">
        <w:rPr>
          <w:rStyle w:val="Hyperlink"/>
          <w:rFonts w:asciiTheme="minorHAnsi" w:hAnsiTheme="minorHAnsi" w:cstheme="minorHAnsi"/>
          <w:b/>
          <w:szCs w:val="24"/>
          <w:u w:val="none"/>
        </w:rPr>
        <w:t xml:space="preserve"> </w:t>
      </w:r>
      <w:r w:rsidR="00EB5790" w:rsidRPr="00D93080">
        <w:rPr>
          <w:rStyle w:val="Hyperlink"/>
          <w:rFonts w:asciiTheme="minorHAnsi" w:hAnsiTheme="minorHAnsi" w:cstheme="minorHAnsi"/>
          <w:b/>
          <w:color w:val="auto"/>
          <w:szCs w:val="24"/>
          <w:u w:val="none"/>
        </w:rPr>
        <w:t xml:space="preserve">and </w:t>
      </w:r>
      <w:r w:rsidRPr="006044EF">
        <w:rPr>
          <w:rFonts w:cs="Calibri"/>
          <w:b/>
          <w:bCs/>
          <w:color w:val="000000"/>
          <w:shd w:val="clear" w:color="auto" w:fill="FFFFFF"/>
        </w:rPr>
        <w:t>Multi-country contribution:</w:t>
      </w:r>
      <w:r w:rsidRPr="006044EF">
        <w:rPr>
          <w:b/>
          <w:bCs/>
        </w:rPr>
        <w:t xml:space="preserve"> Assessment of the financial implications of </w:t>
      </w:r>
      <w:r w:rsidRPr="0094381E">
        <w:rPr>
          <w:b/>
          <w:bCs/>
          <w:szCs w:val="24"/>
        </w:rPr>
        <w:t>conference proposals</w:t>
      </w:r>
      <w:r w:rsidR="00EB5790">
        <w:rPr>
          <w:b/>
          <w:bCs/>
          <w:szCs w:val="24"/>
        </w:rPr>
        <w:br/>
      </w:r>
      <w:r w:rsidRPr="0094381E">
        <w:rPr>
          <w:b/>
          <w:bCs/>
          <w:szCs w:val="24"/>
        </w:rPr>
        <w:t>(</w:t>
      </w:r>
      <w:r w:rsidR="0041131B" w:rsidRPr="0094381E">
        <w:rPr>
          <w:rFonts w:asciiTheme="minorHAnsi" w:hAnsiTheme="minorHAnsi" w:cstheme="minorHAnsi"/>
          <w:b/>
          <w:bCs/>
          <w:szCs w:val="24"/>
        </w:rPr>
        <w:t>Document</w:t>
      </w:r>
      <w:r w:rsidR="0041131B" w:rsidRPr="0094381E">
        <w:rPr>
          <w:b/>
          <w:bCs/>
          <w:szCs w:val="24"/>
        </w:rPr>
        <w:t xml:space="preserve"> </w:t>
      </w:r>
      <w:hyperlink r:id="rId14" w:history="1">
        <w:r w:rsidRPr="0094381E">
          <w:rPr>
            <w:rStyle w:val="Hyperlink"/>
            <w:rFonts w:asciiTheme="minorHAnsi" w:hAnsiTheme="minorHAnsi" w:cstheme="minorHAnsi"/>
            <w:b/>
            <w:bCs/>
            <w:szCs w:val="24"/>
          </w:rPr>
          <w:t>CWG-FHR-19/13</w:t>
        </w:r>
      </w:hyperlink>
      <w:r w:rsidRPr="0094381E">
        <w:rPr>
          <w:rStyle w:val="Hyperlink"/>
          <w:rFonts w:asciiTheme="minorHAnsi" w:hAnsiTheme="minorHAnsi" w:cstheme="minorHAnsi"/>
          <w:b/>
          <w:bCs/>
          <w:szCs w:val="24"/>
        </w:rPr>
        <w:t>)</w:t>
      </w:r>
    </w:p>
    <w:p w14:paraId="00A4BA53" w14:textId="77777777" w:rsidR="00296B9F" w:rsidRPr="0094381E" w:rsidRDefault="00296B9F" w:rsidP="0094381E">
      <w:pPr>
        <w:tabs>
          <w:tab w:val="clear" w:pos="567"/>
          <w:tab w:val="clear" w:pos="1134"/>
          <w:tab w:val="clear" w:pos="1701"/>
          <w:tab w:val="clear" w:pos="2268"/>
          <w:tab w:val="clear" w:pos="2835"/>
          <w:tab w:val="left" w:pos="709"/>
        </w:tabs>
        <w:spacing w:before="0"/>
        <w:ind w:left="709" w:hanging="709"/>
        <w:rPr>
          <w:b/>
          <w:bCs/>
          <w:szCs w:val="24"/>
        </w:rPr>
      </w:pPr>
    </w:p>
    <w:p w14:paraId="03D1E975" w14:textId="5B832A03" w:rsidR="0094381E" w:rsidRPr="0094381E" w:rsidRDefault="004919D2" w:rsidP="009B13DD">
      <w:pPr>
        <w:tabs>
          <w:tab w:val="clear" w:pos="567"/>
          <w:tab w:val="left" w:pos="709"/>
        </w:tabs>
        <w:spacing w:before="0"/>
        <w:rPr>
          <w:rFonts w:cs="Calibri"/>
          <w:szCs w:val="24"/>
        </w:rPr>
      </w:pPr>
      <w:r>
        <w:rPr>
          <w:rFonts w:cs="Calibri"/>
          <w:szCs w:val="24"/>
        </w:rPr>
        <w:t>4.1</w:t>
      </w:r>
      <w:r>
        <w:rPr>
          <w:rFonts w:cs="Calibri"/>
          <w:szCs w:val="24"/>
        </w:rPr>
        <w:tab/>
      </w:r>
      <w:r w:rsidR="0094381E" w:rsidRPr="0094381E">
        <w:rPr>
          <w:rFonts w:cs="Calibri"/>
          <w:szCs w:val="24"/>
        </w:rPr>
        <w:t xml:space="preserve">Council </w:t>
      </w:r>
      <w:r>
        <w:rPr>
          <w:rFonts w:cs="Calibri"/>
          <w:szCs w:val="24"/>
        </w:rPr>
        <w:t>D</w:t>
      </w:r>
      <w:r w:rsidR="0094381E" w:rsidRPr="0094381E">
        <w:rPr>
          <w:rFonts w:cs="Calibri"/>
          <w:szCs w:val="24"/>
        </w:rPr>
        <w:t>ocument C24/92 highlighted the importance to better identify the possible financial implications of the decisions of conferences and called for a template to be developed to help estimating the latter. Council at its 2024 ordinary session asked the CWG-FHR to further study this issue.</w:t>
      </w:r>
    </w:p>
    <w:p w14:paraId="26F5DA3D" w14:textId="77777777" w:rsidR="0094381E" w:rsidRPr="0094381E" w:rsidRDefault="0094381E" w:rsidP="009B13DD">
      <w:pPr>
        <w:tabs>
          <w:tab w:val="clear" w:pos="567"/>
          <w:tab w:val="left" w:pos="709"/>
        </w:tabs>
        <w:spacing w:before="0"/>
        <w:rPr>
          <w:rFonts w:cs="Calibri"/>
          <w:szCs w:val="24"/>
        </w:rPr>
      </w:pPr>
    </w:p>
    <w:p w14:paraId="40C21A7F" w14:textId="4B258E9C" w:rsidR="0094381E" w:rsidRPr="0094381E" w:rsidRDefault="004919D2" w:rsidP="009B13DD">
      <w:pPr>
        <w:tabs>
          <w:tab w:val="clear" w:pos="567"/>
          <w:tab w:val="left" w:pos="709"/>
        </w:tabs>
        <w:spacing w:before="0"/>
        <w:rPr>
          <w:rFonts w:cs="Calibri"/>
          <w:szCs w:val="24"/>
        </w:rPr>
      </w:pPr>
      <w:r>
        <w:rPr>
          <w:rFonts w:cs="Calibri"/>
          <w:szCs w:val="24"/>
        </w:rPr>
        <w:t>4.2</w:t>
      </w:r>
      <w:r>
        <w:rPr>
          <w:rFonts w:cs="Calibri"/>
          <w:szCs w:val="24"/>
        </w:rPr>
        <w:tab/>
      </w:r>
      <w:r w:rsidR="0094381E" w:rsidRPr="0094381E">
        <w:rPr>
          <w:rFonts w:cs="Calibri"/>
          <w:szCs w:val="24"/>
        </w:rPr>
        <w:t xml:space="preserve">It is in this framework that the secretariat developed document </w:t>
      </w:r>
      <w:r>
        <w:rPr>
          <w:rFonts w:cs="Calibri"/>
          <w:szCs w:val="24"/>
        </w:rPr>
        <w:t>CWG-FHR-</w:t>
      </w:r>
      <w:r w:rsidR="0094381E" w:rsidRPr="0094381E">
        <w:rPr>
          <w:rFonts w:cs="Calibri"/>
          <w:szCs w:val="24"/>
        </w:rPr>
        <w:t xml:space="preserve">19/3 that includes a non-exhaustive template for assisting in estimating post-conferences financial consequences. It was underlined that this matter is very complex and that a template could not encompass all aspects of financial estimates due to the variety of possible financial consequences. The secretariat indicated that this work was already undertaken by the </w:t>
      </w:r>
      <w:r>
        <w:rPr>
          <w:rFonts w:cs="Calibri"/>
          <w:szCs w:val="24"/>
        </w:rPr>
        <w:t>B</w:t>
      </w:r>
      <w:r w:rsidR="0094381E" w:rsidRPr="0094381E">
        <w:rPr>
          <w:rFonts w:cs="Calibri"/>
          <w:szCs w:val="24"/>
        </w:rPr>
        <w:t xml:space="preserve">udget </w:t>
      </w:r>
      <w:r>
        <w:rPr>
          <w:rFonts w:cs="Calibri"/>
          <w:szCs w:val="24"/>
        </w:rPr>
        <w:t>C</w:t>
      </w:r>
      <w:r w:rsidR="0094381E" w:rsidRPr="0094381E">
        <w:rPr>
          <w:rFonts w:cs="Calibri"/>
          <w:szCs w:val="24"/>
        </w:rPr>
        <w:t xml:space="preserve">ontrol </w:t>
      </w:r>
      <w:r>
        <w:rPr>
          <w:rFonts w:cs="Calibri"/>
          <w:szCs w:val="24"/>
        </w:rPr>
        <w:t>C</w:t>
      </w:r>
      <w:r w:rsidR="0094381E" w:rsidRPr="0094381E">
        <w:rPr>
          <w:rFonts w:cs="Calibri"/>
          <w:szCs w:val="24"/>
        </w:rPr>
        <w:t>ommittee during the main ITU conferences.</w:t>
      </w:r>
    </w:p>
    <w:p w14:paraId="717F46C9" w14:textId="77777777" w:rsidR="0094381E" w:rsidRPr="0094381E" w:rsidRDefault="0094381E" w:rsidP="009B13DD">
      <w:pPr>
        <w:tabs>
          <w:tab w:val="clear" w:pos="567"/>
          <w:tab w:val="left" w:pos="709"/>
        </w:tabs>
        <w:spacing w:before="0"/>
        <w:rPr>
          <w:rFonts w:cs="Calibri"/>
          <w:szCs w:val="24"/>
        </w:rPr>
      </w:pPr>
    </w:p>
    <w:p w14:paraId="3ACB8641" w14:textId="7CC6A01E" w:rsidR="0094381E" w:rsidRPr="0094381E" w:rsidRDefault="004919D2" w:rsidP="009B13DD">
      <w:pPr>
        <w:tabs>
          <w:tab w:val="clear" w:pos="567"/>
          <w:tab w:val="left" w:pos="709"/>
        </w:tabs>
        <w:spacing w:before="0"/>
        <w:rPr>
          <w:rFonts w:cs="Calibri"/>
          <w:color w:val="000000"/>
          <w:szCs w:val="24"/>
          <w:shd w:val="clear" w:color="auto" w:fill="FFFFFF"/>
        </w:rPr>
      </w:pPr>
      <w:r>
        <w:rPr>
          <w:rFonts w:cs="Calibri"/>
          <w:szCs w:val="24"/>
        </w:rPr>
        <w:t>4.3</w:t>
      </w:r>
      <w:r>
        <w:rPr>
          <w:rFonts w:cs="Calibri"/>
          <w:szCs w:val="24"/>
        </w:rPr>
        <w:tab/>
      </w:r>
      <w:r w:rsidR="0094381E" w:rsidRPr="0094381E">
        <w:rPr>
          <w:rFonts w:cs="Calibri"/>
          <w:szCs w:val="24"/>
        </w:rPr>
        <w:t xml:space="preserve">The </w:t>
      </w:r>
      <w:r w:rsidR="0094381E" w:rsidRPr="0094381E">
        <w:rPr>
          <w:rFonts w:cs="Calibri"/>
          <w:color w:val="000000"/>
          <w:szCs w:val="24"/>
          <w:shd w:val="clear" w:color="auto" w:fill="FFFFFF"/>
        </w:rPr>
        <w:t xml:space="preserve">multi-country contribution </w:t>
      </w:r>
      <w:r>
        <w:rPr>
          <w:rFonts w:cs="Calibri"/>
          <w:color w:val="000000"/>
          <w:szCs w:val="24"/>
          <w:shd w:val="clear" w:color="auto" w:fill="FFFFFF"/>
        </w:rPr>
        <w:t>CWG-FHR-</w:t>
      </w:r>
      <w:r w:rsidR="0094381E" w:rsidRPr="0094381E">
        <w:rPr>
          <w:rFonts w:cs="Calibri"/>
          <w:color w:val="000000"/>
          <w:szCs w:val="24"/>
          <w:shd w:val="clear" w:color="auto" w:fill="FFFFFF"/>
        </w:rPr>
        <w:t>19/13 emphasis the need to have in-depth discussions at the CWG level to ad</w:t>
      </w:r>
      <w:r>
        <w:rPr>
          <w:rFonts w:cs="Calibri"/>
          <w:color w:val="000000"/>
          <w:szCs w:val="24"/>
          <w:shd w:val="clear" w:color="auto" w:fill="FFFFFF"/>
        </w:rPr>
        <w:t>d</w:t>
      </w:r>
      <w:r w:rsidR="0094381E" w:rsidRPr="0094381E">
        <w:rPr>
          <w:rFonts w:cs="Calibri"/>
          <w:color w:val="000000"/>
          <w:szCs w:val="24"/>
          <w:shd w:val="clear" w:color="auto" w:fill="FFFFFF"/>
        </w:rPr>
        <w:t>ress not only the issue of financial implications but also the issue of budget availability to implement the related conference decisions.</w:t>
      </w:r>
    </w:p>
    <w:p w14:paraId="2CEA418F" w14:textId="77777777" w:rsidR="0094381E" w:rsidRPr="0094381E" w:rsidRDefault="0094381E" w:rsidP="009B13DD">
      <w:pPr>
        <w:tabs>
          <w:tab w:val="clear" w:pos="567"/>
          <w:tab w:val="left" w:pos="709"/>
        </w:tabs>
        <w:spacing w:before="0"/>
        <w:rPr>
          <w:rFonts w:cs="Calibri"/>
          <w:color w:val="000000"/>
          <w:szCs w:val="24"/>
          <w:shd w:val="clear" w:color="auto" w:fill="FFFFFF"/>
        </w:rPr>
      </w:pPr>
    </w:p>
    <w:p w14:paraId="31E1CB8A" w14:textId="0EA3EB64" w:rsidR="0094381E" w:rsidRPr="0094381E" w:rsidRDefault="004919D2" w:rsidP="009B13DD">
      <w:pPr>
        <w:tabs>
          <w:tab w:val="clear" w:pos="567"/>
          <w:tab w:val="left" w:pos="709"/>
        </w:tabs>
        <w:spacing w:before="0"/>
        <w:rPr>
          <w:rFonts w:cs="Calibri"/>
          <w:color w:val="000000"/>
          <w:szCs w:val="24"/>
          <w:shd w:val="clear" w:color="auto" w:fill="FFFFFF"/>
        </w:rPr>
      </w:pPr>
      <w:r>
        <w:rPr>
          <w:rFonts w:cs="Calibri"/>
          <w:color w:val="000000"/>
          <w:szCs w:val="24"/>
          <w:shd w:val="clear" w:color="auto" w:fill="FFFFFF"/>
        </w:rPr>
        <w:t>4.</w:t>
      </w:r>
      <w:r w:rsidR="00233763">
        <w:rPr>
          <w:rFonts w:cs="Calibri"/>
          <w:color w:val="000000"/>
          <w:szCs w:val="24"/>
          <w:shd w:val="clear" w:color="auto" w:fill="FFFFFF"/>
        </w:rPr>
        <w:t>4</w:t>
      </w:r>
      <w:r>
        <w:rPr>
          <w:rFonts w:cs="Calibri"/>
          <w:color w:val="000000"/>
          <w:szCs w:val="24"/>
          <w:shd w:val="clear" w:color="auto" w:fill="FFFFFF"/>
        </w:rPr>
        <w:tab/>
      </w:r>
      <w:r w:rsidR="0094381E" w:rsidRPr="0094381E">
        <w:rPr>
          <w:rFonts w:cs="Calibri"/>
          <w:color w:val="000000"/>
          <w:szCs w:val="24"/>
          <w:shd w:val="clear" w:color="auto" w:fill="FFFFFF"/>
        </w:rPr>
        <w:t xml:space="preserve">Following intense discussion, it was decided that this issue would be further discussed at the forthcoming CWG-FHR meeting. </w:t>
      </w:r>
      <w:r w:rsidR="0094381E">
        <w:rPr>
          <w:rFonts w:cs="Calibri"/>
          <w:color w:val="000000"/>
          <w:szCs w:val="24"/>
          <w:shd w:val="clear" w:color="auto" w:fill="FFFFFF"/>
        </w:rPr>
        <w:t xml:space="preserve">Delegates </w:t>
      </w:r>
      <w:r w:rsidR="0094381E" w:rsidRPr="0094381E">
        <w:rPr>
          <w:rFonts w:cs="Calibri"/>
          <w:color w:val="000000"/>
          <w:szCs w:val="24"/>
          <w:shd w:val="clear" w:color="auto" w:fill="FFFFFF"/>
        </w:rPr>
        <w:t>w</w:t>
      </w:r>
      <w:r w:rsidR="0094381E">
        <w:rPr>
          <w:rFonts w:cs="Calibri"/>
          <w:color w:val="000000"/>
          <w:szCs w:val="24"/>
          <w:shd w:val="clear" w:color="auto" w:fill="FFFFFF"/>
        </w:rPr>
        <w:t>er</w:t>
      </w:r>
      <w:r w:rsidR="0094381E" w:rsidRPr="0094381E">
        <w:rPr>
          <w:rFonts w:cs="Calibri"/>
          <w:color w:val="000000"/>
          <w:szCs w:val="24"/>
          <w:shd w:val="clear" w:color="auto" w:fill="FFFFFF"/>
        </w:rPr>
        <w:t>e encourage</w:t>
      </w:r>
      <w:r>
        <w:rPr>
          <w:rFonts w:cs="Calibri"/>
          <w:color w:val="000000"/>
          <w:szCs w:val="24"/>
          <w:shd w:val="clear" w:color="auto" w:fill="FFFFFF"/>
        </w:rPr>
        <w:t>d</w:t>
      </w:r>
      <w:r w:rsidR="0094381E" w:rsidRPr="0094381E">
        <w:rPr>
          <w:rFonts w:cs="Calibri"/>
          <w:color w:val="000000"/>
          <w:szCs w:val="24"/>
          <w:shd w:val="clear" w:color="auto" w:fill="FFFFFF"/>
        </w:rPr>
        <w:t xml:space="preserve"> to submit contributions before the meeting to enrich the discussion.</w:t>
      </w:r>
    </w:p>
    <w:p w14:paraId="2649421A" w14:textId="77777777" w:rsidR="00D64556" w:rsidRDefault="00D64556" w:rsidP="00296B9F">
      <w:pPr>
        <w:tabs>
          <w:tab w:val="clear" w:pos="567"/>
          <w:tab w:val="clear" w:pos="1134"/>
          <w:tab w:val="clear" w:pos="1701"/>
          <w:tab w:val="clear" w:pos="2268"/>
          <w:tab w:val="clear" w:pos="2835"/>
          <w:tab w:val="left" w:pos="709"/>
        </w:tabs>
        <w:spacing w:before="0"/>
        <w:ind w:left="709" w:hanging="709"/>
        <w:rPr>
          <w:b/>
          <w:bCs/>
          <w:szCs w:val="24"/>
        </w:rPr>
      </w:pPr>
    </w:p>
    <w:p w14:paraId="129C791D" w14:textId="1C9347D2" w:rsidR="00296B9F" w:rsidRPr="00F75A7F" w:rsidRDefault="00F75A7F" w:rsidP="006040FC">
      <w:pPr>
        <w:tabs>
          <w:tab w:val="clear" w:pos="567"/>
          <w:tab w:val="clear" w:pos="1134"/>
          <w:tab w:val="clear" w:pos="1701"/>
          <w:tab w:val="clear" w:pos="2268"/>
          <w:tab w:val="clear" w:pos="2835"/>
          <w:tab w:val="left" w:pos="709"/>
        </w:tabs>
        <w:spacing w:before="0"/>
        <w:ind w:left="709" w:hanging="709"/>
        <w:rPr>
          <w:b/>
          <w:bCs/>
          <w:szCs w:val="24"/>
        </w:rPr>
      </w:pPr>
      <w:r>
        <w:rPr>
          <w:b/>
          <w:bCs/>
          <w:szCs w:val="24"/>
        </w:rPr>
        <w:t>5</w:t>
      </w:r>
      <w:r>
        <w:rPr>
          <w:b/>
          <w:bCs/>
          <w:szCs w:val="24"/>
        </w:rPr>
        <w:tab/>
      </w:r>
      <w:r w:rsidRPr="00F75A7F">
        <w:rPr>
          <w:rFonts w:asciiTheme="minorHAnsi" w:hAnsiTheme="minorHAnsi" w:cstheme="minorHAnsi"/>
          <w:b/>
          <w:bCs/>
        </w:rPr>
        <w:t>Modifications to the Financial Regulations and Financial Rules (Article 19, § 4)</w:t>
      </w:r>
      <w:r>
        <w:rPr>
          <w:rFonts w:asciiTheme="minorHAnsi" w:hAnsiTheme="minorHAnsi" w:cstheme="minorHAnsi"/>
          <w:b/>
          <w:bCs/>
        </w:rPr>
        <w:t xml:space="preserve"> (</w:t>
      </w:r>
      <w:r w:rsidR="007B310B">
        <w:rPr>
          <w:rFonts w:asciiTheme="minorHAnsi" w:hAnsiTheme="minorHAnsi" w:cstheme="minorHAnsi"/>
          <w:b/>
          <w:bCs/>
        </w:rPr>
        <w:t>O</w:t>
      </w:r>
      <w:r>
        <w:rPr>
          <w:rFonts w:asciiTheme="minorHAnsi" w:hAnsiTheme="minorHAnsi" w:cstheme="minorHAnsi"/>
          <w:b/>
          <w:bCs/>
        </w:rPr>
        <w:t>ral presentation)</w:t>
      </w:r>
    </w:p>
    <w:p w14:paraId="3E25BBF7" w14:textId="77777777" w:rsidR="006040FC" w:rsidRDefault="006040FC" w:rsidP="006040FC">
      <w:pPr>
        <w:spacing w:before="0"/>
        <w:rPr>
          <w:szCs w:val="24"/>
          <w:lang w:val="en-US"/>
        </w:rPr>
      </w:pPr>
    </w:p>
    <w:p w14:paraId="2A21F6FA" w14:textId="5BEE16AE" w:rsidR="006040FC" w:rsidRDefault="006040FC" w:rsidP="009B13DD">
      <w:pPr>
        <w:tabs>
          <w:tab w:val="clear" w:pos="567"/>
          <w:tab w:val="left" w:pos="709"/>
        </w:tabs>
        <w:spacing w:before="0"/>
        <w:rPr>
          <w:szCs w:val="24"/>
          <w:lang w:val="en-US"/>
        </w:rPr>
      </w:pPr>
      <w:r>
        <w:rPr>
          <w:szCs w:val="24"/>
          <w:lang w:val="en-US"/>
        </w:rPr>
        <w:t>5.1</w:t>
      </w:r>
      <w:r>
        <w:rPr>
          <w:szCs w:val="24"/>
          <w:lang w:val="en-US"/>
        </w:rPr>
        <w:tab/>
        <w:t>The proposed amendment to Article 19.4 was presented by the secretariat.</w:t>
      </w:r>
    </w:p>
    <w:p w14:paraId="5E5D0179" w14:textId="77777777" w:rsidR="006040FC" w:rsidRDefault="006040FC" w:rsidP="009B13DD">
      <w:pPr>
        <w:tabs>
          <w:tab w:val="clear" w:pos="567"/>
          <w:tab w:val="left" w:pos="709"/>
        </w:tabs>
        <w:spacing w:before="0"/>
        <w:rPr>
          <w:szCs w:val="24"/>
          <w:lang w:val="en-US"/>
        </w:rPr>
      </w:pPr>
    </w:p>
    <w:p w14:paraId="3357D855" w14:textId="336194AD" w:rsidR="00D64556" w:rsidRPr="00692616" w:rsidRDefault="006040FC" w:rsidP="009B13DD">
      <w:pPr>
        <w:tabs>
          <w:tab w:val="clear" w:pos="567"/>
          <w:tab w:val="clear" w:pos="1134"/>
          <w:tab w:val="clear" w:pos="1701"/>
          <w:tab w:val="clear" w:pos="2268"/>
          <w:tab w:val="clear" w:pos="2835"/>
          <w:tab w:val="left" w:pos="709"/>
        </w:tabs>
        <w:spacing w:before="0"/>
        <w:rPr>
          <w:szCs w:val="24"/>
        </w:rPr>
      </w:pPr>
      <w:r>
        <w:rPr>
          <w:szCs w:val="24"/>
          <w:lang w:val="en-US"/>
        </w:rPr>
        <w:t>5.2</w:t>
      </w:r>
      <w:r w:rsidR="00CC6C64">
        <w:rPr>
          <w:szCs w:val="24"/>
          <w:lang w:val="en-US"/>
        </w:rPr>
        <w:tab/>
      </w:r>
      <w:r>
        <w:rPr>
          <w:szCs w:val="24"/>
          <w:lang w:val="en-US"/>
        </w:rPr>
        <w:t>After several interventions by delegates and internal consultations with the latter as well as with management, the secretariat proposed withdrawing the proposed amendment to Article 19.4. The Chair of the CWG-FHR approved this proposal.</w:t>
      </w:r>
    </w:p>
    <w:p w14:paraId="3B4C6841" w14:textId="77777777" w:rsidR="006040FC" w:rsidRDefault="006040FC" w:rsidP="009B13DD">
      <w:pPr>
        <w:tabs>
          <w:tab w:val="clear" w:pos="567"/>
          <w:tab w:val="clear" w:pos="1134"/>
          <w:tab w:val="clear" w:pos="1701"/>
          <w:tab w:val="clear" w:pos="2268"/>
          <w:tab w:val="clear" w:pos="2835"/>
          <w:tab w:val="left" w:pos="709"/>
        </w:tabs>
        <w:spacing w:before="0"/>
        <w:rPr>
          <w:b/>
          <w:bCs/>
          <w:szCs w:val="24"/>
        </w:rPr>
      </w:pPr>
    </w:p>
    <w:p w14:paraId="7D1550EE" w14:textId="66D2AD3A" w:rsidR="006C7788" w:rsidRPr="007B310B" w:rsidRDefault="006C7788" w:rsidP="006040FC">
      <w:pPr>
        <w:tabs>
          <w:tab w:val="clear" w:pos="567"/>
          <w:tab w:val="clear" w:pos="1134"/>
          <w:tab w:val="clear" w:pos="1701"/>
          <w:tab w:val="clear" w:pos="2268"/>
          <w:tab w:val="clear" w:pos="2835"/>
          <w:tab w:val="left" w:pos="709"/>
        </w:tabs>
        <w:spacing w:before="0"/>
        <w:rPr>
          <w:b/>
          <w:bCs/>
          <w:szCs w:val="24"/>
        </w:rPr>
      </w:pPr>
      <w:bookmarkStart w:id="13" w:name="_Hlk179967294"/>
      <w:r w:rsidRPr="00CC6C64">
        <w:rPr>
          <w:b/>
          <w:bCs/>
          <w:szCs w:val="24"/>
        </w:rPr>
        <w:t>6</w:t>
      </w:r>
      <w:r w:rsidRPr="00CC6C64">
        <w:rPr>
          <w:b/>
          <w:bCs/>
          <w:szCs w:val="24"/>
        </w:rPr>
        <w:tab/>
      </w:r>
      <w:r w:rsidRPr="00CC6C64">
        <w:rPr>
          <w:rFonts w:asciiTheme="minorHAnsi" w:hAnsiTheme="minorHAnsi" w:cstheme="minorHAnsi"/>
          <w:b/>
          <w:bCs/>
        </w:rPr>
        <w:t>Code of conduct for ITU events (Document</w:t>
      </w:r>
      <w:r w:rsidRPr="00CC6C64">
        <w:rPr>
          <w:b/>
          <w:bCs/>
        </w:rPr>
        <w:t xml:space="preserve"> </w:t>
      </w:r>
      <w:hyperlink r:id="rId15" w:history="1">
        <w:r w:rsidRPr="00D93080">
          <w:rPr>
            <w:rStyle w:val="Hyperlink"/>
            <w:rFonts w:asciiTheme="minorHAnsi" w:hAnsiTheme="minorHAnsi" w:cstheme="minorHAnsi"/>
            <w:b/>
            <w:szCs w:val="24"/>
          </w:rPr>
          <w:t>CWG-FHR-19/4</w:t>
        </w:r>
      </w:hyperlink>
      <w:r w:rsidRPr="00D93080">
        <w:rPr>
          <w:rStyle w:val="Hyperlink"/>
          <w:rFonts w:asciiTheme="minorHAnsi" w:hAnsiTheme="minorHAnsi" w:cstheme="minorHAnsi"/>
          <w:b/>
          <w:szCs w:val="24"/>
        </w:rPr>
        <w:t>)</w:t>
      </w:r>
    </w:p>
    <w:bookmarkEnd w:id="13"/>
    <w:p w14:paraId="5B86AF93" w14:textId="77777777" w:rsidR="006C7788" w:rsidRDefault="006C7788" w:rsidP="006040FC">
      <w:pPr>
        <w:tabs>
          <w:tab w:val="clear" w:pos="567"/>
          <w:tab w:val="clear" w:pos="1134"/>
          <w:tab w:val="clear" w:pos="1701"/>
          <w:tab w:val="clear" w:pos="2268"/>
          <w:tab w:val="clear" w:pos="2835"/>
          <w:tab w:val="left" w:pos="709"/>
        </w:tabs>
        <w:spacing w:before="0"/>
        <w:rPr>
          <w:b/>
          <w:bCs/>
          <w:szCs w:val="24"/>
        </w:rPr>
      </w:pPr>
    </w:p>
    <w:p w14:paraId="48AA1C0C" w14:textId="48DC1CB7" w:rsidR="002E2572" w:rsidRPr="002261DA" w:rsidRDefault="00CC6C64" w:rsidP="00F9328D">
      <w:pPr>
        <w:tabs>
          <w:tab w:val="clear" w:pos="567"/>
          <w:tab w:val="clear" w:pos="1134"/>
          <w:tab w:val="clear" w:pos="1701"/>
          <w:tab w:val="clear" w:pos="2268"/>
          <w:tab w:val="clear" w:pos="2835"/>
          <w:tab w:val="left" w:pos="709"/>
        </w:tabs>
        <w:spacing w:before="0"/>
        <w:rPr>
          <w:szCs w:val="24"/>
        </w:rPr>
      </w:pPr>
      <w:r w:rsidRPr="002261DA">
        <w:rPr>
          <w:szCs w:val="24"/>
        </w:rPr>
        <w:t xml:space="preserve">6.1 </w:t>
      </w:r>
      <w:r w:rsidR="00CD6051" w:rsidRPr="002261DA">
        <w:rPr>
          <w:szCs w:val="24"/>
        </w:rPr>
        <w:tab/>
      </w:r>
      <w:r w:rsidR="008B5625" w:rsidRPr="002261DA">
        <w:rPr>
          <w:szCs w:val="24"/>
        </w:rPr>
        <w:t xml:space="preserve">Several delegates </w:t>
      </w:r>
      <w:r w:rsidR="00A737A6" w:rsidRPr="002261DA">
        <w:rPr>
          <w:szCs w:val="24"/>
        </w:rPr>
        <w:t xml:space="preserve">supported the draft proposal found in </w:t>
      </w:r>
      <w:r w:rsidR="00A737A6" w:rsidRPr="002261DA">
        <w:rPr>
          <w:rFonts w:asciiTheme="minorHAnsi" w:hAnsiTheme="minorHAnsi" w:cstheme="minorHAnsi"/>
        </w:rPr>
        <w:t>Document</w:t>
      </w:r>
      <w:r w:rsidR="00A737A6" w:rsidRPr="002261DA">
        <w:t xml:space="preserve"> </w:t>
      </w:r>
      <w:hyperlink r:id="rId16" w:history="1">
        <w:r w:rsidR="00A737A6" w:rsidRPr="002261DA">
          <w:rPr>
            <w:rStyle w:val="Hyperlink"/>
            <w:rFonts w:asciiTheme="minorHAnsi" w:hAnsiTheme="minorHAnsi" w:cstheme="minorHAnsi"/>
            <w:color w:val="auto"/>
            <w:szCs w:val="24"/>
          </w:rPr>
          <w:t>CWG-FHR-19/4</w:t>
        </w:r>
      </w:hyperlink>
      <w:r w:rsidR="00A737A6" w:rsidRPr="002261DA">
        <w:rPr>
          <w:rStyle w:val="Hyperlink"/>
          <w:rFonts w:asciiTheme="minorHAnsi" w:hAnsiTheme="minorHAnsi" w:cstheme="minorHAnsi"/>
          <w:color w:val="auto"/>
          <w:szCs w:val="24"/>
          <w:u w:val="none"/>
        </w:rPr>
        <w:t xml:space="preserve">.  </w:t>
      </w:r>
      <w:r w:rsidR="00CF32BB" w:rsidRPr="002261DA">
        <w:rPr>
          <w:rStyle w:val="Hyperlink"/>
          <w:rFonts w:asciiTheme="minorHAnsi" w:hAnsiTheme="minorHAnsi" w:cstheme="minorHAnsi"/>
          <w:color w:val="auto"/>
          <w:szCs w:val="24"/>
          <w:u w:val="none"/>
        </w:rPr>
        <w:t xml:space="preserve">However, </w:t>
      </w:r>
      <w:r w:rsidR="005637F2" w:rsidRPr="002261DA">
        <w:rPr>
          <w:rStyle w:val="Hyperlink"/>
          <w:rFonts w:asciiTheme="minorHAnsi" w:hAnsiTheme="minorHAnsi" w:cstheme="minorHAnsi"/>
          <w:color w:val="auto"/>
          <w:szCs w:val="24"/>
          <w:u w:val="none"/>
        </w:rPr>
        <w:t xml:space="preserve">several </w:t>
      </w:r>
      <w:r w:rsidR="00A26110" w:rsidRPr="002261DA">
        <w:rPr>
          <w:rStyle w:val="Hyperlink"/>
          <w:rFonts w:asciiTheme="minorHAnsi" w:hAnsiTheme="minorHAnsi" w:cstheme="minorHAnsi"/>
          <w:color w:val="auto"/>
          <w:szCs w:val="24"/>
          <w:u w:val="none"/>
        </w:rPr>
        <w:t xml:space="preserve">interventions </w:t>
      </w:r>
      <w:r w:rsidR="006E07F2" w:rsidRPr="002261DA">
        <w:rPr>
          <w:rStyle w:val="Hyperlink"/>
          <w:rFonts w:asciiTheme="minorHAnsi" w:hAnsiTheme="minorHAnsi" w:cstheme="minorHAnsi"/>
          <w:color w:val="auto"/>
          <w:szCs w:val="24"/>
          <w:u w:val="none"/>
        </w:rPr>
        <w:t xml:space="preserve">by </w:t>
      </w:r>
      <w:r w:rsidR="005637F2" w:rsidRPr="002261DA">
        <w:rPr>
          <w:rStyle w:val="Hyperlink"/>
          <w:rFonts w:asciiTheme="minorHAnsi" w:hAnsiTheme="minorHAnsi" w:cstheme="minorHAnsi"/>
          <w:color w:val="auto"/>
          <w:szCs w:val="24"/>
          <w:u w:val="none"/>
        </w:rPr>
        <w:t xml:space="preserve">other delegates </w:t>
      </w:r>
      <w:r w:rsidR="00D92C4E" w:rsidRPr="002261DA">
        <w:rPr>
          <w:rStyle w:val="Hyperlink"/>
          <w:rFonts w:asciiTheme="minorHAnsi" w:hAnsiTheme="minorHAnsi" w:cstheme="minorHAnsi"/>
          <w:color w:val="auto"/>
          <w:szCs w:val="24"/>
          <w:u w:val="none"/>
        </w:rPr>
        <w:t>stated</w:t>
      </w:r>
      <w:r w:rsidR="00036A4A" w:rsidRPr="002261DA">
        <w:rPr>
          <w:rStyle w:val="Hyperlink"/>
          <w:rFonts w:asciiTheme="minorHAnsi" w:hAnsiTheme="minorHAnsi" w:cstheme="minorHAnsi"/>
          <w:color w:val="auto"/>
          <w:szCs w:val="24"/>
          <w:u w:val="none"/>
        </w:rPr>
        <w:t xml:space="preserve"> that the draft proposal went beyond the scope of what Council requested from CWG-FHR</w:t>
      </w:r>
      <w:r w:rsidR="006D17E6" w:rsidRPr="002261DA">
        <w:rPr>
          <w:rStyle w:val="Hyperlink"/>
          <w:rFonts w:asciiTheme="minorHAnsi" w:hAnsiTheme="minorHAnsi" w:cstheme="minorHAnsi"/>
          <w:color w:val="auto"/>
          <w:szCs w:val="24"/>
          <w:u w:val="none"/>
        </w:rPr>
        <w:t xml:space="preserve">, </w:t>
      </w:r>
      <w:r w:rsidR="00D96E2E" w:rsidRPr="002261DA">
        <w:rPr>
          <w:rStyle w:val="Hyperlink"/>
          <w:rFonts w:asciiTheme="minorHAnsi" w:hAnsiTheme="minorHAnsi" w:cstheme="minorHAnsi"/>
          <w:color w:val="auto"/>
          <w:szCs w:val="24"/>
          <w:u w:val="none"/>
        </w:rPr>
        <w:t xml:space="preserve">which was simply to propose the means to implement </w:t>
      </w:r>
      <w:r w:rsidR="002D43B8" w:rsidRPr="002261DA">
        <w:rPr>
          <w:rStyle w:val="Hyperlink"/>
          <w:rFonts w:asciiTheme="minorHAnsi" w:hAnsiTheme="minorHAnsi" w:cstheme="minorHAnsi"/>
          <w:color w:val="auto"/>
          <w:szCs w:val="24"/>
          <w:u w:val="none"/>
        </w:rPr>
        <w:t xml:space="preserve">at the ITU </w:t>
      </w:r>
      <w:r w:rsidR="00D96E2E" w:rsidRPr="002261DA">
        <w:rPr>
          <w:rStyle w:val="Hyperlink"/>
          <w:rFonts w:asciiTheme="minorHAnsi" w:hAnsiTheme="minorHAnsi" w:cstheme="minorHAnsi"/>
          <w:color w:val="auto"/>
          <w:szCs w:val="24"/>
          <w:u w:val="none"/>
        </w:rPr>
        <w:t xml:space="preserve">the UN System Code of Conduct.  </w:t>
      </w:r>
      <w:r w:rsidR="00110002" w:rsidRPr="002261DA">
        <w:rPr>
          <w:rStyle w:val="Hyperlink"/>
          <w:rFonts w:asciiTheme="minorHAnsi" w:hAnsiTheme="minorHAnsi" w:cstheme="minorHAnsi"/>
          <w:color w:val="auto"/>
          <w:szCs w:val="24"/>
          <w:u w:val="none"/>
        </w:rPr>
        <w:t xml:space="preserve">Several delegates noted that exceeding this scope would present numerous challenges, including issues related to jurisdiction, definitions, </w:t>
      </w:r>
      <w:r w:rsidR="006D4E0A" w:rsidRPr="002261DA">
        <w:rPr>
          <w:rStyle w:val="Hyperlink"/>
          <w:rFonts w:asciiTheme="minorHAnsi" w:hAnsiTheme="minorHAnsi" w:cstheme="minorHAnsi"/>
          <w:color w:val="auto"/>
          <w:szCs w:val="24"/>
          <w:u w:val="none"/>
        </w:rPr>
        <w:t xml:space="preserve">resident </w:t>
      </w:r>
      <w:r w:rsidR="00110002" w:rsidRPr="002261DA">
        <w:rPr>
          <w:rStyle w:val="Hyperlink"/>
          <w:rFonts w:asciiTheme="minorHAnsi" w:hAnsiTheme="minorHAnsi" w:cstheme="minorHAnsi"/>
          <w:color w:val="auto"/>
          <w:szCs w:val="24"/>
          <w:u w:val="none"/>
        </w:rPr>
        <w:t>capabilit</w:t>
      </w:r>
      <w:r w:rsidR="006D4E0A" w:rsidRPr="002261DA">
        <w:rPr>
          <w:rStyle w:val="Hyperlink"/>
          <w:rFonts w:asciiTheme="minorHAnsi" w:hAnsiTheme="minorHAnsi" w:cstheme="minorHAnsi"/>
          <w:color w:val="auto"/>
          <w:szCs w:val="24"/>
          <w:u w:val="none"/>
        </w:rPr>
        <w:t>y and expertise</w:t>
      </w:r>
      <w:r w:rsidR="00110002" w:rsidRPr="002261DA">
        <w:rPr>
          <w:rStyle w:val="Hyperlink"/>
          <w:rFonts w:asciiTheme="minorHAnsi" w:hAnsiTheme="minorHAnsi" w:cstheme="minorHAnsi"/>
          <w:color w:val="auto"/>
          <w:szCs w:val="24"/>
          <w:u w:val="none"/>
        </w:rPr>
        <w:t xml:space="preserve"> at the ITU, and costs. </w:t>
      </w:r>
    </w:p>
    <w:p w14:paraId="26ED21AE" w14:textId="77777777" w:rsidR="002E2572" w:rsidRPr="002261DA" w:rsidRDefault="002E2572" w:rsidP="00F9328D">
      <w:pPr>
        <w:tabs>
          <w:tab w:val="clear" w:pos="567"/>
          <w:tab w:val="clear" w:pos="1134"/>
          <w:tab w:val="clear" w:pos="1701"/>
          <w:tab w:val="clear" w:pos="2268"/>
          <w:tab w:val="clear" w:pos="2835"/>
          <w:tab w:val="left" w:pos="709"/>
        </w:tabs>
        <w:spacing w:before="0"/>
        <w:rPr>
          <w:szCs w:val="24"/>
        </w:rPr>
      </w:pPr>
    </w:p>
    <w:p w14:paraId="5861C6F3" w14:textId="0ECFEC1E" w:rsidR="00F9328D" w:rsidRPr="002261DA" w:rsidRDefault="002E2572" w:rsidP="00F9328D">
      <w:pPr>
        <w:tabs>
          <w:tab w:val="clear" w:pos="567"/>
          <w:tab w:val="clear" w:pos="1134"/>
          <w:tab w:val="clear" w:pos="1701"/>
          <w:tab w:val="clear" w:pos="2268"/>
          <w:tab w:val="clear" w:pos="2835"/>
          <w:tab w:val="left" w:pos="709"/>
        </w:tabs>
        <w:spacing w:before="0"/>
        <w:rPr>
          <w:szCs w:val="24"/>
        </w:rPr>
      </w:pPr>
      <w:r w:rsidRPr="002261DA">
        <w:rPr>
          <w:szCs w:val="24"/>
        </w:rPr>
        <w:t xml:space="preserve">6.2 </w:t>
      </w:r>
      <w:r w:rsidRPr="002261DA">
        <w:rPr>
          <w:szCs w:val="24"/>
        </w:rPr>
        <w:tab/>
      </w:r>
      <w:r w:rsidR="00297D81" w:rsidRPr="002261DA">
        <w:rPr>
          <w:szCs w:val="24"/>
        </w:rPr>
        <w:t>T</w:t>
      </w:r>
      <w:r w:rsidR="00F9328D" w:rsidRPr="002261DA">
        <w:rPr>
          <w:szCs w:val="24"/>
        </w:rPr>
        <w:t xml:space="preserve">he Chair of the CWG-FHR noted Administrations at the highest levels already achieved consensus on the UN System Code of Conduct and that the UN System Code of Conduct </w:t>
      </w:r>
      <w:r w:rsidR="003E7521" w:rsidRPr="002261DA">
        <w:rPr>
          <w:szCs w:val="24"/>
        </w:rPr>
        <w:t>c</w:t>
      </w:r>
      <w:r w:rsidR="00F9328D" w:rsidRPr="002261DA">
        <w:rPr>
          <w:szCs w:val="24"/>
        </w:rPr>
        <w:t xml:space="preserve">ould serve as a baseline for the ITU’s Code of Conduct.  To reach consensus, the CWG-FHR should recommend deviations or additions to the UN System Code of Conduct only if necessary to implement due to unique factors pertaining to the ITU.  </w:t>
      </w:r>
      <w:r w:rsidR="000939B2" w:rsidRPr="002261DA">
        <w:rPr>
          <w:szCs w:val="24"/>
        </w:rPr>
        <w:t>It was also noted that several other UN organization</w:t>
      </w:r>
      <w:r w:rsidR="005F374A" w:rsidRPr="002261DA">
        <w:rPr>
          <w:szCs w:val="24"/>
        </w:rPr>
        <w:t>s</w:t>
      </w:r>
      <w:r w:rsidR="000939B2" w:rsidRPr="002261DA">
        <w:rPr>
          <w:szCs w:val="24"/>
        </w:rPr>
        <w:t xml:space="preserve"> have taken this approach</w:t>
      </w:r>
      <w:r w:rsidR="00D43CC7" w:rsidRPr="002261DA">
        <w:rPr>
          <w:szCs w:val="24"/>
        </w:rPr>
        <w:t xml:space="preserve"> and could provide </w:t>
      </w:r>
      <w:r w:rsidR="005F374A" w:rsidRPr="002261DA">
        <w:rPr>
          <w:szCs w:val="24"/>
        </w:rPr>
        <w:lastRenderedPageBreak/>
        <w:t xml:space="preserve">model. </w:t>
      </w:r>
      <w:r w:rsidR="000939B2" w:rsidRPr="002261DA">
        <w:rPr>
          <w:szCs w:val="24"/>
        </w:rPr>
        <w:t xml:space="preserve"> </w:t>
      </w:r>
      <w:r w:rsidR="00FC196D" w:rsidRPr="002261DA">
        <w:rPr>
          <w:szCs w:val="24"/>
        </w:rPr>
        <w:t>If additional elements are added</w:t>
      </w:r>
      <w:r w:rsidR="005F374A" w:rsidRPr="002261DA">
        <w:rPr>
          <w:szCs w:val="24"/>
        </w:rPr>
        <w:t xml:space="preserve"> beyond the UN System Code of Conduct</w:t>
      </w:r>
      <w:r w:rsidR="00FC196D" w:rsidRPr="002261DA">
        <w:rPr>
          <w:szCs w:val="24"/>
        </w:rPr>
        <w:t>, reaching consensus will prove difficult on this important topic, which will delay implementation.</w:t>
      </w:r>
    </w:p>
    <w:p w14:paraId="430B5928" w14:textId="77777777" w:rsidR="00297D81" w:rsidRPr="002261DA" w:rsidRDefault="00297D81" w:rsidP="00F9328D">
      <w:pPr>
        <w:tabs>
          <w:tab w:val="clear" w:pos="567"/>
          <w:tab w:val="clear" w:pos="1134"/>
          <w:tab w:val="clear" w:pos="1701"/>
          <w:tab w:val="clear" w:pos="2268"/>
          <w:tab w:val="clear" w:pos="2835"/>
          <w:tab w:val="left" w:pos="709"/>
        </w:tabs>
        <w:spacing w:before="0"/>
        <w:rPr>
          <w:szCs w:val="24"/>
        </w:rPr>
      </w:pPr>
    </w:p>
    <w:p w14:paraId="176625F7" w14:textId="4344CD9B" w:rsidR="006C7788" w:rsidRPr="002261DA" w:rsidRDefault="00297D81" w:rsidP="00BC0C97">
      <w:pPr>
        <w:tabs>
          <w:tab w:val="clear" w:pos="567"/>
          <w:tab w:val="clear" w:pos="1134"/>
          <w:tab w:val="clear" w:pos="1701"/>
          <w:tab w:val="clear" w:pos="2268"/>
          <w:tab w:val="clear" w:pos="2835"/>
          <w:tab w:val="left" w:pos="709"/>
        </w:tabs>
        <w:spacing w:before="0"/>
        <w:rPr>
          <w:szCs w:val="24"/>
        </w:rPr>
      </w:pPr>
      <w:r w:rsidRPr="002261DA">
        <w:rPr>
          <w:szCs w:val="24"/>
        </w:rPr>
        <w:t xml:space="preserve">6.3 </w:t>
      </w:r>
      <w:r w:rsidR="00FC196D" w:rsidRPr="002261DA">
        <w:rPr>
          <w:szCs w:val="24"/>
        </w:rPr>
        <w:tab/>
        <w:t xml:space="preserve">By the next meeting of the CWG-FHR, the </w:t>
      </w:r>
      <w:r w:rsidR="002261DA">
        <w:rPr>
          <w:szCs w:val="24"/>
        </w:rPr>
        <w:t>s</w:t>
      </w:r>
      <w:r w:rsidR="00F016A2" w:rsidRPr="002261DA">
        <w:rPr>
          <w:szCs w:val="24"/>
        </w:rPr>
        <w:t xml:space="preserve">ecretariat </w:t>
      </w:r>
      <w:r w:rsidR="00412891" w:rsidRPr="002261DA">
        <w:rPr>
          <w:szCs w:val="24"/>
        </w:rPr>
        <w:t xml:space="preserve">will </w:t>
      </w:r>
      <w:r w:rsidR="009C3934" w:rsidRPr="002261DA">
        <w:rPr>
          <w:szCs w:val="24"/>
        </w:rPr>
        <w:t xml:space="preserve">submit a proposal implementing </w:t>
      </w:r>
      <w:r w:rsidR="000939B2" w:rsidRPr="002261DA">
        <w:rPr>
          <w:szCs w:val="24"/>
        </w:rPr>
        <w:t xml:space="preserve">the </w:t>
      </w:r>
      <w:r w:rsidR="001B3693" w:rsidRPr="002261DA">
        <w:rPr>
          <w:szCs w:val="24"/>
        </w:rPr>
        <w:t xml:space="preserve">model </w:t>
      </w:r>
      <w:r w:rsidR="000939B2" w:rsidRPr="002261DA">
        <w:rPr>
          <w:szCs w:val="24"/>
        </w:rPr>
        <w:t xml:space="preserve">UN System </w:t>
      </w:r>
      <w:r w:rsidR="004817EC" w:rsidRPr="002261DA">
        <w:rPr>
          <w:szCs w:val="24"/>
        </w:rPr>
        <w:t>Code of Conduct</w:t>
      </w:r>
      <w:r w:rsidR="001B3693" w:rsidRPr="002261DA">
        <w:rPr>
          <w:szCs w:val="24"/>
        </w:rPr>
        <w:t xml:space="preserve"> for the ITU</w:t>
      </w:r>
      <w:r w:rsidR="004817EC" w:rsidRPr="002261DA">
        <w:rPr>
          <w:szCs w:val="24"/>
        </w:rPr>
        <w:t>.  Administrations were invited to provide contributions on this effort.</w:t>
      </w:r>
    </w:p>
    <w:p w14:paraId="3A364D92" w14:textId="77777777" w:rsidR="006C7788" w:rsidRPr="002261DA" w:rsidRDefault="006C7788" w:rsidP="006040FC">
      <w:pPr>
        <w:tabs>
          <w:tab w:val="clear" w:pos="567"/>
          <w:tab w:val="clear" w:pos="1134"/>
          <w:tab w:val="clear" w:pos="1701"/>
          <w:tab w:val="clear" w:pos="2268"/>
          <w:tab w:val="clear" w:pos="2835"/>
          <w:tab w:val="left" w:pos="709"/>
        </w:tabs>
        <w:spacing w:before="0"/>
        <w:rPr>
          <w:b/>
          <w:bCs/>
          <w:szCs w:val="24"/>
        </w:rPr>
      </w:pPr>
    </w:p>
    <w:bookmarkEnd w:id="12"/>
    <w:p w14:paraId="0435B27C" w14:textId="76DFF4A7" w:rsidR="006C7788" w:rsidRPr="00F351E7" w:rsidRDefault="006C7788" w:rsidP="006C7788">
      <w:pPr>
        <w:tabs>
          <w:tab w:val="clear" w:pos="567"/>
          <w:tab w:val="clear" w:pos="1134"/>
          <w:tab w:val="clear" w:pos="1701"/>
          <w:tab w:val="clear" w:pos="2268"/>
          <w:tab w:val="clear" w:pos="2835"/>
          <w:tab w:val="left" w:pos="709"/>
        </w:tabs>
        <w:spacing w:before="0"/>
        <w:rPr>
          <w:b/>
          <w:szCs w:val="24"/>
        </w:rPr>
      </w:pPr>
      <w:r>
        <w:rPr>
          <w:b/>
          <w:bCs/>
          <w:szCs w:val="24"/>
        </w:rPr>
        <w:t>7</w:t>
      </w:r>
      <w:r>
        <w:rPr>
          <w:b/>
          <w:bCs/>
          <w:szCs w:val="24"/>
        </w:rPr>
        <w:tab/>
      </w:r>
      <w:r w:rsidRPr="00F351E7">
        <w:rPr>
          <w:rFonts w:asciiTheme="minorHAnsi" w:hAnsiTheme="minorHAnsi" w:cstheme="minorHAnsi"/>
          <w:b/>
        </w:rPr>
        <w:t xml:space="preserve">Strengthening risk management and the internal control system </w:t>
      </w:r>
      <w:r w:rsidRPr="00F351E7">
        <w:rPr>
          <w:rFonts w:asciiTheme="minorHAnsi" w:hAnsiTheme="minorHAnsi" w:cstheme="minorHAnsi"/>
          <w:b/>
        </w:rPr>
        <w:tab/>
        <w:t>(Document</w:t>
      </w:r>
      <w:r w:rsidR="00F351E7" w:rsidRPr="00F351E7">
        <w:rPr>
          <w:rFonts w:asciiTheme="minorHAnsi" w:hAnsiTheme="minorHAnsi" w:cstheme="minorHAnsi"/>
          <w:b/>
        </w:rPr>
        <w:t>s</w:t>
      </w:r>
      <w:r w:rsidRPr="00F351E7">
        <w:rPr>
          <w:rFonts w:asciiTheme="minorHAnsi" w:hAnsiTheme="minorHAnsi" w:cstheme="minorHAnsi"/>
          <w:b/>
        </w:rPr>
        <w:t> </w:t>
      </w:r>
      <w:hyperlink r:id="rId17" w:history="1">
        <w:r w:rsidRPr="00D93080">
          <w:rPr>
            <w:rStyle w:val="Hyperlink"/>
            <w:rFonts w:asciiTheme="minorHAnsi" w:hAnsiTheme="minorHAnsi" w:cstheme="minorHAnsi"/>
            <w:b/>
            <w:szCs w:val="24"/>
          </w:rPr>
          <w:t>C24/49</w:t>
        </w:r>
      </w:hyperlink>
      <w:r w:rsidR="00F351E7" w:rsidRPr="00D93080">
        <w:rPr>
          <w:rStyle w:val="Hyperlink"/>
          <w:rFonts w:asciiTheme="minorHAnsi" w:hAnsiTheme="minorHAnsi" w:cstheme="minorHAnsi"/>
          <w:b/>
          <w:szCs w:val="24"/>
          <w:u w:val="none"/>
        </w:rPr>
        <w:t xml:space="preserve"> and </w:t>
      </w:r>
      <w:hyperlink r:id="rId18" w:history="1">
        <w:r w:rsidR="00F351E7" w:rsidRPr="00F351E7">
          <w:rPr>
            <w:rStyle w:val="Hyperlink"/>
            <w:b/>
          </w:rPr>
          <w:t>CWG-FHR-19/DT/2</w:t>
        </w:r>
      </w:hyperlink>
      <w:r w:rsidRPr="00D93080">
        <w:rPr>
          <w:rStyle w:val="Hyperlink"/>
          <w:rFonts w:asciiTheme="minorHAnsi" w:hAnsiTheme="minorHAnsi" w:cstheme="minorHAnsi"/>
          <w:szCs w:val="24"/>
        </w:rPr>
        <w:t>)</w:t>
      </w:r>
    </w:p>
    <w:p w14:paraId="02AF32CE" w14:textId="77777777" w:rsidR="000E66C2" w:rsidRDefault="000E66C2" w:rsidP="000E66C2">
      <w:pPr>
        <w:spacing w:before="0"/>
        <w:rPr>
          <w:szCs w:val="24"/>
        </w:rPr>
      </w:pPr>
    </w:p>
    <w:p w14:paraId="33B5E6DE" w14:textId="0B94D76B" w:rsidR="00B75D13" w:rsidRPr="00A260E3" w:rsidRDefault="000E66C2" w:rsidP="009B13DD">
      <w:pPr>
        <w:tabs>
          <w:tab w:val="clear" w:pos="567"/>
          <w:tab w:val="left" w:pos="709"/>
        </w:tabs>
        <w:spacing w:before="0"/>
        <w:rPr>
          <w:szCs w:val="24"/>
        </w:rPr>
      </w:pPr>
      <w:r>
        <w:rPr>
          <w:szCs w:val="24"/>
        </w:rPr>
        <w:t>7.1</w:t>
      </w:r>
      <w:r>
        <w:rPr>
          <w:szCs w:val="24"/>
        </w:rPr>
        <w:tab/>
      </w:r>
      <w:r w:rsidR="00B75D13" w:rsidRPr="00A260E3">
        <w:rPr>
          <w:szCs w:val="24"/>
        </w:rPr>
        <w:t xml:space="preserve">This document was introduced at Council 2024, which instructed </w:t>
      </w:r>
      <w:r>
        <w:rPr>
          <w:szCs w:val="24"/>
        </w:rPr>
        <w:t xml:space="preserve">the </w:t>
      </w:r>
      <w:r w:rsidR="00B75D13" w:rsidRPr="00A260E3">
        <w:rPr>
          <w:szCs w:val="24"/>
        </w:rPr>
        <w:t xml:space="preserve">CWG-FHR to continue the discussion on these matters. The Report provides information on the update of the Corporate Risk Register, noting that the full implementation of Enterprise Risk Management remains elusive at this stage </w:t>
      </w:r>
      <w:proofErr w:type="gramStart"/>
      <w:r w:rsidR="00B75D13" w:rsidRPr="00A260E3">
        <w:rPr>
          <w:szCs w:val="24"/>
        </w:rPr>
        <w:t>as a result of</w:t>
      </w:r>
      <w:proofErr w:type="gramEnd"/>
      <w:r w:rsidR="00B75D13" w:rsidRPr="00A260E3">
        <w:rPr>
          <w:szCs w:val="24"/>
        </w:rPr>
        <w:t xml:space="preserve"> the uneven articulation of objectives across ITU as part of our result-based management. The exercise has nonetheless allowed for the assessment of significant risks which are presented in the summary table appended to the report. Since, Council 2024, ITU has continued to monitor these risks to identify material changes in the internal and external environment that may affect their initial assessment. The report also discussed the 2024 Management Coordination Group internal control plan which focuses on the implementation outstanding elements of the ITU Accountability Model and Framework. On that score, the presentation mentioned that, since Council 2024, the ICT Governance Group has held its first sessions and systematic control monitoring activities, focusing on specific control, have been initiated.</w:t>
      </w:r>
    </w:p>
    <w:p w14:paraId="64669D33" w14:textId="77777777" w:rsidR="00B75D13" w:rsidRPr="00A260E3" w:rsidRDefault="00B75D13" w:rsidP="00B75D13">
      <w:pPr>
        <w:rPr>
          <w:b/>
          <w:bCs/>
          <w:szCs w:val="24"/>
          <w:lang w:val="en-US"/>
        </w:rPr>
      </w:pPr>
      <w:r w:rsidRPr="00A260E3">
        <w:rPr>
          <w:b/>
          <w:bCs/>
          <w:szCs w:val="24"/>
          <w:lang w:val="en-US"/>
        </w:rPr>
        <w:t>Summary of topics discussed during the Q&amp;A</w:t>
      </w:r>
    </w:p>
    <w:p w14:paraId="4FA9A377" w14:textId="77777777" w:rsidR="00B75D13" w:rsidRPr="00A260E3" w:rsidRDefault="00B75D13" w:rsidP="00B75D13">
      <w:pPr>
        <w:rPr>
          <w:i/>
          <w:iCs/>
          <w:szCs w:val="24"/>
          <w:u w:val="single"/>
          <w:lang w:val="en-US"/>
        </w:rPr>
      </w:pPr>
      <w:r w:rsidRPr="00A260E3">
        <w:rPr>
          <w:i/>
          <w:iCs/>
          <w:szCs w:val="24"/>
          <w:u w:val="single"/>
          <w:lang w:val="en-US"/>
        </w:rPr>
        <w:t>Financial risks</w:t>
      </w:r>
    </w:p>
    <w:p w14:paraId="39F0E253" w14:textId="64523705" w:rsidR="00B75D13" w:rsidRPr="00A260E3" w:rsidRDefault="000E66C2" w:rsidP="009B13DD">
      <w:pPr>
        <w:tabs>
          <w:tab w:val="clear" w:pos="567"/>
          <w:tab w:val="left" w:pos="709"/>
        </w:tabs>
        <w:rPr>
          <w:szCs w:val="24"/>
        </w:rPr>
      </w:pPr>
      <w:r w:rsidRPr="000E66C2">
        <w:rPr>
          <w:szCs w:val="24"/>
          <w:lang w:val="en-US"/>
        </w:rPr>
        <w:t>7.2</w:t>
      </w:r>
      <w:r w:rsidRPr="000E66C2">
        <w:rPr>
          <w:szCs w:val="24"/>
          <w:lang w:val="en-US"/>
        </w:rPr>
        <w:tab/>
      </w:r>
      <w:r>
        <w:rPr>
          <w:szCs w:val="24"/>
          <w:lang w:val="en-US"/>
        </w:rPr>
        <w:t>One delegation</w:t>
      </w:r>
      <w:r w:rsidR="00B75D13" w:rsidRPr="000E66C2">
        <w:rPr>
          <w:szCs w:val="24"/>
          <w:lang w:val="en-US"/>
        </w:rPr>
        <w:t>,</w:t>
      </w:r>
      <w:r w:rsidR="00B75D13" w:rsidRPr="00A260E3">
        <w:rPr>
          <w:szCs w:val="24"/>
        </w:rPr>
        <w:t xml:space="preserve"> seconded by other delegations, asked regarding financial risks, noting that at the Council session in June 2024, it was reported that the work on the assessment of these risks was still </w:t>
      </w:r>
      <w:r w:rsidR="000507D2">
        <w:rPr>
          <w:szCs w:val="24"/>
        </w:rPr>
        <w:t>ongoing</w:t>
      </w:r>
      <w:r w:rsidR="00B75D13" w:rsidRPr="00A260E3">
        <w:rPr>
          <w:szCs w:val="24"/>
        </w:rPr>
        <w:t xml:space="preserve">. </w:t>
      </w:r>
      <w:r w:rsidR="000507D2">
        <w:rPr>
          <w:szCs w:val="24"/>
        </w:rPr>
        <w:t xml:space="preserve">One delegate requested that </w:t>
      </w:r>
      <w:r w:rsidR="00B75D13" w:rsidRPr="00A260E3">
        <w:rPr>
          <w:szCs w:val="24"/>
        </w:rPr>
        <w:t xml:space="preserve">a document listing those risks </w:t>
      </w:r>
      <w:r w:rsidR="000507D2">
        <w:rPr>
          <w:szCs w:val="24"/>
        </w:rPr>
        <w:t xml:space="preserve">be submitted during this present session of </w:t>
      </w:r>
      <w:r w:rsidR="00B75D13" w:rsidRPr="00A260E3">
        <w:rPr>
          <w:szCs w:val="24"/>
        </w:rPr>
        <w:t>CWG-FHR</w:t>
      </w:r>
      <w:r w:rsidR="000507D2">
        <w:rPr>
          <w:szCs w:val="24"/>
        </w:rPr>
        <w:t>.</w:t>
      </w:r>
      <w:r w:rsidR="00B75D13" w:rsidRPr="00A260E3">
        <w:rPr>
          <w:szCs w:val="24"/>
        </w:rPr>
        <w:t xml:space="preserve"> The Chair later reiterated this request to ensure that this document should be ready for discussion on Wednesday</w:t>
      </w:r>
      <w:r w:rsidR="000507D2">
        <w:rPr>
          <w:szCs w:val="24"/>
        </w:rPr>
        <w:t>, 9 October 2024</w:t>
      </w:r>
      <w:r w:rsidR="00B75D13" w:rsidRPr="00A260E3">
        <w:rPr>
          <w:szCs w:val="24"/>
        </w:rPr>
        <w:t xml:space="preserve">. The </w:t>
      </w:r>
      <w:r w:rsidR="000507D2">
        <w:rPr>
          <w:szCs w:val="24"/>
        </w:rPr>
        <w:t xml:space="preserve">secretariat </w:t>
      </w:r>
      <w:r w:rsidR="00B75D13" w:rsidRPr="00A260E3">
        <w:rPr>
          <w:szCs w:val="24"/>
        </w:rPr>
        <w:t>mentioned that, pursuant to engagement with FRMD and others, the assessment of those risks have been completed and a summary table of the financial risks with mitigation measures could be prepared as requested. In terms of significant financial risks, the risk related to cost-recovery revenues, which have varied significantly in recent years, feature prominently. Notwithstanding, the requested document will also list other more moderate financial risks.</w:t>
      </w:r>
    </w:p>
    <w:p w14:paraId="692758AD" w14:textId="121B0F3F" w:rsidR="00B75D13" w:rsidRPr="000405B4" w:rsidRDefault="00B75D13" w:rsidP="00B75D13">
      <w:pPr>
        <w:rPr>
          <w:i/>
          <w:szCs w:val="24"/>
          <w:u w:val="single"/>
          <w:lang w:val="en-US"/>
        </w:rPr>
      </w:pPr>
      <w:r w:rsidRPr="000405B4">
        <w:rPr>
          <w:i/>
          <w:szCs w:val="24"/>
          <w:u w:val="single"/>
        </w:rPr>
        <w:t>Risk severity</w:t>
      </w:r>
    </w:p>
    <w:p w14:paraId="2581CC7A" w14:textId="395088CC" w:rsidR="00B75D13" w:rsidRPr="00A260E3" w:rsidRDefault="000507D2" w:rsidP="009B13DD">
      <w:pPr>
        <w:tabs>
          <w:tab w:val="clear" w:pos="567"/>
          <w:tab w:val="left" w:pos="709"/>
        </w:tabs>
        <w:rPr>
          <w:i/>
          <w:iCs/>
          <w:szCs w:val="24"/>
          <w:u w:val="single"/>
        </w:rPr>
      </w:pPr>
      <w:r>
        <w:rPr>
          <w:szCs w:val="24"/>
        </w:rPr>
        <w:t>7.3</w:t>
      </w:r>
      <w:r>
        <w:rPr>
          <w:szCs w:val="24"/>
        </w:rPr>
        <w:tab/>
      </w:r>
      <w:r w:rsidR="000E66C2">
        <w:rPr>
          <w:szCs w:val="24"/>
        </w:rPr>
        <w:t xml:space="preserve">Several </w:t>
      </w:r>
      <w:r w:rsidR="00B75D13" w:rsidRPr="00A260E3">
        <w:rPr>
          <w:szCs w:val="24"/>
        </w:rPr>
        <w:t xml:space="preserve">delegations requested information regarding the severity ranking of risks, with </w:t>
      </w:r>
      <w:r w:rsidR="000E66C2">
        <w:rPr>
          <w:szCs w:val="24"/>
        </w:rPr>
        <w:t xml:space="preserve">one delegate </w:t>
      </w:r>
      <w:r w:rsidR="00B75D13" w:rsidRPr="00A260E3">
        <w:rPr>
          <w:szCs w:val="24"/>
        </w:rPr>
        <w:t>referring to the significant risk related to working method</w:t>
      </w:r>
      <w:r>
        <w:rPr>
          <w:szCs w:val="24"/>
        </w:rPr>
        <w:t>s</w:t>
      </w:r>
      <w:r w:rsidR="00B75D13" w:rsidRPr="00A260E3">
        <w:rPr>
          <w:szCs w:val="24"/>
        </w:rPr>
        <w:t xml:space="preserve"> at major events for staff and delegates. The </w:t>
      </w:r>
      <w:r w:rsidR="000E66C2">
        <w:rPr>
          <w:szCs w:val="24"/>
        </w:rPr>
        <w:t xml:space="preserve">secretariat </w:t>
      </w:r>
      <w:r w:rsidR="00B75D13" w:rsidRPr="00A260E3">
        <w:rPr>
          <w:szCs w:val="24"/>
        </w:rPr>
        <w:t>explained that the summary of the risks appended to document C24/49 only compiled the most significant risks recorded in the Risk Register at the time, the severity of which was assessed together with the risk owners who have in-depth knowledge of their area of work. Regarding the working method</w:t>
      </w:r>
      <w:r>
        <w:rPr>
          <w:szCs w:val="24"/>
        </w:rPr>
        <w:t>s</w:t>
      </w:r>
      <w:r w:rsidR="00B75D13" w:rsidRPr="00A260E3">
        <w:rPr>
          <w:szCs w:val="24"/>
        </w:rPr>
        <w:t xml:space="preserve"> at events, with the recent implementation of SAP cloud-based registration module, which helps manage access to event premises and our document management system, the severity of that risk has been lower. The probability of a disruption is now significantly lower than it was with the no-longer legacy system components in use until recently, which were prone to failure and more vulnerable to attacks.</w:t>
      </w:r>
    </w:p>
    <w:p w14:paraId="7F8E1FCF" w14:textId="7EE47FA5" w:rsidR="00B75D13" w:rsidRPr="00A260E3" w:rsidRDefault="00B75D13" w:rsidP="00B75D13">
      <w:pPr>
        <w:rPr>
          <w:i/>
          <w:iCs/>
          <w:szCs w:val="24"/>
          <w:u w:val="single"/>
        </w:rPr>
      </w:pPr>
      <w:r w:rsidRPr="00A260E3">
        <w:rPr>
          <w:i/>
          <w:iCs/>
          <w:szCs w:val="24"/>
          <w:u w:val="single"/>
        </w:rPr>
        <w:lastRenderedPageBreak/>
        <w:t>Risk appetite</w:t>
      </w:r>
    </w:p>
    <w:p w14:paraId="0A6750F2" w14:textId="430D55FB" w:rsidR="00B75D13" w:rsidRPr="00A260E3" w:rsidRDefault="000507D2" w:rsidP="009B13DD">
      <w:pPr>
        <w:tabs>
          <w:tab w:val="clear" w:pos="567"/>
          <w:tab w:val="left" w:pos="709"/>
        </w:tabs>
        <w:rPr>
          <w:szCs w:val="24"/>
        </w:rPr>
      </w:pPr>
      <w:r>
        <w:rPr>
          <w:szCs w:val="24"/>
        </w:rPr>
        <w:t>7.</w:t>
      </w:r>
      <w:r w:rsidR="0055043F">
        <w:rPr>
          <w:szCs w:val="24"/>
        </w:rPr>
        <w:t>4</w:t>
      </w:r>
      <w:r>
        <w:rPr>
          <w:szCs w:val="24"/>
        </w:rPr>
        <w:tab/>
        <w:t xml:space="preserve">Several </w:t>
      </w:r>
      <w:r w:rsidR="00B75D13" w:rsidRPr="00A260E3">
        <w:rPr>
          <w:szCs w:val="24"/>
        </w:rPr>
        <w:t xml:space="preserve">delegations enquired regarding ITU’s risk appetite. The </w:t>
      </w:r>
      <w:r>
        <w:rPr>
          <w:szCs w:val="24"/>
        </w:rPr>
        <w:t xml:space="preserve">secretariat </w:t>
      </w:r>
      <w:r w:rsidR="00B75D13" w:rsidRPr="00A260E3">
        <w:rPr>
          <w:szCs w:val="24"/>
        </w:rPr>
        <w:t xml:space="preserve">clarified that the risk appetite statement is included in the 2020 ITU Risk Management Policy. Resolution 217 </w:t>
      </w:r>
      <w:r>
        <w:rPr>
          <w:szCs w:val="24"/>
        </w:rPr>
        <w:t>(</w:t>
      </w:r>
      <w:r w:rsidR="00E81AF7">
        <w:rPr>
          <w:szCs w:val="24"/>
        </w:rPr>
        <w:t xml:space="preserve">Bucharest, 2022) </w:t>
      </w:r>
      <w:r w:rsidR="00B75D13" w:rsidRPr="00A260E3">
        <w:rPr>
          <w:szCs w:val="24"/>
        </w:rPr>
        <w:t>requests that ITU update this Risk Management Policy, which will provide the opportunity to also revised the risk appetite statement, notably to address an IMAC recommendation to ensure that our risk appetite is commensurably aligned</w:t>
      </w:r>
      <w:r w:rsidR="00E81AF7">
        <w:rPr>
          <w:szCs w:val="24"/>
        </w:rPr>
        <w:t xml:space="preserve"> - i.e., </w:t>
      </w:r>
      <w:r w:rsidR="00B75D13" w:rsidRPr="00A260E3">
        <w:rPr>
          <w:szCs w:val="24"/>
        </w:rPr>
        <w:t>is not overly risk averse when it comes to innovation — to the objectives of the Transformation Project.</w:t>
      </w:r>
    </w:p>
    <w:p w14:paraId="38991A6C" w14:textId="77777777" w:rsidR="00B75D13" w:rsidRPr="00A260E3" w:rsidRDefault="00B75D13" w:rsidP="00B75D13">
      <w:pPr>
        <w:rPr>
          <w:i/>
          <w:iCs/>
          <w:szCs w:val="24"/>
          <w:u w:val="single"/>
        </w:rPr>
      </w:pPr>
      <w:r w:rsidRPr="00A260E3">
        <w:rPr>
          <w:i/>
          <w:iCs/>
          <w:szCs w:val="24"/>
          <w:u w:val="single"/>
        </w:rPr>
        <w:t>Risk management and internal oversight</w:t>
      </w:r>
    </w:p>
    <w:p w14:paraId="64977826" w14:textId="7533ABDD" w:rsidR="00B75D13" w:rsidRPr="00A260E3" w:rsidRDefault="0055043F" w:rsidP="009B13DD">
      <w:pPr>
        <w:tabs>
          <w:tab w:val="clear" w:pos="567"/>
          <w:tab w:val="left" w:pos="709"/>
        </w:tabs>
        <w:rPr>
          <w:szCs w:val="24"/>
        </w:rPr>
      </w:pPr>
      <w:r>
        <w:rPr>
          <w:szCs w:val="24"/>
        </w:rPr>
        <w:t>7.5</w:t>
      </w:r>
      <w:r>
        <w:rPr>
          <w:szCs w:val="24"/>
        </w:rPr>
        <w:tab/>
      </w:r>
      <w:r w:rsidR="00E81AF7">
        <w:rPr>
          <w:szCs w:val="24"/>
        </w:rPr>
        <w:t xml:space="preserve">One delegate </w:t>
      </w:r>
      <w:r w:rsidR="00B75D13" w:rsidRPr="00A260E3">
        <w:rPr>
          <w:szCs w:val="24"/>
        </w:rPr>
        <w:t>refer</w:t>
      </w:r>
      <w:r w:rsidR="00E81AF7">
        <w:rPr>
          <w:szCs w:val="24"/>
        </w:rPr>
        <w:t>red</w:t>
      </w:r>
      <w:r w:rsidR="00B75D13" w:rsidRPr="00A260E3">
        <w:rPr>
          <w:szCs w:val="24"/>
        </w:rPr>
        <w:t xml:space="preserve"> to Council 2024 discussions on the oversight function and enquire</w:t>
      </w:r>
      <w:r w:rsidR="00E81AF7">
        <w:rPr>
          <w:szCs w:val="24"/>
        </w:rPr>
        <w:t>d</w:t>
      </w:r>
      <w:r w:rsidR="00B75D13" w:rsidRPr="00A260E3">
        <w:rPr>
          <w:szCs w:val="24"/>
        </w:rPr>
        <w:t xml:space="preserve"> regarding its relation to the risk and internal control management function and activities. The </w:t>
      </w:r>
      <w:r w:rsidR="00E81AF7">
        <w:rPr>
          <w:szCs w:val="24"/>
        </w:rPr>
        <w:t xml:space="preserve">secretariat </w:t>
      </w:r>
      <w:r w:rsidR="00B75D13" w:rsidRPr="00A260E3">
        <w:rPr>
          <w:szCs w:val="24"/>
        </w:rPr>
        <w:t>explained that the 2020 Risk Management Policy refers to the Three Lines Model for the conduct of risk and control activities within ITU. The First Line comprises managers who have day-to-day ownership and management of risks and controls in their business areas; the Second Line regroups various functions, such as risk management, ethics, physical and information security, to provide support to first line managers regarding their risk and control responsibilities; and Third Line functions, such as the Oversight functions, provided independent assurance to governing bodies and senior management regarding the robustness and adequacy of the internal control system, including the work of first line and second line functions.</w:t>
      </w:r>
    </w:p>
    <w:p w14:paraId="21E93E9F" w14:textId="77777777" w:rsidR="00B75D13" w:rsidRPr="00A260E3" w:rsidRDefault="00B75D13" w:rsidP="00B75D13">
      <w:pPr>
        <w:rPr>
          <w:i/>
          <w:iCs/>
          <w:szCs w:val="24"/>
          <w:u w:val="single"/>
        </w:rPr>
      </w:pPr>
      <w:r w:rsidRPr="00A260E3">
        <w:rPr>
          <w:i/>
          <w:iCs/>
          <w:szCs w:val="24"/>
          <w:u w:val="single"/>
        </w:rPr>
        <w:t>Staff well-being</w:t>
      </w:r>
    </w:p>
    <w:p w14:paraId="0C14140F" w14:textId="1BE808F9" w:rsidR="00B75D13" w:rsidRPr="00A260E3" w:rsidRDefault="0055043F" w:rsidP="009B13DD">
      <w:pPr>
        <w:tabs>
          <w:tab w:val="clear" w:pos="567"/>
          <w:tab w:val="left" w:pos="709"/>
        </w:tabs>
        <w:rPr>
          <w:szCs w:val="24"/>
        </w:rPr>
      </w:pPr>
      <w:r>
        <w:rPr>
          <w:szCs w:val="24"/>
        </w:rPr>
        <w:t>7.6</w:t>
      </w:r>
      <w:r>
        <w:rPr>
          <w:szCs w:val="24"/>
        </w:rPr>
        <w:tab/>
      </w:r>
      <w:r w:rsidR="00E81AF7">
        <w:rPr>
          <w:szCs w:val="24"/>
        </w:rPr>
        <w:t xml:space="preserve">One delegate </w:t>
      </w:r>
      <w:r w:rsidR="00B75D13" w:rsidRPr="00A260E3">
        <w:rPr>
          <w:szCs w:val="24"/>
        </w:rPr>
        <w:t xml:space="preserve">enquired regarding the risk related to staff well-being and the measures intended by </w:t>
      </w:r>
      <w:r w:rsidR="00E81AF7">
        <w:rPr>
          <w:szCs w:val="24"/>
        </w:rPr>
        <w:t xml:space="preserve">the secretariat as </w:t>
      </w:r>
      <w:r w:rsidR="00B75D13" w:rsidRPr="00A260E3">
        <w:rPr>
          <w:szCs w:val="24"/>
        </w:rPr>
        <w:t xml:space="preserve">discussed at Council 2024, to mitigate this risk. The </w:t>
      </w:r>
      <w:r w:rsidR="00E81AF7">
        <w:rPr>
          <w:szCs w:val="24"/>
        </w:rPr>
        <w:t xml:space="preserve">secretariat </w:t>
      </w:r>
      <w:r w:rsidR="00B75D13" w:rsidRPr="00A260E3">
        <w:rPr>
          <w:szCs w:val="24"/>
        </w:rPr>
        <w:t>reiterate</w:t>
      </w:r>
      <w:r w:rsidR="00E81AF7">
        <w:rPr>
          <w:szCs w:val="24"/>
        </w:rPr>
        <w:t>d</w:t>
      </w:r>
      <w:r w:rsidR="00B75D13" w:rsidRPr="00A260E3">
        <w:rPr>
          <w:szCs w:val="24"/>
        </w:rPr>
        <w:t xml:space="preserve"> its concern regarding this risk and provided an update on the implementation of these measures, noting that these would be insufficient if not pursued on a continual basis to address this risk. </w:t>
      </w:r>
    </w:p>
    <w:p w14:paraId="7952430F" w14:textId="77777777" w:rsidR="00B75D13" w:rsidRPr="00A260E3" w:rsidRDefault="00B75D13" w:rsidP="00B75D13">
      <w:pPr>
        <w:rPr>
          <w:i/>
          <w:iCs/>
          <w:szCs w:val="24"/>
          <w:u w:val="single"/>
        </w:rPr>
      </w:pPr>
      <w:r w:rsidRPr="00A260E3">
        <w:rPr>
          <w:i/>
          <w:iCs/>
          <w:szCs w:val="24"/>
          <w:u w:val="single"/>
        </w:rPr>
        <w:t>Risks related to the new building construction project</w:t>
      </w:r>
    </w:p>
    <w:p w14:paraId="63E39ED1" w14:textId="62961D09" w:rsidR="00B75D13" w:rsidRPr="00A260E3" w:rsidRDefault="0055043F" w:rsidP="009B13DD">
      <w:pPr>
        <w:tabs>
          <w:tab w:val="clear" w:pos="567"/>
          <w:tab w:val="left" w:pos="709"/>
        </w:tabs>
        <w:rPr>
          <w:szCs w:val="24"/>
        </w:rPr>
      </w:pPr>
      <w:r>
        <w:rPr>
          <w:szCs w:val="24"/>
        </w:rPr>
        <w:t>7.7</w:t>
      </w:r>
      <w:r>
        <w:rPr>
          <w:szCs w:val="24"/>
        </w:rPr>
        <w:tab/>
      </w:r>
      <w:r w:rsidR="00B75D13" w:rsidRPr="00A260E3">
        <w:rPr>
          <w:szCs w:val="24"/>
        </w:rPr>
        <w:t xml:space="preserve">The Chair addressed the issue </w:t>
      </w:r>
      <w:r w:rsidR="00E81AF7">
        <w:rPr>
          <w:szCs w:val="24"/>
        </w:rPr>
        <w:t xml:space="preserve">raised on </w:t>
      </w:r>
      <w:r w:rsidR="00B75D13" w:rsidRPr="00A260E3">
        <w:rPr>
          <w:szCs w:val="24"/>
        </w:rPr>
        <w:t xml:space="preserve">the risks linked to the construction project </w:t>
      </w:r>
      <w:r w:rsidR="00E81AF7">
        <w:rPr>
          <w:szCs w:val="24"/>
        </w:rPr>
        <w:t xml:space="preserve">and reminded delegates </w:t>
      </w:r>
      <w:r w:rsidR="00B75D13" w:rsidRPr="00A260E3">
        <w:rPr>
          <w:szCs w:val="24"/>
        </w:rPr>
        <w:t>that this is cover</w:t>
      </w:r>
      <w:r w:rsidR="00E81AF7">
        <w:rPr>
          <w:szCs w:val="24"/>
        </w:rPr>
        <w:t>ed</w:t>
      </w:r>
      <w:r w:rsidR="00B75D13" w:rsidRPr="00A260E3">
        <w:rPr>
          <w:szCs w:val="24"/>
        </w:rPr>
        <w:t xml:space="preserve"> by the Member States Advisory Group.</w:t>
      </w:r>
    </w:p>
    <w:p w14:paraId="7E74CAF6" w14:textId="735592ED" w:rsidR="00B75D13" w:rsidRPr="00A260E3" w:rsidRDefault="00B75D13" w:rsidP="00B75D13">
      <w:pPr>
        <w:rPr>
          <w:b/>
          <w:bCs/>
          <w:szCs w:val="24"/>
          <w:lang w:val="en-US"/>
        </w:rPr>
      </w:pPr>
      <w:r w:rsidRPr="00A260E3">
        <w:rPr>
          <w:b/>
          <w:bCs/>
          <w:szCs w:val="24"/>
          <w:lang w:val="en-US"/>
        </w:rPr>
        <w:t>Summary table of financial risks (</w:t>
      </w:r>
      <w:r w:rsidR="000E66C2">
        <w:rPr>
          <w:b/>
          <w:bCs/>
          <w:szCs w:val="24"/>
          <w:lang w:val="en-US"/>
        </w:rPr>
        <w:t>CWG-FHR-19/</w:t>
      </w:r>
      <w:r w:rsidRPr="00A260E3">
        <w:rPr>
          <w:b/>
          <w:bCs/>
          <w:szCs w:val="24"/>
          <w:lang w:val="en-US"/>
        </w:rPr>
        <w:t>DT/2)</w:t>
      </w:r>
    </w:p>
    <w:p w14:paraId="619B3142" w14:textId="24C1DB02" w:rsidR="00B75D13" w:rsidRPr="00A260E3" w:rsidRDefault="0055043F" w:rsidP="009B13DD">
      <w:pPr>
        <w:tabs>
          <w:tab w:val="clear" w:pos="567"/>
          <w:tab w:val="left" w:pos="709"/>
        </w:tabs>
        <w:rPr>
          <w:szCs w:val="24"/>
          <w:lang w:val="en-US"/>
        </w:rPr>
      </w:pPr>
      <w:r>
        <w:rPr>
          <w:szCs w:val="24"/>
          <w:lang w:val="en-US"/>
        </w:rPr>
        <w:t>7.8</w:t>
      </w:r>
      <w:r>
        <w:rPr>
          <w:szCs w:val="24"/>
          <w:lang w:val="en-US"/>
        </w:rPr>
        <w:tab/>
      </w:r>
      <w:r w:rsidR="00B75D13" w:rsidRPr="00A260E3">
        <w:rPr>
          <w:szCs w:val="24"/>
          <w:lang w:val="en-US"/>
        </w:rPr>
        <w:t xml:space="preserve">Document </w:t>
      </w:r>
      <w:r w:rsidR="000E66C2">
        <w:rPr>
          <w:szCs w:val="24"/>
          <w:lang w:val="en-US"/>
        </w:rPr>
        <w:t>CWG-FHR-19/</w:t>
      </w:r>
      <w:r w:rsidR="00B75D13" w:rsidRPr="00A260E3">
        <w:rPr>
          <w:szCs w:val="24"/>
          <w:lang w:val="en-US"/>
        </w:rPr>
        <w:t>DT/2 provide</w:t>
      </w:r>
      <w:r w:rsidR="003269C3">
        <w:rPr>
          <w:szCs w:val="24"/>
          <w:lang w:val="en-US"/>
        </w:rPr>
        <w:t>s</w:t>
      </w:r>
      <w:r w:rsidR="00B75D13" w:rsidRPr="00A260E3">
        <w:rPr>
          <w:szCs w:val="24"/>
          <w:lang w:val="en-US"/>
        </w:rPr>
        <w:t xml:space="preserve"> a summary table of the main financial risks discussed with risk owners as part of our exercise to update the Corporate Risk Register. The financial risks listed related to the significant year-to-year variance of cost-recovery revenue, financial stability and long-term financial liabilities, and financial reporting in general. The </w:t>
      </w:r>
      <w:r w:rsidR="003269C3">
        <w:rPr>
          <w:szCs w:val="24"/>
          <w:lang w:val="en-US"/>
        </w:rPr>
        <w:t xml:space="preserve">secretariat stated that </w:t>
      </w:r>
      <w:r w:rsidR="00B75D13" w:rsidRPr="00A260E3">
        <w:rPr>
          <w:szCs w:val="24"/>
          <w:lang w:val="en-US"/>
        </w:rPr>
        <w:t xml:space="preserve">these risks also relate to discussions of CWG-FHR </w:t>
      </w:r>
      <w:r w:rsidR="003269C3">
        <w:rPr>
          <w:szCs w:val="24"/>
          <w:lang w:val="en-US"/>
        </w:rPr>
        <w:t xml:space="preserve">held at the previous day’s session </w:t>
      </w:r>
      <w:r w:rsidR="00B75D13" w:rsidRPr="00A260E3">
        <w:rPr>
          <w:szCs w:val="24"/>
          <w:lang w:val="en-US"/>
        </w:rPr>
        <w:t xml:space="preserve">such as the financial implications of conference proposals, cost recovery and membership fees; </w:t>
      </w:r>
      <w:proofErr w:type="gramStart"/>
      <w:r w:rsidR="00B75D13" w:rsidRPr="00A260E3">
        <w:rPr>
          <w:szCs w:val="24"/>
          <w:lang w:val="en-US"/>
        </w:rPr>
        <w:t>and also</w:t>
      </w:r>
      <w:proofErr w:type="gramEnd"/>
      <w:r w:rsidR="00B75D13" w:rsidRPr="00A260E3">
        <w:rPr>
          <w:szCs w:val="24"/>
          <w:lang w:val="en-US"/>
        </w:rPr>
        <w:t xml:space="preserve">, this morning, the discussions following the intervention of </w:t>
      </w:r>
      <w:r w:rsidR="003269C3">
        <w:rPr>
          <w:szCs w:val="24"/>
          <w:lang w:val="en-US"/>
        </w:rPr>
        <w:t xml:space="preserve">one delegate </w:t>
      </w:r>
      <w:r w:rsidR="00B75D13" w:rsidRPr="00A260E3">
        <w:rPr>
          <w:szCs w:val="24"/>
          <w:lang w:val="en-US"/>
        </w:rPr>
        <w:t>on investment policy as it related to the financial stability of ITU.</w:t>
      </w:r>
    </w:p>
    <w:p w14:paraId="19BD8E6A" w14:textId="77777777" w:rsidR="00B75D13" w:rsidRPr="00A260E3" w:rsidRDefault="00B75D13" w:rsidP="00B75D13">
      <w:pPr>
        <w:rPr>
          <w:b/>
          <w:bCs/>
          <w:szCs w:val="24"/>
          <w:lang w:val="en-US"/>
        </w:rPr>
      </w:pPr>
      <w:r w:rsidRPr="00A260E3">
        <w:rPr>
          <w:b/>
          <w:bCs/>
          <w:szCs w:val="24"/>
          <w:lang w:val="en-US"/>
        </w:rPr>
        <w:t>Summary of topics discussed during the Q&amp;A</w:t>
      </w:r>
    </w:p>
    <w:p w14:paraId="180D3F65" w14:textId="40272A24" w:rsidR="00B75D13" w:rsidRPr="00A260E3" w:rsidRDefault="0055043F" w:rsidP="009B13DD">
      <w:pPr>
        <w:tabs>
          <w:tab w:val="clear" w:pos="567"/>
          <w:tab w:val="left" w:pos="709"/>
        </w:tabs>
        <w:rPr>
          <w:szCs w:val="24"/>
          <w:lang w:val="en-US"/>
        </w:rPr>
      </w:pPr>
      <w:r>
        <w:rPr>
          <w:szCs w:val="24"/>
          <w:lang w:val="en-US"/>
        </w:rPr>
        <w:t>7.9</w:t>
      </w:r>
      <w:r>
        <w:rPr>
          <w:szCs w:val="24"/>
          <w:lang w:val="en-US"/>
        </w:rPr>
        <w:tab/>
      </w:r>
      <w:r w:rsidR="00407988">
        <w:rPr>
          <w:szCs w:val="24"/>
          <w:lang w:val="en-US"/>
        </w:rPr>
        <w:t xml:space="preserve">One delegate </w:t>
      </w:r>
      <w:r w:rsidR="00B75D13" w:rsidRPr="00A260E3">
        <w:rPr>
          <w:szCs w:val="24"/>
          <w:lang w:val="en-US"/>
        </w:rPr>
        <w:t xml:space="preserve">thanked the </w:t>
      </w:r>
      <w:r w:rsidR="00407988">
        <w:rPr>
          <w:szCs w:val="24"/>
          <w:lang w:val="en-US"/>
        </w:rPr>
        <w:t xml:space="preserve">secretariat </w:t>
      </w:r>
      <w:r w:rsidR="00B75D13" w:rsidRPr="00A260E3">
        <w:rPr>
          <w:szCs w:val="24"/>
          <w:lang w:val="en-US"/>
        </w:rPr>
        <w:t>for the preparation of this document on short notice which provide</w:t>
      </w:r>
      <w:r w:rsidR="00407988">
        <w:rPr>
          <w:szCs w:val="24"/>
          <w:lang w:val="en-US"/>
        </w:rPr>
        <w:t>d</w:t>
      </w:r>
      <w:r w:rsidR="00B75D13" w:rsidRPr="00A260E3">
        <w:rPr>
          <w:szCs w:val="24"/>
          <w:lang w:val="en-US"/>
        </w:rPr>
        <w:t xml:space="preserve"> the requested information regarding the assessment of financial risks. </w:t>
      </w:r>
      <w:r w:rsidR="00407988">
        <w:rPr>
          <w:szCs w:val="24"/>
          <w:lang w:val="en-US"/>
        </w:rPr>
        <w:t xml:space="preserve">The delegate also expressed the wish </w:t>
      </w:r>
      <w:r w:rsidR="00B75D13" w:rsidRPr="00A260E3">
        <w:rPr>
          <w:szCs w:val="24"/>
          <w:lang w:val="en-US"/>
        </w:rPr>
        <w:t xml:space="preserve">that the continual work of </w:t>
      </w:r>
      <w:r w:rsidR="00407988">
        <w:rPr>
          <w:szCs w:val="24"/>
          <w:lang w:val="en-US"/>
        </w:rPr>
        <w:t xml:space="preserve">secretariat </w:t>
      </w:r>
      <w:r w:rsidR="00B75D13" w:rsidRPr="00A260E3">
        <w:rPr>
          <w:szCs w:val="24"/>
          <w:lang w:val="en-US"/>
        </w:rPr>
        <w:t>would cover observations by the External Auditor on fraud risks that were included in its interim report, but unfortunately these observations were not reiterated and specified in its subsequent complementary report.</w:t>
      </w:r>
    </w:p>
    <w:p w14:paraId="4F45B2B9" w14:textId="38D90BEB" w:rsidR="00B75D13" w:rsidRPr="00A260E3" w:rsidRDefault="0055043F" w:rsidP="009B13DD">
      <w:pPr>
        <w:tabs>
          <w:tab w:val="clear" w:pos="567"/>
          <w:tab w:val="left" w:pos="709"/>
        </w:tabs>
        <w:rPr>
          <w:szCs w:val="24"/>
          <w:lang w:val="en-US"/>
        </w:rPr>
      </w:pPr>
      <w:r>
        <w:rPr>
          <w:szCs w:val="24"/>
          <w:lang w:val="en-US"/>
        </w:rPr>
        <w:lastRenderedPageBreak/>
        <w:t>7.10</w:t>
      </w:r>
      <w:r>
        <w:rPr>
          <w:szCs w:val="24"/>
          <w:lang w:val="en-US"/>
        </w:rPr>
        <w:tab/>
      </w:r>
      <w:r w:rsidR="00B75D13" w:rsidRPr="00A260E3">
        <w:rPr>
          <w:szCs w:val="24"/>
          <w:lang w:val="en-US"/>
        </w:rPr>
        <w:t xml:space="preserve">The </w:t>
      </w:r>
      <w:r w:rsidR="00407988">
        <w:rPr>
          <w:szCs w:val="24"/>
          <w:lang w:val="en-US"/>
        </w:rPr>
        <w:t xml:space="preserve">secretariat </w:t>
      </w:r>
      <w:r w:rsidR="00B75D13" w:rsidRPr="00A260E3">
        <w:rPr>
          <w:szCs w:val="24"/>
          <w:lang w:val="en-US"/>
        </w:rPr>
        <w:t>refer</w:t>
      </w:r>
      <w:r w:rsidR="00407988">
        <w:rPr>
          <w:szCs w:val="24"/>
          <w:lang w:val="en-US"/>
        </w:rPr>
        <w:t>red</w:t>
      </w:r>
      <w:r w:rsidR="00B75D13" w:rsidRPr="00A260E3">
        <w:rPr>
          <w:szCs w:val="24"/>
          <w:lang w:val="en-US"/>
        </w:rPr>
        <w:t xml:space="preserve"> to the External Auditor’s report and underscored and further expanded on mitigation measures for the financial risks listed in the summary table, notably in relation to the investment policy and new investment committee, which provided for a non-speculative and risk-averse approach for treasury management; the collection of pledged unit contributions and management of arrears; and cost-recovery, notably as this related to satellite network filling and the difficulties in gathering advance information.</w:t>
      </w:r>
    </w:p>
    <w:p w14:paraId="03EBBFBD" w14:textId="77777777" w:rsidR="006C7788" w:rsidRPr="00B75D13" w:rsidRDefault="006C7788" w:rsidP="00296B9F">
      <w:pPr>
        <w:tabs>
          <w:tab w:val="clear" w:pos="567"/>
          <w:tab w:val="clear" w:pos="1134"/>
          <w:tab w:val="clear" w:pos="1701"/>
          <w:tab w:val="clear" w:pos="2268"/>
          <w:tab w:val="clear" w:pos="2835"/>
          <w:tab w:val="left" w:pos="709"/>
        </w:tabs>
        <w:spacing w:before="0"/>
        <w:rPr>
          <w:bCs/>
          <w:szCs w:val="24"/>
          <w:lang w:val="en-US"/>
        </w:rPr>
      </w:pPr>
    </w:p>
    <w:p w14:paraId="3494C444" w14:textId="3B0D477D" w:rsidR="00296B9F" w:rsidRPr="007B310B" w:rsidRDefault="006C7788" w:rsidP="00296B9F">
      <w:pPr>
        <w:tabs>
          <w:tab w:val="clear" w:pos="567"/>
          <w:tab w:val="clear" w:pos="1134"/>
          <w:tab w:val="clear" w:pos="1701"/>
          <w:tab w:val="clear" w:pos="2268"/>
          <w:tab w:val="clear" w:pos="2835"/>
          <w:tab w:val="left" w:pos="709"/>
        </w:tabs>
        <w:spacing w:before="0"/>
        <w:rPr>
          <w:b/>
          <w:bCs/>
          <w:szCs w:val="24"/>
        </w:rPr>
      </w:pPr>
      <w:r>
        <w:rPr>
          <w:b/>
          <w:bCs/>
          <w:szCs w:val="24"/>
        </w:rPr>
        <w:t>8</w:t>
      </w:r>
      <w:r w:rsidR="00F75A7F">
        <w:rPr>
          <w:b/>
          <w:bCs/>
          <w:szCs w:val="24"/>
        </w:rPr>
        <w:tab/>
      </w:r>
      <w:r w:rsidR="00F75A7F" w:rsidRPr="007B310B">
        <w:rPr>
          <w:rFonts w:asciiTheme="minorHAnsi" w:hAnsiTheme="minorHAnsi" w:cstheme="minorHAnsi"/>
          <w:b/>
          <w:bCs/>
        </w:rPr>
        <w:t>Update on the Union's headquarters premises project</w:t>
      </w:r>
      <w:r w:rsidR="00AC260D">
        <w:rPr>
          <w:rFonts w:asciiTheme="minorHAnsi" w:hAnsiTheme="minorHAnsi" w:cstheme="minorHAnsi"/>
          <w:b/>
          <w:bCs/>
        </w:rPr>
        <w:br/>
      </w:r>
      <w:r w:rsidR="00AC260D">
        <w:rPr>
          <w:rFonts w:asciiTheme="minorHAnsi" w:hAnsiTheme="minorHAnsi" w:cstheme="minorHAnsi"/>
          <w:b/>
          <w:bCs/>
        </w:rPr>
        <w:tab/>
      </w:r>
      <w:r w:rsidR="00F75A7F" w:rsidRPr="007B310B">
        <w:rPr>
          <w:rFonts w:asciiTheme="minorHAnsi" w:hAnsiTheme="minorHAnsi" w:cstheme="minorHAnsi"/>
          <w:b/>
          <w:bCs/>
        </w:rPr>
        <w:t>(</w:t>
      </w:r>
      <w:r w:rsidR="007B310B" w:rsidRPr="0041131B">
        <w:rPr>
          <w:rFonts w:asciiTheme="minorHAnsi" w:hAnsiTheme="minorHAnsi" w:cstheme="minorHAnsi"/>
          <w:b/>
          <w:bCs/>
        </w:rPr>
        <w:t>Document</w:t>
      </w:r>
      <w:r w:rsidR="007B310B" w:rsidRPr="007B310B">
        <w:rPr>
          <w:b/>
          <w:bCs/>
        </w:rPr>
        <w:t xml:space="preserve"> </w:t>
      </w:r>
      <w:hyperlink r:id="rId19" w:history="1">
        <w:r w:rsidR="00F75A7F" w:rsidRPr="00D93080">
          <w:rPr>
            <w:rStyle w:val="Hyperlink"/>
            <w:rFonts w:asciiTheme="minorHAnsi" w:hAnsiTheme="minorHAnsi" w:cstheme="minorHAnsi"/>
            <w:b/>
            <w:szCs w:val="24"/>
          </w:rPr>
          <w:t>CWG-FHR-19/1</w:t>
        </w:r>
        <w:r w:rsidR="00F75A7F" w:rsidRPr="00D93080">
          <w:rPr>
            <w:rStyle w:val="Hyperlink"/>
            <w:b/>
            <w:szCs w:val="24"/>
          </w:rPr>
          <w:t>0</w:t>
        </w:r>
      </w:hyperlink>
      <w:r w:rsidR="00F75A7F" w:rsidRPr="00D93080">
        <w:rPr>
          <w:rStyle w:val="Hyperlink"/>
          <w:b/>
          <w:szCs w:val="24"/>
        </w:rPr>
        <w:t>)</w:t>
      </w:r>
    </w:p>
    <w:p w14:paraId="74623982" w14:textId="77777777" w:rsidR="00D408BC" w:rsidRPr="004919D2" w:rsidRDefault="00D408BC" w:rsidP="00D408BC">
      <w:pPr>
        <w:tabs>
          <w:tab w:val="clear" w:pos="567"/>
          <w:tab w:val="clear" w:pos="1134"/>
          <w:tab w:val="clear" w:pos="1701"/>
          <w:tab w:val="clear" w:pos="2268"/>
          <w:tab w:val="clear" w:pos="2835"/>
        </w:tabs>
        <w:overflowPunct/>
        <w:autoSpaceDE/>
        <w:autoSpaceDN/>
        <w:adjustRightInd/>
        <w:spacing w:before="0"/>
        <w:textAlignment w:val="auto"/>
        <w:rPr>
          <w:rFonts w:eastAsia="Aptos" w:cs="Calibri"/>
          <w:kern w:val="2"/>
          <w:szCs w:val="24"/>
          <w14:ligatures w14:val="standardContextual"/>
        </w:rPr>
      </w:pPr>
    </w:p>
    <w:p w14:paraId="1A6EE4FF" w14:textId="389ED32E" w:rsidR="00D408BC" w:rsidRPr="00D408BC" w:rsidRDefault="005E6004" w:rsidP="009B13DD">
      <w:pPr>
        <w:tabs>
          <w:tab w:val="clear" w:pos="567"/>
          <w:tab w:val="clear" w:pos="1134"/>
          <w:tab w:val="clear" w:pos="1701"/>
          <w:tab w:val="clear" w:pos="2268"/>
          <w:tab w:val="clear" w:pos="2835"/>
          <w:tab w:val="left" w:pos="709"/>
        </w:tabs>
        <w:overflowPunct/>
        <w:autoSpaceDE/>
        <w:autoSpaceDN/>
        <w:adjustRightInd/>
        <w:spacing w:before="0"/>
        <w:textAlignment w:val="auto"/>
        <w:rPr>
          <w:rFonts w:eastAsia="Aptos" w:cs="Calibri"/>
          <w:kern w:val="2"/>
          <w:szCs w:val="24"/>
          <w:lang w:val="en-US"/>
          <w14:ligatures w14:val="standardContextual"/>
        </w:rPr>
      </w:pPr>
      <w:r>
        <w:rPr>
          <w:rFonts w:eastAsia="Aptos" w:cs="Calibri"/>
          <w:kern w:val="2"/>
          <w:szCs w:val="24"/>
          <w:lang w:val="en-US"/>
          <w14:ligatures w14:val="standardContextual"/>
        </w:rPr>
        <w:t>8.1</w:t>
      </w:r>
      <w:r>
        <w:rPr>
          <w:rFonts w:eastAsia="Aptos" w:cs="Calibri"/>
          <w:kern w:val="2"/>
          <w:szCs w:val="24"/>
          <w:lang w:val="en-US"/>
          <w14:ligatures w14:val="standardContextual"/>
        </w:rPr>
        <w:tab/>
      </w:r>
      <w:r w:rsidR="00D408BC" w:rsidRPr="00D408BC">
        <w:rPr>
          <w:rFonts w:eastAsia="Aptos" w:cs="Calibri"/>
          <w:kern w:val="2"/>
          <w:szCs w:val="24"/>
          <w:lang w:val="en-US"/>
          <w14:ligatures w14:val="standardContextual"/>
        </w:rPr>
        <w:t>The D</w:t>
      </w:r>
      <w:r w:rsidR="00AC260D">
        <w:rPr>
          <w:rFonts w:eastAsia="Aptos" w:cs="Calibri"/>
          <w:kern w:val="2"/>
          <w:szCs w:val="24"/>
          <w:lang w:val="en-US"/>
          <w14:ligatures w14:val="standardContextual"/>
        </w:rPr>
        <w:t xml:space="preserve">eputy Secretary-General </w:t>
      </w:r>
      <w:r w:rsidR="00D408BC" w:rsidRPr="00D408BC">
        <w:rPr>
          <w:rFonts w:eastAsia="Aptos" w:cs="Calibri"/>
          <w:kern w:val="2"/>
          <w:szCs w:val="24"/>
          <w:lang w:val="en-US"/>
          <w14:ligatures w14:val="standardContextual"/>
        </w:rPr>
        <w:t>expressed gratitude for the group’s efforts over the past year and highlighted the project’s internal collaboration with various stakeholders and strengthened governance with entities like MSAG and Swiss authorities. The Chair then invited the Head of BPFMD to present the update on the HQ premises project. The MSAG Chair also reported verbally on MSAG’s progress, noting that members had no disagreement with the secretariat’s work or proposed timeframes.</w:t>
      </w:r>
    </w:p>
    <w:p w14:paraId="310A0432" w14:textId="77777777" w:rsidR="00D408BC" w:rsidRDefault="00D408BC" w:rsidP="009B13DD">
      <w:pPr>
        <w:tabs>
          <w:tab w:val="clear" w:pos="567"/>
          <w:tab w:val="clear" w:pos="1134"/>
          <w:tab w:val="clear" w:pos="1701"/>
          <w:tab w:val="clear" w:pos="2268"/>
          <w:tab w:val="clear" w:pos="2835"/>
          <w:tab w:val="left" w:pos="709"/>
        </w:tabs>
        <w:overflowPunct/>
        <w:autoSpaceDE/>
        <w:autoSpaceDN/>
        <w:adjustRightInd/>
        <w:spacing w:before="0"/>
        <w:textAlignment w:val="auto"/>
        <w:rPr>
          <w:rFonts w:eastAsia="Aptos" w:cs="Calibri"/>
          <w:kern w:val="2"/>
          <w:szCs w:val="24"/>
          <w:lang w:val="en-US"/>
          <w14:ligatures w14:val="standardContextual"/>
        </w:rPr>
      </w:pPr>
    </w:p>
    <w:p w14:paraId="2B53BC8A" w14:textId="53720CD3" w:rsidR="00D408BC" w:rsidRDefault="005E6004" w:rsidP="009B13DD">
      <w:pPr>
        <w:tabs>
          <w:tab w:val="clear" w:pos="567"/>
          <w:tab w:val="clear" w:pos="1134"/>
          <w:tab w:val="clear" w:pos="1701"/>
          <w:tab w:val="clear" w:pos="2268"/>
          <w:tab w:val="clear" w:pos="2835"/>
          <w:tab w:val="left" w:pos="709"/>
        </w:tabs>
        <w:overflowPunct/>
        <w:autoSpaceDE/>
        <w:autoSpaceDN/>
        <w:adjustRightInd/>
        <w:spacing w:before="0"/>
        <w:textAlignment w:val="auto"/>
        <w:rPr>
          <w:rFonts w:eastAsia="Aptos" w:cs="Calibri"/>
          <w:kern w:val="2"/>
          <w:szCs w:val="24"/>
          <w:lang w:val="en-US"/>
          <w14:ligatures w14:val="standardContextual"/>
        </w:rPr>
      </w:pPr>
      <w:r>
        <w:rPr>
          <w:rFonts w:eastAsia="Aptos" w:cs="Calibri"/>
          <w:kern w:val="2"/>
          <w:szCs w:val="24"/>
          <w:lang w:val="en-US"/>
          <w14:ligatures w14:val="standardContextual"/>
        </w:rPr>
        <w:t>8.2</w:t>
      </w:r>
      <w:r>
        <w:rPr>
          <w:rFonts w:eastAsia="Aptos" w:cs="Calibri"/>
          <w:kern w:val="2"/>
          <w:szCs w:val="24"/>
          <w:lang w:val="en-US"/>
          <w14:ligatures w14:val="standardContextual"/>
        </w:rPr>
        <w:tab/>
      </w:r>
      <w:proofErr w:type="gramStart"/>
      <w:r w:rsidR="00D408BC" w:rsidRPr="00D408BC">
        <w:rPr>
          <w:rFonts w:eastAsia="Aptos" w:cs="Calibri"/>
          <w:kern w:val="2"/>
          <w:szCs w:val="24"/>
          <w:lang w:val="en-US"/>
          <w14:ligatures w14:val="standardContextual"/>
        </w:rPr>
        <w:t>A number of</w:t>
      </w:r>
      <w:proofErr w:type="gramEnd"/>
      <w:r w:rsidR="00D408BC" w:rsidRPr="00D408BC">
        <w:rPr>
          <w:rFonts w:eastAsia="Aptos" w:cs="Calibri"/>
          <w:kern w:val="2"/>
          <w:szCs w:val="24"/>
          <w:lang w:val="en-US"/>
          <w14:ligatures w14:val="standardContextual"/>
        </w:rPr>
        <w:t xml:space="preserve"> questions from delegations were responded to by the secretariat</w:t>
      </w:r>
      <w:r w:rsidR="004919D2">
        <w:rPr>
          <w:rFonts w:eastAsia="Aptos" w:cs="Calibri"/>
          <w:kern w:val="2"/>
          <w:szCs w:val="24"/>
          <w:lang w:val="en-US"/>
          <w14:ligatures w14:val="standardContextual"/>
        </w:rPr>
        <w:t>:</w:t>
      </w:r>
    </w:p>
    <w:p w14:paraId="540DC52E" w14:textId="77777777" w:rsidR="00D408BC" w:rsidRPr="00D408BC" w:rsidRDefault="00D408BC" w:rsidP="00D408BC">
      <w:pPr>
        <w:tabs>
          <w:tab w:val="clear" w:pos="567"/>
          <w:tab w:val="clear" w:pos="1134"/>
          <w:tab w:val="clear" w:pos="1701"/>
          <w:tab w:val="clear" w:pos="2268"/>
          <w:tab w:val="clear" w:pos="2835"/>
        </w:tabs>
        <w:overflowPunct/>
        <w:autoSpaceDE/>
        <w:autoSpaceDN/>
        <w:adjustRightInd/>
        <w:spacing w:before="0"/>
        <w:textAlignment w:val="auto"/>
        <w:rPr>
          <w:rFonts w:eastAsia="Aptos" w:cs="Calibri"/>
          <w:kern w:val="2"/>
          <w:szCs w:val="24"/>
          <w14:ligatures w14:val="standardContextual"/>
        </w:rPr>
      </w:pPr>
    </w:p>
    <w:p w14:paraId="4674D2EC" w14:textId="02A0D245" w:rsidR="00D408BC" w:rsidRPr="00D408BC" w:rsidRDefault="005E6004" w:rsidP="004919D2">
      <w:pPr>
        <w:numPr>
          <w:ilvl w:val="0"/>
          <w:numId w:val="4"/>
        </w:numPr>
        <w:tabs>
          <w:tab w:val="clear" w:pos="567"/>
          <w:tab w:val="clear" w:pos="1134"/>
          <w:tab w:val="clear" w:pos="1701"/>
          <w:tab w:val="clear" w:pos="2268"/>
          <w:tab w:val="clear" w:pos="2835"/>
          <w:tab w:val="left" w:pos="777"/>
        </w:tabs>
        <w:overflowPunct/>
        <w:autoSpaceDE/>
        <w:autoSpaceDN/>
        <w:adjustRightInd/>
        <w:spacing w:before="0" w:after="120"/>
        <w:ind w:left="1134" w:hanging="357"/>
        <w:textAlignment w:val="auto"/>
        <w:rPr>
          <w:rFonts w:eastAsia="Aptos" w:cs="Calibri"/>
          <w:kern w:val="2"/>
          <w:szCs w:val="24"/>
          <w:lang w:val="en-US"/>
          <w14:ligatures w14:val="standardContextual"/>
        </w:rPr>
      </w:pPr>
      <w:r>
        <w:rPr>
          <w:rFonts w:eastAsia="Aptos" w:cs="Calibri"/>
          <w:kern w:val="2"/>
          <w:szCs w:val="24"/>
          <w14:ligatures w14:val="standardContextual"/>
        </w:rPr>
        <w:t xml:space="preserve">One delegate </w:t>
      </w:r>
      <w:r w:rsidR="00D408BC" w:rsidRPr="00D408BC">
        <w:rPr>
          <w:rFonts w:eastAsia="Aptos" w:cs="Calibri"/>
          <w:kern w:val="2"/>
          <w:szCs w:val="24"/>
          <w:lang w:val="en-US"/>
          <w14:ligatures w14:val="standardContextual"/>
        </w:rPr>
        <w:t>requested clarification regarding the Swiss conditions on repurposing the loan, which require technical details from architects. The response clarified that an agreement in principle was made to use the loan for current activities and future designs, with level of definition for the technical documents expected by 2025 and a formal submission to the Swiss authorities in Q1 2026.</w:t>
      </w:r>
    </w:p>
    <w:p w14:paraId="0ACC8AF1" w14:textId="75AED4EA" w:rsidR="00D408BC" w:rsidRPr="00D408BC" w:rsidRDefault="005E6004" w:rsidP="004919D2">
      <w:pPr>
        <w:numPr>
          <w:ilvl w:val="0"/>
          <w:numId w:val="4"/>
        </w:numPr>
        <w:tabs>
          <w:tab w:val="clear" w:pos="567"/>
          <w:tab w:val="clear" w:pos="1134"/>
          <w:tab w:val="clear" w:pos="1701"/>
          <w:tab w:val="clear" w:pos="2268"/>
          <w:tab w:val="clear" w:pos="2835"/>
        </w:tabs>
        <w:overflowPunct/>
        <w:autoSpaceDE/>
        <w:autoSpaceDN/>
        <w:adjustRightInd/>
        <w:spacing w:before="0" w:after="120"/>
        <w:ind w:left="1134" w:hanging="357"/>
        <w:textAlignment w:val="auto"/>
        <w:rPr>
          <w:rFonts w:eastAsia="Aptos" w:cs="Calibri"/>
          <w:kern w:val="2"/>
          <w:szCs w:val="24"/>
          <w:lang w:val="en-US"/>
          <w14:ligatures w14:val="standardContextual"/>
        </w:rPr>
      </w:pPr>
      <w:r w:rsidRPr="005E6004">
        <w:rPr>
          <w:rFonts w:eastAsia="Aptos" w:cs="Calibri"/>
          <w:kern w:val="2"/>
          <w:szCs w:val="24"/>
          <w:lang w:val="en-US"/>
          <w14:ligatures w14:val="standardContextual"/>
        </w:rPr>
        <w:t xml:space="preserve">One delegate </w:t>
      </w:r>
      <w:r w:rsidR="00D408BC" w:rsidRPr="00D408BC">
        <w:rPr>
          <w:rFonts w:eastAsia="Aptos" w:cs="Calibri"/>
          <w:kern w:val="2"/>
          <w:szCs w:val="24"/>
          <w:lang w:val="en-US"/>
          <w14:ligatures w14:val="standardContextual"/>
        </w:rPr>
        <w:t xml:space="preserve">found the Q&amp;A document useful and suggested highlighting new information for easier updates. The response indicated that a new document was recently </w:t>
      </w:r>
      <w:proofErr w:type="gramStart"/>
      <w:r w:rsidR="00D408BC" w:rsidRPr="00D408BC">
        <w:rPr>
          <w:rFonts w:eastAsia="Aptos" w:cs="Calibri"/>
          <w:kern w:val="2"/>
          <w:szCs w:val="24"/>
          <w:lang w:val="en-US"/>
          <w14:ligatures w14:val="standardContextual"/>
        </w:rPr>
        <w:t>posted</w:t>
      </w:r>
      <w:proofErr w:type="gramEnd"/>
      <w:r w:rsidR="00D408BC" w:rsidRPr="00D408BC">
        <w:rPr>
          <w:rFonts w:eastAsia="Aptos" w:cs="Calibri"/>
          <w:kern w:val="2"/>
          <w:szCs w:val="24"/>
          <w:lang w:val="en-US"/>
          <w14:ligatures w14:val="standardContextual"/>
        </w:rPr>
        <w:t xml:space="preserve"> and updates will continue.</w:t>
      </w:r>
    </w:p>
    <w:p w14:paraId="63FB05E8" w14:textId="3FB22EEE" w:rsidR="00D408BC" w:rsidRPr="00D408BC" w:rsidRDefault="005E6004" w:rsidP="004919D2">
      <w:pPr>
        <w:numPr>
          <w:ilvl w:val="0"/>
          <w:numId w:val="4"/>
        </w:numPr>
        <w:tabs>
          <w:tab w:val="clear" w:pos="567"/>
          <w:tab w:val="clear" w:pos="1134"/>
          <w:tab w:val="clear" w:pos="1701"/>
          <w:tab w:val="clear" w:pos="2268"/>
          <w:tab w:val="clear" w:pos="2835"/>
        </w:tabs>
        <w:overflowPunct/>
        <w:autoSpaceDE/>
        <w:autoSpaceDN/>
        <w:adjustRightInd/>
        <w:spacing w:before="0" w:after="120"/>
        <w:ind w:left="1134" w:hanging="357"/>
        <w:textAlignment w:val="auto"/>
        <w:rPr>
          <w:rFonts w:eastAsia="Aptos" w:cs="Calibri"/>
          <w:kern w:val="2"/>
          <w:szCs w:val="24"/>
          <w:lang w:val="en-US"/>
          <w14:ligatures w14:val="standardContextual"/>
        </w:rPr>
      </w:pPr>
      <w:r w:rsidRPr="005E6004">
        <w:rPr>
          <w:rFonts w:eastAsia="Aptos" w:cs="Calibri"/>
          <w:kern w:val="2"/>
          <w:szCs w:val="24"/>
          <w:lang w:val="en-US"/>
          <w14:ligatures w14:val="standardContextual"/>
        </w:rPr>
        <w:t xml:space="preserve">Another delegate </w:t>
      </w:r>
      <w:r w:rsidR="00D408BC" w:rsidRPr="00D408BC">
        <w:rPr>
          <w:rFonts w:eastAsia="Aptos" w:cs="Calibri"/>
          <w:kern w:val="2"/>
          <w:szCs w:val="24"/>
          <w:lang w:val="en-US"/>
          <w14:ligatures w14:val="standardContextual"/>
        </w:rPr>
        <w:t>inquired about key lessons learned from the previous process. The response mentioned that these lessons are documented and shared with MSAG to fulfil its advisory role on behalf of Council. An overview of the lessons learnt was shared during the subsequent ITU New Building World Café session.</w:t>
      </w:r>
    </w:p>
    <w:p w14:paraId="301E84A0" w14:textId="73D18768" w:rsidR="00D408BC" w:rsidRPr="00D408BC" w:rsidRDefault="00D408BC" w:rsidP="004919D2">
      <w:pPr>
        <w:numPr>
          <w:ilvl w:val="0"/>
          <w:numId w:val="4"/>
        </w:numPr>
        <w:tabs>
          <w:tab w:val="clear" w:pos="567"/>
          <w:tab w:val="clear" w:pos="1134"/>
          <w:tab w:val="clear" w:pos="1701"/>
          <w:tab w:val="clear" w:pos="2268"/>
          <w:tab w:val="clear" w:pos="2835"/>
        </w:tabs>
        <w:overflowPunct/>
        <w:autoSpaceDE/>
        <w:autoSpaceDN/>
        <w:adjustRightInd/>
        <w:spacing w:before="0"/>
        <w:ind w:left="1134"/>
        <w:textAlignment w:val="auto"/>
        <w:rPr>
          <w:rFonts w:eastAsia="Aptos" w:cs="Calibri"/>
          <w:kern w:val="2"/>
          <w:szCs w:val="24"/>
          <w:lang w:val="en-US"/>
          <w14:ligatures w14:val="standardContextual"/>
        </w:rPr>
      </w:pPr>
      <w:r w:rsidRPr="00D408BC">
        <w:rPr>
          <w:rFonts w:eastAsia="Aptos" w:cs="Calibri"/>
          <w:kern w:val="2"/>
          <w:szCs w:val="24"/>
          <w:lang w:val="en-US"/>
          <w14:ligatures w14:val="standardContextual"/>
        </w:rPr>
        <w:t xml:space="preserve">Decision 640 </w:t>
      </w:r>
      <w:r w:rsidR="005E6004">
        <w:rPr>
          <w:rFonts w:eastAsia="Aptos" w:cs="Calibri"/>
          <w:kern w:val="2"/>
          <w:szCs w:val="24"/>
          <w:lang w:val="en-US"/>
          <w14:ligatures w14:val="standardContextual"/>
        </w:rPr>
        <w:t xml:space="preserve">was acknowledged by one delegate who </w:t>
      </w:r>
      <w:r w:rsidRPr="00D408BC">
        <w:rPr>
          <w:rFonts w:eastAsia="Aptos" w:cs="Calibri"/>
          <w:kern w:val="2"/>
          <w:szCs w:val="24"/>
          <w:lang w:val="en-US"/>
          <w14:ligatures w14:val="standardContextual"/>
        </w:rPr>
        <w:t>expressed gratitude to MSAG, noting the project’s positive direction and the importance of continued implementation. They also sought clarification on the impact of host country conditions and the agreed timelines for submitting details to the Swiss authorities. The response confirmed that the loan usage has been approved in the interim and once a more complete design is available, in 2026, there will be enough information to formally amend the loan agreement with the Swiss authorities.</w:t>
      </w:r>
    </w:p>
    <w:p w14:paraId="1DD2C4D2" w14:textId="77777777" w:rsidR="00D408BC" w:rsidRPr="00D408BC" w:rsidRDefault="00D408BC" w:rsidP="00D408BC">
      <w:pPr>
        <w:tabs>
          <w:tab w:val="clear" w:pos="567"/>
          <w:tab w:val="clear" w:pos="1134"/>
          <w:tab w:val="clear" w:pos="1701"/>
          <w:tab w:val="clear" w:pos="2268"/>
          <w:tab w:val="clear" w:pos="2835"/>
        </w:tabs>
        <w:overflowPunct/>
        <w:autoSpaceDE/>
        <w:autoSpaceDN/>
        <w:adjustRightInd/>
        <w:spacing w:before="0"/>
        <w:textAlignment w:val="auto"/>
        <w:rPr>
          <w:rFonts w:eastAsia="Aptos" w:cs="Calibri"/>
          <w:kern w:val="2"/>
          <w:szCs w:val="24"/>
          <w:lang w:val="en-US"/>
          <w14:ligatures w14:val="standardContextual"/>
        </w:rPr>
      </w:pPr>
    </w:p>
    <w:p w14:paraId="39D565D6" w14:textId="1F638616" w:rsidR="00D408BC" w:rsidRPr="00D408BC" w:rsidRDefault="005E6004" w:rsidP="009B13DD">
      <w:pPr>
        <w:tabs>
          <w:tab w:val="clear" w:pos="567"/>
          <w:tab w:val="clear" w:pos="1134"/>
          <w:tab w:val="clear" w:pos="1701"/>
          <w:tab w:val="clear" w:pos="2268"/>
          <w:tab w:val="clear" w:pos="2835"/>
          <w:tab w:val="left" w:pos="709"/>
        </w:tabs>
        <w:overflowPunct/>
        <w:autoSpaceDE/>
        <w:autoSpaceDN/>
        <w:adjustRightInd/>
        <w:spacing w:before="0"/>
        <w:textAlignment w:val="auto"/>
        <w:rPr>
          <w:rFonts w:eastAsia="Aptos" w:cs="Calibri"/>
          <w:kern w:val="2"/>
          <w:szCs w:val="24"/>
          <w:lang w:val="en-US"/>
          <w14:ligatures w14:val="standardContextual"/>
        </w:rPr>
      </w:pPr>
      <w:r>
        <w:rPr>
          <w:rFonts w:eastAsia="Aptos" w:cs="Calibri"/>
          <w:kern w:val="2"/>
          <w:szCs w:val="24"/>
          <w:lang w:val="en-US"/>
          <w14:ligatures w14:val="standardContextual"/>
        </w:rPr>
        <w:t>8.3</w:t>
      </w:r>
      <w:r>
        <w:rPr>
          <w:rFonts w:eastAsia="Aptos" w:cs="Calibri"/>
          <w:kern w:val="2"/>
          <w:szCs w:val="24"/>
          <w:lang w:val="en-US"/>
          <w14:ligatures w14:val="standardContextual"/>
        </w:rPr>
        <w:tab/>
      </w:r>
      <w:r w:rsidR="00D408BC" w:rsidRPr="00D408BC">
        <w:rPr>
          <w:rFonts w:eastAsia="Aptos" w:cs="Calibri"/>
          <w:kern w:val="2"/>
          <w:szCs w:val="24"/>
          <w:lang w:val="en-US"/>
          <w14:ligatures w14:val="standardContextual"/>
        </w:rPr>
        <w:t>An ITU New Building World Café session was also held with delegates during the lunch break to collect aspirations from delegates to feed into the design development process.</w:t>
      </w:r>
    </w:p>
    <w:p w14:paraId="02A8F293" w14:textId="5F4946A2" w:rsidR="003921EB" w:rsidRDefault="003921EB">
      <w:pPr>
        <w:tabs>
          <w:tab w:val="clear" w:pos="567"/>
          <w:tab w:val="clear" w:pos="1134"/>
          <w:tab w:val="clear" w:pos="1701"/>
          <w:tab w:val="clear" w:pos="2268"/>
          <w:tab w:val="clear" w:pos="2835"/>
        </w:tabs>
        <w:overflowPunct/>
        <w:autoSpaceDE/>
        <w:autoSpaceDN/>
        <w:adjustRightInd/>
        <w:spacing w:before="0"/>
        <w:textAlignment w:val="auto"/>
        <w:rPr>
          <w:rFonts w:cs="Calibri"/>
          <w:b/>
          <w:bCs/>
          <w:szCs w:val="24"/>
        </w:rPr>
      </w:pPr>
      <w:r>
        <w:rPr>
          <w:rFonts w:cs="Calibri"/>
          <w:b/>
          <w:bCs/>
          <w:szCs w:val="24"/>
        </w:rPr>
        <w:br w:type="page"/>
      </w:r>
    </w:p>
    <w:p w14:paraId="19279EA7" w14:textId="77777777" w:rsidR="00D408BC" w:rsidRPr="00D408BC" w:rsidRDefault="00D408BC" w:rsidP="00D408BC">
      <w:pPr>
        <w:tabs>
          <w:tab w:val="clear" w:pos="567"/>
          <w:tab w:val="clear" w:pos="1134"/>
          <w:tab w:val="clear" w:pos="1701"/>
          <w:tab w:val="clear" w:pos="2268"/>
          <w:tab w:val="clear" w:pos="2835"/>
        </w:tabs>
        <w:overflowPunct/>
        <w:autoSpaceDE/>
        <w:autoSpaceDN/>
        <w:adjustRightInd/>
        <w:spacing w:before="0"/>
        <w:textAlignment w:val="auto"/>
        <w:rPr>
          <w:rFonts w:cs="Calibri"/>
          <w:b/>
          <w:bCs/>
          <w:szCs w:val="24"/>
        </w:rPr>
      </w:pPr>
    </w:p>
    <w:p w14:paraId="0361036C" w14:textId="546A6DB5" w:rsidR="00CB1566" w:rsidRPr="00D93080" w:rsidRDefault="00F75A7F" w:rsidP="007B310B">
      <w:pPr>
        <w:tabs>
          <w:tab w:val="clear" w:pos="567"/>
          <w:tab w:val="clear" w:pos="1134"/>
          <w:tab w:val="clear" w:pos="1701"/>
          <w:tab w:val="clear" w:pos="2268"/>
          <w:tab w:val="clear" w:pos="2835"/>
          <w:tab w:val="left" w:pos="709"/>
        </w:tabs>
        <w:spacing w:before="0"/>
        <w:ind w:left="709" w:hanging="709"/>
        <w:rPr>
          <w:rStyle w:val="Hyperlink"/>
          <w:rFonts w:asciiTheme="minorHAnsi" w:hAnsiTheme="minorHAnsi" w:cstheme="minorHAnsi"/>
          <w:b/>
          <w:szCs w:val="24"/>
        </w:rPr>
      </w:pPr>
      <w:r>
        <w:rPr>
          <w:b/>
          <w:bCs/>
          <w:szCs w:val="24"/>
        </w:rPr>
        <w:t>9</w:t>
      </w:r>
      <w:r>
        <w:rPr>
          <w:b/>
          <w:bCs/>
          <w:szCs w:val="24"/>
        </w:rPr>
        <w:tab/>
      </w:r>
      <w:r w:rsidRPr="00256499">
        <w:rPr>
          <w:rFonts w:cs="Calibri"/>
          <w:b/>
        </w:rPr>
        <w:t>Draft Guidelines on the management of fully virtual meetings and physical meetings with remote participation (</w:t>
      </w:r>
      <w:r w:rsidR="007B310B" w:rsidRPr="00256499">
        <w:rPr>
          <w:rFonts w:asciiTheme="minorHAnsi" w:hAnsiTheme="minorHAnsi" w:cstheme="minorHAnsi"/>
          <w:b/>
        </w:rPr>
        <w:t>Document</w:t>
      </w:r>
      <w:r w:rsidR="0054340F">
        <w:rPr>
          <w:rFonts w:asciiTheme="minorHAnsi" w:hAnsiTheme="minorHAnsi" w:cstheme="minorHAnsi"/>
          <w:b/>
        </w:rPr>
        <w:t>s</w:t>
      </w:r>
      <w:r w:rsidR="007B310B" w:rsidRPr="00256499">
        <w:rPr>
          <w:b/>
        </w:rPr>
        <w:t xml:space="preserve"> </w:t>
      </w:r>
      <w:hyperlink r:id="rId20" w:history="1">
        <w:r w:rsidRPr="00D93080">
          <w:rPr>
            <w:rStyle w:val="Hyperlink"/>
            <w:rFonts w:asciiTheme="minorHAnsi" w:hAnsiTheme="minorHAnsi" w:cstheme="minorHAnsi"/>
            <w:b/>
            <w:szCs w:val="24"/>
          </w:rPr>
          <w:t>CWG-FHR-19/5</w:t>
        </w:r>
      </w:hyperlink>
      <w:r w:rsidR="006C7788" w:rsidRPr="00D93080">
        <w:rPr>
          <w:rStyle w:val="Hyperlink"/>
          <w:rFonts w:asciiTheme="minorHAnsi" w:hAnsiTheme="minorHAnsi" w:cstheme="minorHAnsi"/>
          <w:b/>
          <w:szCs w:val="24"/>
        </w:rPr>
        <w:t xml:space="preserve"> (Rev.1)</w:t>
      </w:r>
      <w:r w:rsidR="00256499" w:rsidRPr="00D93080">
        <w:rPr>
          <w:rStyle w:val="Hyperlink"/>
          <w:rFonts w:asciiTheme="minorHAnsi" w:hAnsiTheme="minorHAnsi" w:cstheme="minorHAnsi"/>
          <w:b/>
          <w:szCs w:val="24"/>
          <w:u w:val="none"/>
        </w:rPr>
        <w:t xml:space="preserve"> </w:t>
      </w:r>
      <w:r w:rsidR="00256499" w:rsidRPr="00D93080">
        <w:rPr>
          <w:rStyle w:val="Hyperlink"/>
          <w:rFonts w:asciiTheme="minorHAnsi" w:hAnsiTheme="minorHAnsi" w:cstheme="minorHAnsi"/>
          <w:b/>
          <w:color w:val="auto"/>
          <w:szCs w:val="24"/>
          <w:u w:val="none"/>
        </w:rPr>
        <w:t xml:space="preserve">and </w:t>
      </w:r>
      <w:r w:rsidR="00256499" w:rsidRPr="00D93080">
        <w:rPr>
          <w:rStyle w:val="Hyperlink"/>
          <w:rFonts w:asciiTheme="minorHAnsi" w:hAnsiTheme="minorHAnsi" w:cstheme="minorHAnsi"/>
          <w:b/>
          <w:color w:val="auto"/>
          <w:szCs w:val="24"/>
          <w:u w:val="none"/>
        </w:rPr>
        <w:br/>
      </w:r>
      <w:hyperlink r:id="rId21" w:history="1">
        <w:r w:rsidR="00256499" w:rsidRPr="00256499">
          <w:rPr>
            <w:rStyle w:val="Hyperlink"/>
            <w:b/>
          </w:rPr>
          <w:t>CWG-FHR-19/DT/3</w:t>
        </w:r>
      </w:hyperlink>
      <w:r w:rsidRPr="00D93080">
        <w:rPr>
          <w:rStyle w:val="Hyperlink"/>
          <w:rFonts w:asciiTheme="minorHAnsi" w:hAnsiTheme="minorHAnsi" w:cstheme="minorHAnsi"/>
          <w:b/>
          <w:szCs w:val="24"/>
        </w:rPr>
        <w:t>)</w:t>
      </w:r>
    </w:p>
    <w:p w14:paraId="28CF2E39" w14:textId="64829C75" w:rsidR="00F75A7F" w:rsidRPr="007B310B" w:rsidRDefault="00CB1566" w:rsidP="007B310B">
      <w:pPr>
        <w:tabs>
          <w:tab w:val="clear" w:pos="567"/>
          <w:tab w:val="clear" w:pos="1134"/>
          <w:tab w:val="clear" w:pos="1701"/>
          <w:tab w:val="clear" w:pos="2268"/>
          <w:tab w:val="clear" w:pos="2835"/>
          <w:tab w:val="left" w:pos="709"/>
        </w:tabs>
        <w:spacing w:before="0"/>
        <w:ind w:left="709" w:hanging="709"/>
        <w:rPr>
          <w:b/>
          <w:bCs/>
          <w:szCs w:val="24"/>
        </w:rPr>
      </w:pPr>
      <w:r w:rsidRPr="00D93080">
        <w:rPr>
          <w:rStyle w:val="Hyperlink"/>
          <w:rFonts w:asciiTheme="minorHAnsi" w:hAnsiTheme="minorHAnsi" w:cstheme="minorHAnsi"/>
          <w:b/>
          <w:color w:val="auto"/>
          <w:szCs w:val="24"/>
          <w:u w:val="none"/>
        </w:rPr>
        <w:tab/>
      </w:r>
      <w:r w:rsidR="0058464C" w:rsidRPr="00D93080">
        <w:rPr>
          <w:rStyle w:val="Hyperlink"/>
          <w:rFonts w:asciiTheme="minorHAnsi" w:hAnsiTheme="minorHAnsi" w:cstheme="minorHAnsi"/>
          <w:b/>
          <w:color w:val="auto"/>
          <w:szCs w:val="24"/>
          <w:u w:val="none"/>
        </w:rPr>
        <w:t>M</w:t>
      </w:r>
      <w:r w:rsidR="00F75A7F" w:rsidRPr="0058464C">
        <w:rPr>
          <w:rFonts w:cs="Calibri"/>
          <w:b/>
          <w:bCs/>
          <w:shd w:val="clear" w:color="auto" w:fill="FFFFFF"/>
        </w:rPr>
        <w:t>u</w:t>
      </w:r>
      <w:r w:rsidR="00F75A7F" w:rsidRPr="007B310B">
        <w:rPr>
          <w:rFonts w:cs="Calibri"/>
          <w:b/>
          <w:bCs/>
          <w:color w:val="000000"/>
          <w:shd w:val="clear" w:color="auto" w:fill="FFFFFF"/>
        </w:rPr>
        <w:t>lti-country contribution:</w:t>
      </w:r>
      <w:r w:rsidR="00F75A7F" w:rsidRPr="007B310B">
        <w:rPr>
          <w:rFonts w:cs="Calibri"/>
          <w:b/>
          <w:bCs/>
        </w:rPr>
        <w:t xml:space="preserve"> Proposed Terms of Reference for the Correspondence Working Group to </w:t>
      </w:r>
      <w:r w:rsidR="00F75A7F" w:rsidRPr="007B310B">
        <w:rPr>
          <w:b/>
          <w:bCs/>
        </w:rPr>
        <w:t>review</w:t>
      </w:r>
      <w:r w:rsidR="00F75A7F" w:rsidRPr="007B310B">
        <w:rPr>
          <w:rFonts w:cs="Calibri"/>
          <w:b/>
          <w:bCs/>
        </w:rPr>
        <w:t xml:space="preserve"> the draft guidelines on management of fully virtual meetings and physical meetings with remote participation developed by the General Secretariat (</w:t>
      </w:r>
      <w:r w:rsidR="007B310B" w:rsidRPr="0041131B">
        <w:rPr>
          <w:rFonts w:asciiTheme="minorHAnsi" w:hAnsiTheme="minorHAnsi" w:cstheme="minorHAnsi"/>
          <w:b/>
          <w:bCs/>
        </w:rPr>
        <w:t>Document</w:t>
      </w:r>
      <w:r w:rsidR="007B310B" w:rsidRPr="007B310B">
        <w:rPr>
          <w:b/>
          <w:bCs/>
        </w:rPr>
        <w:t xml:space="preserve"> </w:t>
      </w:r>
      <w:hyperlink r:id="rId22" w:history="1">
        <w:r w:rsidR="00F75A7F" w:rsidRPr="00D93080">
          <w:rPr>
            <w:rStyle w:val="Hyperlink"/>
            <w:rFonts w:asciiTheme="minorHAnsi" w:hAnsiTheme="minorHAnsi" w:cstheme="minorHAnsi"/>
            <w:b/>
            <w:szCs w:val="24"/>
          </w:rPr>
          <w:t>CWG-FHR-19/12</w:t>
        </w:r>
      </w:hyperlink>
      <w:r w:rsidR="00F75A7F" w:rsidRPr="00D93080">
        <w:rPr>
          <w:rStyle w:val="Hyperlink"/>
          <w:rFonts w:asciiTheme="minorHAnsi" w:hAnsiTheme="minorHAnsi" w:cstheme="minorHAnsi"/>
          <w:b/>
          <w:szCs w:val="24"/>
        </w:rPr>
        <w:t>)</w:t>
      </w:r>
    </w:p>
    <w:p w14:paraId="6EF8EEB2" w14:textId="77777777" w:rsidR="00F75A7F" w:rsidRDefault="00F75A7F" w:rsidP="00296B9F">
      <w:pPr>
        <w:tabs>
          <w:tab w:val="clear" w:pos="567"/>
          <w:tab w:val="clear" w:pos="1134"/>
          <w:tab w:val="clear" w:pos="1701"/>
          <w:tab w:val="clear" w:pos="2268"/>
          <w:tab w:val="clear" w:pos="2835"/>
          <w:tab w:val="left" w:pos="709"/>
        </w:tabs>
        <w:spacing w:before="0"/>
        <w:rPr>
          <w:b/>
          <w:bCs/>
          <w:szCs w:val="24"/>
        </w:rPr>
      </w:pPr>
    </w:p>
    <w:p w14:paraId="1B2AB05B" w14:textId="2A301940" w:rsidR="0058464C" w:rsidRPr="0058464C" w:rsidRDefault="00CB1566" w:rsidP="00CB1566">
      <w:pPr>
        <w:tabs>
          <w:tab w:val="clear" w:pos="567"/>
          <w:tab w:val="clear" w:pos="1134"/>
          <w:tab w:val="clear" w:pos="1701"/>
          <w:tab w:val="clear" w:pos="2268"/>
          <w:tab w:val="clear" w:pos="2835"/>
        </w:tabs>
        <w:overflowPunct/>
        <w:autoSpaceDE/>
        <w:autoSpaceDN/>
        <w:adjustRightInd/>
        <w:spacing w:before="0"/>
        <w:textAlignment w:val="auto"/>
        <w:rPr>
          <w:rFonts w:eastAsia="SimSun" w:cs="Calibri"/>
          <w:b/>
          <w:bCs/>
          <w:kern w:val="2"/>
          <w:szCs w:val="24"/>
          <w14:ligatures w14:val="standardContextual"/>
        </w:rPr>
      </w:pPr>
      <w:r>
        <w:rPr>
          <w:rFonts w:eastAsia="SimSun" w:cs="Calibri"/>
          <w:color w:val="000000"/>
          <w:kern w:val="2"/>
          <w:szCs w:val="24"/>
          <w14:ligatures w14:val="standardContextual"/>
        </w:rPr>
        <w:t>9.1</w:t>
      </w:r>
      <w:r>
        <w:rPr>
          <w:rFonts w:eastAsia="SimSun" w:cs="Calibri"/>
          <w:color w:val="000000"/>
          <w:kern w:val="2"/>
          <w:szCs w:val="24"/>
          <w14:ligatures w14:val="standardContextual"/>
        </w:rPr>
        <w:tab/>
      </w:r>
      <w:r w:rsidR="0058464C" w:rsidRPr="0058464C">
        <w:rPr>
          <w:rFonts w:eastAsia="SimSun" w:cs="Calibri"/>
          <w:color w:val="000000"/>
          <w:kern w:val="2"/>
          <w:szCs w:val="24"/>
          <w14:ligatures w14:val="standardContextual"/>
        </w:rPr>
        <w:t>Following the instruction of Council 2024, the secretariat presented draft guidelines on the management of fully virtual meetings and physical meetings with remote participation (</w:t>
      </w:r>
      <w:hyperlink r:id="rId23" w:history="1">
        <w:r w:rsidR="0058464C" w:rsidRPr="0058464C">
          <w:rPr>
            <w:rFonts w:eastAsia="Aptos" w:cs="Calibri"/>
            <w:color w:val="0563C1"/>
            <w:kern w:val="2"/>
            <w:szCs w:val="24"/>
            <w:u w:val="single"/>
            <w14:ligatures w14:val="standardContextual"/>
          </w:rPr>
          <w:t>CWG-FHR-19/5</w:t>
        </w:r>
      </w:hyperlink>
      <w:r w:rsidR="0058464C" w:rsidRPr="0058464C">
        <w:rPr>
          <w:rFonts w:eastAsia="Aptos" w:cs="Calibri"/>
          <w:color w:val="0563C1"/>
          <w:kern w:val="2"/>
          <w:szCs w:val="24"/>
          <w:u w:val="single"/>
          <w14:ligatures w14:val="standardContextual"/>
        </w:rPr>
        <w:t xml:space="preserve"> (Rev.1)</w:t>
      </w:r>
      <w:r w:rsidR="0058464C" w:rsidRPr="0058464C">
        <w:rPr>
          <w:rFonts w:eastAsia="SimSun" w:cs="Calibri"/>
          <w:color w:val="000000"/>
          <w:kern w:val="2"/>
          <w:szCs w:val="24"/>
          <w14:ligatures w14:val="standardContextual"/>
        </w:rPr>
        <w:t xml:space="preserve">) for consideration by CWG-FHR within a correspondence working group. The document provided proposed guidelines on each of the areas contained within Annex 1 to </w:t>
      </w:r>
      <w:r w:rsidR="0058464C" w:rsidRPr="0058464C">
        <w:rPr>
          <w:rFonts w:eastAsia="Aptos" w:cs="Calibri"/>
          <w:kern w:val="2"/>
          <w:szCs w:val="24"/>
          <w14:ligatures w14:val="standardContextual"/>
        </w:rPr>
        <w:t>Resolution 167 (Rev. Bucharest, 2022) on strengthening and developing ITU capabilities for fully virtual meetings and physical meetings with remote participation, and the electronic means to advance the work of the Union. It was noted that the draft guidelines reflect the current practices of remote participation within the existing scope of Resolution</w:t>
      </w:r>
      <w:r>
        <w:rPr>
          <w:rFonts w:eastAsia="Aptos" w:cs="Calibri"/>
          <w:kern w:val="2"/>
          <w:szCs w:val="24"/>
          <w14:ligatures w14:val="standardContextual"/>
        </w:rPr>
        <w:t> </w:t>
      </w:r>
      <w:r w:rsidR="0058464C" w:rsidRPr="0058464C">
        <w:rPr>
          <w:rFonts w:eastAsia="Aptos" w:cs="Calibri"/>
          <w:kern w:val="2"/>
          <w:szCs w:val="24"/>
          <w14:ligatures w14:val="standardContextual"/>
        </w:rPr>
        <w:t>167</w:t>
      </w:r>
      <w:r>
        <w:rPr>
          <w:rFonts w:eastAsia="Aptos" w:cs="Calibri"/>
          <w:kern w:val="2"/>
          <w:szCs w:val="24"/>
          <w14:ligatures w14:val="standardContextual"/>
        </w:rPr>
        <w:t xml:space="preserve"> </w:t>
      </w:r>
      <w:r w:rsidRPr="0058464C">
        <w:rPr>
          <w:rFonts w:eastAsia="Aptos" w:cs="Calibri"/>
          <w:kern w:val="2"/>
          <w:szCs w:val="24"/>
          <w14:ligatures w14:val="standardContextual"/>
        </w:rPr>
        <w:t>(Rev. Bucharest, 2022)</w:t>
      </w:r>
      <w:r>
        <w:rPr>
          <w:rFonts w:eastAsia="Aptos" w:cs="Calibri"/>
          <w:kern w:val="2"/>
          <w:szCs w:val="24"/>
          <w14:ligatures w14:val="standardContextual"/>
        </w:rPr>
        <w:t xml:space="preserve"> </w:t>
      </w:r>
      <w:r w:rsidR="0058464C" w:rsidRPr="0058464C">
        <w:rPr>
          <w:rFonts w:eastAsia="Aptos" w:cs="Calibri"/>
          <w:kern w:val="2"/>
          <w:szCs w:val="24"/>
          <w14:ligatures w14:val="standardContextual"/>
        </w:rPr>
        <w:t xml:space="preserve">which sets the framework for remote participation; any changes to aspects such as participatory rights in remote meetings or physical meetings with remote participants should be </w:t>
      </w:r>
      <w:proofErr w:type="gramStart"/>
      <w:r w:rsidR="0058464C" w:rsidRPr="0058464C">
        <w:rPr>
          <w:rFonts w:eastAsia="Aptos" w:cs="Calibri"/>
          <w:kern w:val="2"/>
          <w:szCs w:val="24"/>
          <w14:ligatures w14:val="standardContextual"/>
        </w:rPr>
        <w:t>effected</w:t>
      </w:r>
      <w:proofErr w:type="gramEnd"/>
      <w:r w:rsidR="0058464C" w:rsidRPr="0058464C">
        <w:rPr>
          <w:rFonts w:eastAsia="Aptos" w:cs="Calibri"/>
          <w:kern w:val="2"/>
          <w:szCs w:val="24"/>
          <w14:ligatures w14:val="standardContextual"/>
        </w:rPr>
        <w:t xml:space="preserve"> through revision of</w:t>
      </w:r>
      <w:r>
        <w:rPr>
          <w:rFonts w:eastAsia="Aptos" w:cs="Calibri"/>
          <w:kern w:val="2"/>
          <w:szCs w:val="24"/>
          <w14:ligatures w14:val="standardContextual"/>
        </w:rPr>
        <w:t xml:space="preserve"> </w:t>
      </w:r>
      <w:r w:rsidR="0058464C" w:rsidRPr="0058464C">
        <w:rPr>
          <w:rFonts w:eastAsia="Aptos" w:cs="Calibri"/>
          <w:kern w:val="2"/>
          <w:szCs w:val="24"/>
          <w14:ligatures w14:val="standardContextual"/>
        </w:rPr>
        <w:t>Resolution 167</w:t>
      </w:r>
      <w:r>
        <w:rPr>
          <w:rFonts w:eastAsia="Aptos" w:cs="Calibri"/>
          <w:kern w:val="2"/>
          <w:szCs w:val="24"/>
          <w14:ligatures w14:val="standardContextual"/>
        </w:rPr>
        <w:t xml:space="preserve"> </w:t>
      </w:r>
      <w:r w:rsidRPr="0058464C">
        <w:rPr>
          <w:rFonts w:eastAsia="Aptos" w:cs="Calibri"/>
          <w:kern w:val="2"/>
          <w:szCs w:val="24"/>
          <w14:ligatures w14:val="standardContextual"/>
        </w:rPr>
        <w:t>(Rev. Bucharest, 2022)</w:t>
      </w:r>
      <w:r w:rsidR="0058464C" w:rsidRPr="0058464C">
        <w:rPr>
          <w:rFonts w:eastAsia="Aptos" w:cs="Calibri"/>
          <w:kern w:val="2"/>
          <w:szCs w:val="24"/>
          <w14:ligatures w14:val="standardContextual"/>
        </w:rPr>
        <w:t>.</w:t>
      </w:r>
    </w:p>
    <w:p w14:paraId="744BE50E" w14:textId="77777777" w:rsidR="00CB1566" w:rsidRDefault="00CB1566" w:rsidP="00CB1566">
      <w:pPr>
        <w:tabs>
          <w:tab w:val="clear" w:pos="567"/>
          <w:tab w:val="clear" w:pos="1134"/>
          <w:tab w:val="clear" w:pos="1701"/>
          <w:tab w:val="clear" w:pos="2268"/>
          <w:tab w:val="clear" w:pos="2835"/>
        </w:tabs>
        <w:overflowPunct/>
        <w:autoSpaceDE/>
        <w:autoSpaceDN/>
        <w:adjustRightInd/>
        <w:spacing w:before="0"/>
        <w:textAlignment w:val="auto"/>
        <w:rPr>
          <w:rFonts w:eastAsia="Aptos" w:cs="Calibri"/>
          <w:kern w:val="2"/>
          <w:szCs w:val="24"/>
          <w14:ligatures w14:val="standardContextual"/>
        </w:rPr>
      </w:pPr>
    </w:p>
    <w:p w14:paraId="4FBC4C61" w14:textId="41A9B1AC" w:rsidR="0058464C" w:rsidRPr="0058464C" w:rsidRDefault="00CB1566" w:rsidP="00CB1566">
      <w:pPr>
        <w:tabs>
          <w:tab w:val="clear" w:pos="567"/>
          <w:tab w:val="clear" w:pos="1134"/>
          <w:tab w:val="clear" w:pos="1701"/>
          <w:tab w:val="clear" w:pos="2268"/>
          <w:tab w:val="clear" w:pos="2835"/>
        </w:tabs>
        <w:overflowPunct/>
        <w:autoSpaceDE/>
        <w:autoSpaceDN/>
        <w:adjustRightInd/>
        <w:spacing w:before="0"/>
        <w:textAlignment w:val="auto"/>
        <w:rPr>
          <w:rFonts w:eastAsia="SimSun" w:cs="Calibri"/>
          <w:b/>
          <w:bCs/>
          <w:kern w:val="2"/>
          <w:szCs w:val="24"/>
          <w14:ligatures w14:val="standardContextual"/>
        </w:rPr>
      </w:pPr>
      <w:r>
        <w:rPr>
          <w:rFonts w:eastAsia="Aptos" w:cs="Calibri"/>
          <w:kern w:val="2"/>
          <w:szCs w:val="24"/>
          <w14:ligatures w14:val="standardContextual"/>
        </w:rPr>
        <w:t>9.2</w:t>
      </w:r>
      <w:r>
        <w:rPr>
          <w:rFonts w:eastAsia="Aptos" w:cs="Calibri"/>
          <w:kern w:val="2"/>
          <w:szCs w:val="24"/>
          <w14:ligatures w14:val="standardContextual"/>
        </w:rPr>
        <w:tab/>
      </w:r>
      <w:r w:rsidR="0058464C" w:rsidRPr="0058464C">
        <w:rPr>
          <w:rFonts w:eastAsia="Aptos" w:cs="Calibri"/>
          <w:kern w:val="2"/>
          <w:szCs w:val="24"/>
          <w14:ligatures w14:val="standardContextual"/>
        </w:rPr>
        <w:t>A multi-country contribution was presented setting out proposed terms of reference (</w:t>
      </w:r>
      <w:proofErr w:type="spellStart"/>
      <w:r w:rsidR="0058464C" w:rsidRPr="0058464C">
        <w:rPr>
          <w:rFonts w:eastAsia="Aptos" w:cs="Calibri"/>
          <w:kern w:val="2"/>
          <w:szCs w:val="24"/>
          <w14:ligatures w14:val="standardContextual"/>
        </w:rPr>
        <w:t>ToRs</w:t>
      </w:r>
      <w:proofErr w:type="spellEnd"/>
      <w:r w:rsidR="0058464C" w:rsidRPr="0058464C">
        <w:rPr>
          <w:rFonts w:eastAsia="Aptos" w:cs="Calibri"/>
          <w:kern w:val="2"/>
          <w:szCs w:val="24"/>
          <w14:ligatures w14:val="standardContextual"/>
        </w:rPr>
        <w:t>) for the correspondence working group to review the draft guidelines of the secretariat on the management of fully virtual meetings and physical meetings with remote participation (</w:t>
      </w:r>
      <w:hyperlink r:id="rId24" w:history="1">
        <w:r w:rsidR="0058464C" w:rsidRPr="0058464C">
          <w:rPr>
            <w:rFonts w:eastAsia="Aptos" w:cs="Calibri"/>
            <w:color w:val="0563C1"/>
            <w:kern w:val="2"/>
            <w:szCs w:val="24"/>
            <w:u w:val="single"/>
            <w14:ligatures w14:val="standardContextual"/>
          </w:rPr>
          <w:t>CWG-FHR-19/12</w:t>
        </w:r>
      </w:hyperlink>
      <w:r w:rsidR="0058464C" w:rsidRPr="0058464C">
        <w:rPr>
          <w:rFonts w:eastAsia="Aptos" w:cs="Calibri"/>
          <w:kern w:val="2"/>
          <w:szCs w:val="24"/>
          <w14:ligatures w14:val="standardContextual"/>
        </w:rPr>
        <w:t xml:space="preserve">).  Delegates welcomed the creation of a correspondence group on this important issue with some modifications to the proposed </w:t>
      </w:r>
      <w:proofErr w:type="spellStart"/>
      <w:r w:rsidR="0058464C" w:rsidRPr="0058464C">
        <w:rPr>
          <w:rFonts w:eastAsia="Aptos" w:cs="Calibri"/>
          <w:kern w:val="2"/>
          <w:szCs w:val="24"/>
          <w14:ligatures w14:val="standardContextual"/>
        </w:rPr>
        <w:t>ToRs</w:t>
      </w:r>
      <w:proofErr w:type="spellEnd"/>
      <w:r w:rsidR="0058464C" w:rsidRPr="0058464C">
        <w:rPr>
          <w:rFonts w:eastAsia="Aptos" w:cs="Calibri"/>
          <w:kern w:val="2"/>
          <w:szCs w:val="24"/>
          <w14:ligatures w14:val="standardContextual"/>
        </w:rPr>
        <w:t xml:space="preserve">. The Chair additionally requested that the modified </w:t>
      </w:r>
      <w:proofErr w:type="spellStart"/>
      <w:r w:rsidR="0058464C" w:rsidRPr="0058464C">
        <w:rPr>
          <w:rFonts w:eastAsia="Aptos" w:cs="Calibri"/>
          <w:kern w:val="2"/>
          <w:szCs w:val="24"/>
          <w14:ligatures w14:val="standardContextual"/>
        </w:rPr>
        <w:t>ToRs</w:t>
      </w:r>
      <w:proofErr w:type="spellEnd"/>
      <w:r w:rsidR="0058464C" w:rsidRPr="0058464C">
        <w:rPr>
          <w:rFonts w:eastAsia="Aptos" w:cs="Calibri"/>
          <w:kern w:val="2"/>
          <w:szCs w:val="24"/>
          <w14:ligatures w14:val="standardContextual"/>
        </w:rPr>
        <w:t xml:space="preserve"> clearly state alignment with Resolution</w:t>
      </w:r>
      <w:r>
        <w:rPr>
          <w:rFonts w:eastAsia="Aptos" w:cs="Calibri"/>
          <w:kern w:val="2"/>
          <w:szCs w:val="24"/>
          <w14:ligatures w14:val="standardContextual"/>
        </w:rPr>
        <w:t> </w:t>
      </w:r>
      <w:r w:rsidR="0058464C" w:rsidRPr="0058464C">
        <w:rPr>
          <w:rFonts w:eastAsia="Aptos" w:cs="Calibri"/>
          <w:kern w:val="2"/>
          <w:szCs w:val="24"/>
          <w14:ligatures w14:val="standardContextual"/>
        </w:rPr>
        <w:t>167</w:t>
      </w:r>
      <w:r>
        <w:rPr>
          <w:rFonts w:eastAsia="Aptos" w:cs="Calibri"/>
          <w:kern w:val="2"/>
          <w:szCs w:val="24"/>
          <w14:ligatures w14:val="standardContextual"/>
        </w:rPr>
        <w:t xml:space="preserve"> </w:t>
      </w:r>
      <w:r w:rsidRPr="0058464C">
        <w:rPr>
          <w:rFonts w:eastAsia="Aptos" w:cs="Calibri"/>
          <w:kern w:val="2"/>
          <w:szCs w:val="24"/>
          <w14:ligatures w14:val="standardContextual"/>
        </w:rPr>
        <w:t>(Rev. Bucharest, 2022)</w:t>
      </w:r>
      <w:r>
        <w:rPr>
          <w:rFonts w:eastAsia="Aptos" w:cs="Calibri"/>
          <w:kern w:val="2"/>
          <w:szCs w:val="24"/>
          <w14:ligatures w14:val="standardContextual"/>
        </w:rPr>
        <w:t>.</w:t>
      </w:r>
    </w:p>
    <w:p w14:paraId="47E530AF" w14:textId="77777777" w:rsidR="00CB1566" w:rsidRDefault="00CB1566" w:rsidP="00CB1566">
      <w:pPr>
        <w:tabs>
          <w:tab w:val="clear" w:pos="567"/>
          <w:tab w:val="clear" w:pos="1134"/>
          <w:tab w:val="clear" w:pos="1701"/>
          <w:tab w:val="clear" w:pos="2268"/>
          <w:tab w:val="clear" w:pos="2835"/>
        </w:tabs>
        <w:overflowPunct/>
        <w:autoSpaceDE/>
        <w:autoSpaceDN/>
        <w:adjustRightInd/>
        <w:spacing w:before="0"/>
        <w:textAlignment w:val="auto"/>
        <w:rPr>
          <w:rFonts w:eastAsia="Aptos" w:cs="Calibri"/>
          <w:kern w:val="2"/>
          <w:szCs w:val="24"/>
          <w14:ligatures w14:val="standardContextual"/>
        </w:rPr>
      </w:pPr>
    </w:p>
    <w:p w14:paraId="05CAFD5C" w14:textId="695A8424" w:rsidR="0058464C" w:rsidRPr="0058464C" w:rsidRDefault="00CB1566" w:rsidP="00CB1566">
      <w:pPr>
        <w:tabs>
          <w:tab w:val="clear" w:pos="567"/>
          <w:tab w:val="clear" w:pos="1134"/>
          <w:tab w:val="clear" w:pos="1701"/>
          <w:tab w:val="clear" w:pos="2268"/>
          <w:tab w:val="clear" w:pos="2835"/>
        </w:tabs>
        <w:overflowPunct/>
        <w:autoSpaceDE/>
        <w:autoSpaceDN/>
        <w:adjustRightInd/>
        <w:spacing w:before="0"/>
        <w:textAlignment w:val="auto"/>
        <w:rPr>
          <w:rFonts w:eastAsia="Aptos" w:cs="Calibri"/>
          <w:kern w:val="2"/>
          <w:szCs w:val="24"/>
          <w14:ligatures w14:val="standardContextual"/>
        </w:rPr>
      </w:pPr>
      <w:r>
        <w:rPr>
          <w:rFonts w:eastAsia="Aptos" w:cs="Calibri"/>
          <w:kern w:val="2"/>
          <w:szCs w:val="24"/>
          <w14:ligatures w14:val="standardContextual"/>
        </w:rPr>
        <w:t>9.3</w:t>
      </w:r>
      <w:r>
        <w:rPr>
          <w:rFonts w:eastAsia="Aptos" w:cs="Calibri"/>
          <w:kern w:val="2"/>
          <w:szCs w:val="24"/>
          <w14:ligatures w14:val="standardContextual"/>
        </w:rPr>
        <w:tab/>
      </w:r>
      <w:r w:rsidR="0058464C" w:rsidRPr="0058464C">
        <w:rPr>
          <w:rFonts w:eastAsia="Aptos" w:cs="Calibri"/>
          <w:kern w:val="2"/>
          <w:szCs w:val="24"/>
          <w14:ligatures w14:val="standardContextual"/>
        </w:rPr>
        <w:t xml:space="preserve">Following further discussions and modifications from delegates, the revised </w:t>
      </w:r>
      <w:proofErr w:type="spellStart"/>
      <w:r w:rsidR="0058464C" w:rsidRPr="0058464C">
        <w:rPr>
          <w:rFonts w:eastAsia="Aptos" w:cs="Calibri"/>
          <w:kern w:val="2"/>
          <w:szCs w:val="24"/>
          <w14:ligatures w14:val="standardContextual"/>
        </w:rPr>
        <w:t>ToRs</w:t>
      </w:r>
      <w:proofErr w:type="spellEnd"/>
      <w:r w:rsidR="0058464C" w:rsidRPr="0058464C">
        <w:rPr>
          <w:rFonts w:eastAsia="Aptos" w:cs="Calibri"/>
          <w:kern w:val="2"/>
          <w:szCs w:val="24"/>
          <w14:ligatures w14:val="standardContextual"/>
        </w:rPr>
        <w:t xml:space="preserve"> </w:t>
      </w:r>
      <w:r w:rsidR="0058464C" w:rsidRPr="00377BAC">
        <w:rPr>
          <w:rFonts w:eastAsia="Aptos" w:cs="Calibri"/>
          <w:kern w:val="2"/>
          <w:szCs w:val="24"/>
          <w14:ligatures w14:val="standardContextual"/>
        </w:rPr>
        <w:t>(</w:t>
      </w:r>
      <w:hyperlink w:anchor="Annex_B" w:history="1">
        <w:r w:rsidRPr="00BC3C4A">
          <w:rPr>
            <w:rStyle w:val="Hyperlink"/>
            <w:rFonts w:eastAsia="Aptos" w:cs="Calibri"/>
            <w:kern w:val="2"/>
            <w:szCs w:val="24"/>
            <w14:ligatures w14:val="standardContextual"/>
          </w:rPr>
          <w:t xml:space="preserve">Annex </w:t>
        </w:r>
        <w:r w:rsidR="00EB5790" w:rsidRPr="00BC3C4A">
          <w:rPr>
            <w:rStyle w:val="Hyperlink"/>
            <w:rFonts w:eastAsia="Aptos" w:cs="Calibri"/>
            <w:kern w:val="2"/>
            <w:szCs w:val="24"/>
            <w14:ligatures w14:val="standardContextual"/>
          </w:rPr>
          <w:t>B</w:t>
        </w:r>
      </w:hyperlink>
      <w:r w:rsidRPr="00377BAC">
        <w:rPr>
          <w:rFonts w:eastAsia="Aptos" w:cs="Calibri"/>
          <w:kern w:val="2"/>
          <w:szCs w:val="24"/>
          <w14:ligatures w14:val="standardContextual"/>
        </w:rPr>
        <w:t xml:space="preserve"> to this document)</w:t>
      </w:r>
      <w:r w:rsidR="0058464C" w:rsidRPr="00377BAC">
        <w:rPr>
          <w:rFonts w:eastAsia="Aptos" w:cs="Calibri"/>
          <w:kern w:val="2"/>
          <w:szCs w:val="24"/>
          <w14:ligatures w14:val="standardContextual"/>
        </w:rPr>
        <w:t xml:space="preserve"> were approved. It was agreed that the online correspondence</w:t>
      </w:r>
      <w:r w:rsidR="0058464C" w:rsidRPr="0058464C">
        <w:rPr>
          <w:rFonts w:eastAsia="Aptos" w:cs="Calibri"/>
          <w:kern w:val="2"/>
          <w:szCs w:val="24"/>
          <w14:ligatures w14:val="standardContextual"/>
        </w:rPr>
        <w:t xml:space="preserve"> group would be chaired by </w:t>
      </w:r>
      <w:r>
        <w:rPr>
          <w:rFonts w:eastAsia="Aptos" w:cs="Calibri"/>
          <w:kern w:val="2"/>
          <w:szCs w:val="24"/>
          <w14:ligatures w14:val="standardContextual"/>
        </w:rPr>
        <w:t xml:space="preserve">Ms. </w:t>
      </w:r>
      <w:r w:rsidR="0058464C" w:rsidRPr="0058464C">
        <w:rPr>
          <w:rFonts w:eastAsia="Aptos" w:cs="Calibri"/>
          <w:kern w:val="2"/>
          <w:szCs w:val="24"/>
          <w14:ligatures w14:val="standardContextual"/>
        </w:rPr>
        <w:t xml:space="preserve">Diana Gomez of </w:t>
      </w:r>
      <w:r>
        <w:rPr>
          <w:rFonts w:eastAsia="Aptos" w:cs="Calibri"/>
          <w:kern w:val="2"/>
          <w:szCs w:val="24"/>
          <w14:ligatures w14:val="standardContextual"/>
        </w:rPr>
        <w:t xml:space="preserve">the </w:t>
      </w:r>
      <w:r w:rsidR="0058464C" w:rsidRPr="0058464C">
        <w:rPr>
          <w:rFonts w:eastAsia="Aptos" w:cs="Calibri"/>
          <w:kern w:val="2"/>
          <w:szCs w:val="24"/>
          <w14:ligatures w14:val="standardContextual"/>
        </w:rPr>
        <w:t xml:space="preserve">Mexican delegation and would report to CWG FHR </w:t>
      </w:r>
      <w:r>
        <w:rPr>
          <w:rFonts w:eastAsia="Aptos" w:cs="Calibri"/>
          <w:kern w:val="2"/>
          <w:szCs w:val="24"/>
          <w14:ligatures w14:val="standardContextual"/>
        </w:rPr>
        <w:t>at</w:t>
      </w:r>
      <w:r w:rsidR="0058464C" w:rsidRPr="0058464C">
        <w:rPr>
          <w:rFonts w:eastAsia="Aptos" w:cs="Calibri"/>
          <w:kern w:val="2"/>
          <w:szCs w:val="24"/>
          <w14:ligatures w14:val="standardContextual"/>
        </w:rPr>
        <w:t xml:space="preserve"> its next meeting in February 2025. It was noted that the report of the correspondence group should be submitted by 15 January 2025 to enable Member States </w:t>
      </w:r>
      <w:r>
        <w:rPr>
          <w:rFonts w:eastAsia="Aptos" w:cs="Calibri"/>
          <w:kern w:val="2"/>
          <w:szCs w:val="24"/>
          <w14:ligatures w14:val="standardContextual"/>
        </w:rPr>
        <w:t xml:space="preserve">to submit their </w:t>
      </w:r>
      <w:r w:rsidR="00D27D52">
        <w:rPr>
          <w:rFonts w:eastAsia="Aptos" w:cs="Calibri"/>
          <w:kern w:val="2"/>
          <w:szCs w:val="24"/>
          <w14:ligatures w14:val="standardContextual"/>
        </w:rPr>
        <w:t xml:space="preserve">documents </w:t>
      </w:r>
      <w:r>
        <w:rPr>
          <w:rFonts w:eastAsia="Aptos" w:cs="Calibri"/>
          <w:kern w:val="2"/>
          <w:szCs w:val="24"/>
          <w14:ligatures w14:val="standardContextual"/>
        </w:rPr>
        <w:t>twelve (</w:t>
      </w:r>
      <w:r w:rsidR="0058464C" w:rsidRPr="0058464C">
        <w:rPr>
          <w:rFonts w:eastAsia="Aptos" w:cs="Calibri"/>
          <w:kern w:val="2"/>
          <w:szCs w:val="24"/>
          <w14:ligatures w14:val="standardContextual"/>
        </w:rPr>
        <w:t>12</w:t>
      </w:r>
      <w:r>
        <w:rPr>
          <w:rFonts w:eastAsia="Aptos" w:cs="Calibri"/>
          <w:kern w:val="2"/>
          <w:szCs w:val="24"/>
          <w14:ligatures w14:val="standardContextual"/>
        </w:rPr>
        <w:t>)</w:t>
      </w:r>
      <w:r w:rsidR="0058464C" w:rsidRPr="0058464C">
        <w:rPr>
          <w:rFonts w:eastAsia="Aptos" w:cs="Calibri"/>
          <w:kern w:val="2"/>
          <w:szCs w:val="24"/>
          <w14:ligatures w14:val="standardContextual"/>
        </w:rPr>
        <w:t xml:space="preserve"> calendar days beforehand to allow further contributions from the wider CWG-FHR as appropriate.</w:t>
      </w:r>
    </w:p>
    <w:p w14:paraId="1B34D6DB" w14:textId="77777777" w:rsidR="0058464C" w:rsidRDefault="0058464C" w:rsidP="00CB1566">
      <w:pPr>
        <w:tabs>
          <w:tab w:val="clear" w:pos="567"/>
          <w:tab w:val="clear" w:pos="1134"/>
          <w:tab w:val="clear" w:pos="1701"/>
          <w:tab w:val="clear" w:pos="2268"/>
          <w:tab w:val="clear" w:pos="2835"/>
          <w:tab w:val="left" w:pos="709"/>
        </w:tabs>
        <w:spacing w:before="0"/>
        <w:rPr>
          <w:b/>
          <w:bCs/>
          <w:szCs w:val="24"/>
        </w:rPr>
      </w:pPr>
    </w:p>
    <w:p w14:paraId="53ECF6FD" w14:textId="0E56BCBC" w:rsidR="00F75A7F" w:rsidRPr="006C7788" w:rsidRDefault="0008508C" w:rsidP="006C7788">
      <w:pPr>
        <w:tabs>
          <w:tab w:val="clear" w:pos="567"/>
          <w:tab w:val="clear" w:pos="1134"/>
          <w:tab w:val="clear" w:pos="1701"/>
          <w:tab w:val="clear" w:pos="2268"/>
          <w:tab w:val="clear" w:pos="2835"/>
          <w:tab w:val="left" w:pos="709"/>
        </w:tabs>
        <w:spacing w:before="0"/>
        <w:ind w:left="709" w:hanging="709"/>
        <w:rPr>
          <w:b/>
          <w:bCs/>
          <w:szCs w:val="24"/>
        </w:rPr>
      </w:pPr>
      <w:bookmarkStart w:id="14" w:name="_Hlk179879253"/>
      <w:bookmarkStart w:id="15" w:name="_Hlk179790309"/>
      <w:r>
        <w:rPr>
          <w:b/>
          <w:bCs/>
          <w:szCs w:val="24"/>
        </w:rPr>
        <w:t>1</w:t>
      </w:r>
      <w:r w:rsidR="00F75A7F" w:rsidRPr="007B310B">
        <w:rPr>
          <w:b/>
          <w:bCs/>
          <w:szCs w:val="24"/>
        </w:rPr>
        <w:t>0</w:t>
      </w:r>
      <w:r w:rsidR="00F75A7F" w:rsidRPr="007B310B">
        <w:rPr>
          <w:b/>
          <w:bCs/>
          <w:szCs w:val="24"/>
        </w:rPr>
        <w:tab/>
      </w:r>
      <w:r w:rsidR="00F75A7F" w:rsidRPr="007B310B">
        <w:rPr>
          <w:rFonts w:asciiTheme="minorHAnsi" w:hAnsiTheme="minorHAnsi" w:cstheme="minorHAnsi"/>
          <w:b/>
          <w:bCs/>
        </w:rPr>
        <w:t>Report on the use of consulting firms (</w:t>
      </w:r>
      <w:r w:rsidR="007B310B" w:rsidRPr="0041131B">
        <w:rPr>
          <w:rFonts w:asciiTheme="minorHAnsi" w:hAnsiTheme="minorHAnsi" w:cstheme="minorHAnsi"/>
          <w:b/>
          <w:bCs/>
        </w:rPr>
        <w:t>Document</w:t>
      </w:r>
      <w:r w:rsidR="007B310B" w:rsidRPr="007B310B">
        <w:rPr>
          <w:b/>
          <w:bCs/>
        </w:rPr>
        <w:t xml:space="preserve"> </w:t>
      </w:r>
      <w:hyperlink r:id="rId25" w:history="1">
        <w:r w:rsidR="00F75A7F" w:rsidRPr="00D93080">
          <w:rPr>
            <w:rStyle w:val="Hyperlink"/>
            <w:rFonts w:asciiTheme="minorHAnsi" w:hAnsiTheme="minorHAnsi" w:cstheme="minorHAnsi"/>
            <w:b/>
            <w:szCs w:val="24"/>
          </w:rPr>
          <w:t>CWG-FHR-19/INF/1</w:t>
        </w:r>
      </w:hyperlink>
      <w:r w:rsidR="00F75A7F" w:rsidRPr="00D93080">
        <w:rPr>
          <w:rStyle w:val="Hyperlink"/>
          <w:rFonts w:asciiTheme="minorHAnsi" w:hAnsiTheme="minorHAnsi" w:cstheme="minorHAnsi"/>
          <w:b/>
          <w:szCs w:val="24"/>
        </w:rPr>
        <w:t>)</w:t>
      </w:r>
      <w:r w:rsidR="006C7788" w:rsidRPr="006C7788">
        <w:rPr>
          <w:rStyle w:val="Hyperlink"/>
          <w:rFonts w:asciiTheme="minorHAnsi" w:hAnsiTheme="minorHAnsi" w:cstheme="minorHAnsi"/>
          <w:b/>
          <w:bCs/>
          <w:color w:val="auto"/>
          <w:szCs w:val="24"/>
          <w:u w:val="none"/>
        </w:rPr>
        <w:t xml:space="preserve"> + Oral presentation</w:t>
      </w:r>
    </w:p>
    <w:p w14:paraId="2F2D1F81" w14:textId="77777777" w:rsidR="00F75A7F" w:rsidRDefault="00F75A7F" w:rsidP="00296B9F">
      <w:pPr>
        <w:tabs>
          <w:tab w:val="clear" w:pos="567"/>
          <w:tab w:val="clear" w:pos="1134"/>
          <w:tab w:val="clear" w:pos="1701"/>
          <w:tab w:val="clear" w:pos="2268"/>
          <w:tab w:val="clear" w:pos="2835"/>
          <w:tab w:val="left" w:pos="709"/>
        </w:tabs>
        <w:spacing w:before="0"/>
        <w:rPr>
          <w:b/>
          <w:bCs/>
          <w:szCs w:val="24"/>
        </w:rPr>
      </w:pPr>
    </w:p>
    <w:p w14:paraId="7081F2A7" w14:textId="6566E62B" w:rsidR="0074250C" w:rsidRPr="0074250C" w:rsidRDefault="0074250C" w:rsidP="009B13DD">
      <w:pPr>
        <w:pStyle w:val="paragraph"/>
        <w:tabs>
          <w:tab w:val="left" w:pos="709"/>
        </w:tabs>
        <w:spacing w:before="0" w:beforeAutospacing="0" w:after="0" w:afterAutospacing="0"/>
        <w:textAlignment w:val="baseline"/>
        <w:rPr>
          <w:rStyle w:val="normaltextrun"/>
          <w:rFonts w:ascii="Calibri" w:hAnsi="Calibri" w:cs="Calibri"/>
          <w:color w:val="000000"/>
          <w:lang w:val="en-US"/>
        </w:rPr>
      </w:pPr>
      <w:r>
        <w:rPr>
          <w:rStyle w:val="normaltextrun"/>
          <w:rFonts w:ascii="Calibri" w:hAnsi="Calibri" w:cs="Calibri"/>
          <w:color w:val="000000"/>
          <w:lang w:val="en-US"/>
        </w:rPr>
        <w:t>10.1</w:t>
      </w:r>
      <w:r>
        <w:rPr>
          <w:rStyle w:val="normaltextrun"/>
          <w:rFonts w:ascii="Calibri" w:hAnsi="Calibri" w:cs="Calibri"/>
          <w:color w:val="000000"/>
          <w:lang w:val="en-US"/>
        </w:rPr>
        <w:tab/>
        <w:t>T</w:t>
      </w:r>
      <w:r w:rsidRPr="0074250C">
        <w:rPr>
          <w:rStyle w:val="normaltextrun"/>
          <w:rFonts w:ascii="Calibri" w:hAnsi="Calibri" w:cs="Calibri"/>
          <w:color w:val="000000"/>
          <w:lang w:val="en-US"/>
        </w:rPr>
        <w:t xml:space="preserve">his document responds to the recommendation from </w:t>
      </w:r>
      <w:hyperlink r:id="rId26" w:tgtFrame="_blank" w:history="1">
        <w:r w:rsidRPr="0074250C">
          <w:rPr>
            <w:rStyle w:val="normaltextrun"/>
            <w:rFonts w:ascii="Calibri" w:hAnsi="Calibri" w:cs="Calibri"/>
            <w:color w:val="467886"/>
            <w:u w:val="single"/>
          </w:rPr>
          <w:t>CWG-FHR-17/24</w:t>
        </w:r>
      </w:hyperlink>
      <w:r w:rsidRPr="0074250C">
        <w:rPr>
          <w:rStyle w:val="normaltextrun"/>
          <w:rFonts w:ascii="Calibri" w:hAnsi="Calibri" w:cs="Calibri"/>
          <w:color w:val="000000"/>
          <w:lang w:val="en-US"/>
        </w:rPr>
        <w:t xml:space="preserve">, addressing the request for detailed information on how ITU uses consulting firms, including their financial and/or </w:t>
      </w:r>
      <w:r w:rsidRPr="0074250C">
        <w:rPr>
          <w:rStyle w:val="normaltextrun"/>
          <w:rFonts w:ascii="Calibri" w:hAnsi="Calibri" w:cs="Calibri"/>
          <w:color w:val="000000"/>
          <w:lang w:val="en-CA"/>
        </w:rPr>
        <w:t>strategic</w:t>
      </w:r>
      <w:r w:rsidRPr="0074250C">
        <w:rPr>
          <w:rStyle w:val="normaltextrun"/>
          <w:rFonts w:ascii="Calibri" w:hAnsi="Calibri" w:cs="Calibri"/>
          <w:color w:val="000000"/>
          <w:lang w:val="en-US"/>
        </w:rPr>
        <w:t xml:space="preserve"> </w:t>
      </w:r>
      <w:r w:rsidRPr="0074250C">
        <w:rPr>
          <w:rStyle w:val="normaltextrun"/>
          <w:rFonts w:ascii="Calibri" w:hAnsi="Calibri" w:cs="Calibri"/>
          <w:color w:val="000000"/>
          <w:lang w:val="en-CA"/>
        </w:rPr>
        <w:t>implications</w:t>
      </w:r>
      <w:r w:rsidRPr="0074250C">
        <w:rPr>
          <w:rStyle w:val="normaltextrun"/>
          <w:rFonts w:ascii="Calibri" w:hAnsi="Calibri" w:cs="Calibri"/>
          <w:color w:val="000000"/>
          <w:lang w:val="en-US"/>
        </w:rPr>
        <w:t>.</w:t>
      </w:r>
    </w:p>
    <w:p w14:paraId="017827C2" w14:textId="6CFE75F0" w:rsidR="0074250C" w:rsidRPr="0074250C" w:rsidRDefault="0074250C" w:rsidP="009B13DD">
      <w:pPr>
        <w:pStyle w:val="paragraph"/>
        <w:tabs>
          <w:tab w:val="left" w:pos="709"/>
        </w:tabs>
        <w:spacing w:before="0" w:beforeAutospacing="0" w:after="0" w:afterAutospacing="0"/>
        <w:textAlignment w:val="baseline"/>
        <w:rPr>
          <w:rFonts w:ascii="Calibri" w:hAnsi="Calibri" w:cs="Calibri"/>
        </w:rPr>
      </w:pPr>
    </w:p>
    <w:p w14:paraId="7999EB41" w14:textId="52C9AE6F" w:rsidR="0074250C" w:rsidRPr="0074250C" w:rsidRDefault="0074250C" w:rsidP="009B13DD">
      <w:pPr>
        <w:pStyle w:val="paragraph"/>
        <w:tabs>
          <w:tab w:val="left" w:pos="709"/>
        </w:tabs>
        <w:spacing w:before="0" w:beforeAutospacing="0" w:after="0" w:afterAutospacing="0"/>
        <w:textAlignment w:val="baseline"/>
        <w:rPr>
          <w:rFonts w:ascii="Calibri" w:hAnsi="Calibri" w:cs="Calibri"/>
        </w:rPr>
      </w:pPr>
      <w:r>
        <w:rPr>
          <w:rStyle w:val="normaltextrun"/>
          <w:rFonts w:ascii="Calibri" w:hAnsi="Calibri" w:cs="Calibri"/>
          <w:color w:val="000000"/>
          <w:lang w:val="en-US"/>
        </w:rPr>
        <w:t>10.2</w:t>
      </w:r>
      <w:r>
        <w:rPr>
          <w:rStyle w:val="normaltextrun"/>
          <w:rFonts w:ascii="Calibri" w:hAnsi="Calibri" w:cs="Calibri"/>
          <w:color w:val="000000"/>
          <w:lang w:val="en-US"/>
        </w:rPr>
        <w:tab/>
      </w:r>
      <w:r w:rsidRPr="0074250C">
        <w:rPr>
          <w:rStyle w:val="normaltextrun"/>
          <w:rFonts w:ascii="Calibri" w:hAnsi="Calibri" w:cs="Calibri"/>
          <w:color w:val="000000"/>
          <w:lang w:val="en-US"/>
        </w:rPr>
        <w:t>CWG-FHR was advised that ITU makes use of consulting firms in several circumstances often connected to acquisition of services where ITU requires specific expertise, capacity, or where use of external providers is more cost effective than using ITU’s own resources.</w:t>
      </w:r>
    </w:p>
    <w:p w14:paraId="20E31C25" w14:textId="3B54B219" w:rsidR="0074250C" w:rsidRPr="0074250C" w:rsidRDefault="0074250C" w:rsidP="009B13DD">
      <w:pPr>
        <w:pStyle w:val="paragraph"/>
        <w:tabs>
          <w:tab w:val="left" w:pos="709"/>
        </w:tabs>
        <w:spacing w:before="0" w:beforeAutospacing="0" w:after="0" w:afterAutospacing="0"/>
        <w:textAlignment w:val="baseline"/>
        <w:rPr>
          <w:rFonts w:ascii="Calibri" w:hAnsi="Calibri" w:cs="Calibri"/>
        </w:rPr>
      </w:pPr>
    </w:p>
    <w:p w14:paraId="43BB7C4D" w14:textId="73014B43" w:rsidR="0074250C" w:rsidRPr="0074250C" w:rsidRDefault="0074250C" w:rsidP="009B13DD">
      <w:pPr>
        <w:pStyle w:val="paragraph"/>
        <w:tabs>
          <w:tab w:val="left" w:pos="709"/>
        </w:tabs>
        <w:spacing w:before="0" w:beforeAutospacing="0" w:after="0" w:afterAutospacing="0"/>
        <w:textAlignment w:val="baseline"/>
        <w:rPr>
          <w:rFonts w:ascii="Calibri" w:hAnsi="Calibri" w:cs="Calibri"/>
        </w:rPr>
      </w:pPr>
      <w:r>
        <w:rPr>
          <w:rStyle w:val="normaltextrun"/>
          <w:rFonts w:ascii="Calibri" w:hAnsi="Calibri" w:cs="Calibri"/>
          <w:color w:val="000000"/>
          <w:lang w:val="en-US"/>
        </w:rPr>
        <w:lastRenderedPageBreak/>
        <w:t>10.3</w:t>
      </w:r>
      <w:r>
        <w:rPr>
          <w:rStyle w:val="normaltextrun"/>
          <w:rFonts w:ascii="Calibri" w:hAnsi="Calibri" w:cs="Calibri"/>
          <w:color w:val="000000"/>
          <w:lang w:val="en-US"/>
        </w:rPr>
        <w:tab/>
      </w:r>
      <w:r w:rsidRPr="0074250C">
        <w:rPr>
          <w:rStyle w:val="normaltextrun"/>
          <w:rFonts w:ascii="Calibri" w:hAnsi="Calibri" w:cs="Calibri"/>
          <w:color w:val="000000"/>
          <w:lang w:val="en-US"/>
        </w:rPr>
        <w:t>The contracts for acquisition of services are all subject to ITU’s procurement rules and procedures. The use of consulting firms for strategic advice at ITU is not new and is a standard practice across various industries, as well as by governments and the UN system. The report provides a table listing contracts where ITU received strategic advice since 2019, in other words since PP18.  Such firms are hired by ITU to advise management on key strategic issues, providing the secretariat with an external view, based on industry best practice and specialized expertise.</w:t>
      </w:r>
    </w:p>
    <w:p w14:paraId="0A9C6D0B" w14:textId="2C299CE7" w:rsidR="0074250C" w:rsidRPr="0074250C" w:rsidRDefault="0074250C" w:rsidP="009B13DD">
      <w:pPr>
        <w:pStyle w:val="paragraph"/>
        <w:tabs>
          <w:tab w:val="left" w:pos="709"/>
        </w:tabs>
        <w:spacing w:before="0" w:beforeAutospacing="0" w:after="0" w:afterAutospacing="0"/>
        <w:textAlignment w:val="baseline"/>
        <w:rPr>
          <w:rFonts w:ascii="Calibri" w:hAnsi="Calibri" w:cs="Calibri"/>
        </w:rPr>
      </w:pPr>
    </w:p>
    <w:p w14:paraId="2E0FF505" w14:textId="12330F89" w:rsidR="0074250C" w:rsidRPr="0074250C" w:rsidRDefault="0074250C" w:rsidP="009B13DD">
      <w:pPr>
        <w:pStyle w:val="paragraph"/>
        <w:tabs>
          <w:tab w:val="left" w:pos="709"/>
        </w:tabs>
        <w:spacing w:before="0" w:beforeAutospacing="0" w:after="0" w:afterAutospacing="0"/>
        <w:textAlignment w:val="baseline"/>
        <w:rPr>
          <w:rFonts w:ascii="Calibri" w:hAnsi="Calibri" w:cs="Calibri"/>
        </w:rPr>
      </w:pPr>
      <w:r>
        <w:rPr>
          <w:rStyle w:val="normaltextrun"/>
          <w:rFonts w:ascii="Calibri" w:hAnsi="Calibri" w:cs="Calibri"/>
          <w:color w:val="000000"/>
          <w:lang w:val="en-US"/>
        </w:rPr>
        <w:t>10.4</w:t>
      </w:r>
      <w:r>
        <w:rPr>
          <w:rStyle w:val="normaltextrun"/>
          <w:rFonts w:ascii="Calibri" w:hAnsi="Calibri" w:cs="Calibri"/>
          <w:color w:val="000000"/>
          <w:lang w:val="en-US"/>
        </w:rPr>
        <w:tab/>
      </w:r>
      <w:r w:rsidRPr="0074250C">
        <w:rPr>
          <w:rStyle w:val="normaltextrun"/>
          <w:rFonts w:ascii="Calibri" w:hAnsi="Calibri" w:cs="Calibri"/>
          <w:color w:val="000000"/>
          <w:lang w:val="en-US"/>
        </w:rPr>
        <w:t>It is important to underscore that while ITU values the insights provided by these consulting firms, all decision-making authority remains exclusively with ITU management and its governing bodies. Management considers the consulting firm’s advice but is not bound by it, retaining full discretion to accept, modify, or reject any recommendations. In this regard, ITU does not outsource any aspect of its decision-making process to such firms. Such an approach helps ensure that ITU is availing itself of the best possible information to support decisions of management, or where relevant, when ITU management makes recommendations to governing bodies for decision.</w:t>
      </w:r>
    </w:p>
    <w:p w14:paraId="4DDB92D1" w14:textId="77777777" w:rsidR="0074250C" w:rsidRDefault="0074250C" w:rsidP="009B13DD">
      <w:pPr>
        <w:pStyle w:val="paragraph"/>
        <w:tabs>
          <w:tab w:val="left" w:pos="709"/>
        </w:tabs>
        <w:spacing w:before="0" w:beforeAutospacing="0" w:after="0" w:afterAutospacing="0"/>
        <w:textAlignment w:val="baseline"/>
        <w:rPr>
          <w:rStyle w:val="normaltextrun"/>
          <w:rFonts w:ascii="Calibri" w:hAnsi="Calibri" w:cs="Calibri"/>
          <w:color w:val="000000"/>
          <w:lang w:val="en-US"/>
        </w:rPr>
      </w:pPr>
    </w:p>
    <w:p w14:paraId="3537993C" w14:textId="02297176" w:rsidR="0074250C" w:rsidRPr="0074250C" w:rsidRDefault="0074250C" w:rsidP="009B13DD">
      <w:pPr>
        <w:pStyle w:val="paragraph"/>
        <w:tabs>
          <w:tab w:val="left" w:pos="709"/>
        </w:tabs>
        <w:spacing w:before="0" w:beforeAutospacing="0" w:after="0" w:afterAutospacing="0"/>
        <w:textAlignment w:val="baseline"/>
        <w:rPr>
          <w:rFonts w:ascii="Calibri" w:hAnsi="Calibri" w:cs="Calibri"/>
        </w:rPr>
      </w:pPr>
      <w:r>
        <w:rPr>
          <w:rStyle w:val="normaltextrun"/>
          <w:rFonts w:ascii="Calibri" w:hAnsi="Calibri" w:cs="Calibri"/>
          <w:color w:val="000000"/>
          <w:lang w:val="en-US"/>
        </w:rPr>
        <w:t>10.5</w:t>
      </w:r>
      <w:r>
        <w:rPr>
          <w:rStyle w:val="normaltextrun"/>
          <w:rFonts w:ascii="Calibri" w:hAnsi="Calibri" w:cs="Calibri"/>
          <w:color w:val="000000"/>
          <w:lang w:val="en-US"/>
        </w:rPr>
        <w:tab/>
      </w:r>
      <w:r w:rsidRPr="0074250C">
        <w:rPr>
          <w:rStyle w:val="normaltextrun"/>
          <w:rFonts w:ascii="Calibri" w:hAnsi="Calibri" w:cs="Calibri"/>
          <w:color w:val="000000"/>
          <w:lang w:val="en-US"/>
        </w:rPr>
        <w:t>Some delegates requested more information about the contracts listed in the document, including purpose and outcomes. Some delegates expressed concerns with the associated costs and suggested that criteria be established to determine when external consulting firms should be engaged, including when the work is provided on a pro-bono basis. The DSG explained that consulting firms have been used to bring a fresh look at some key areas such as finance and IT, and to increase capacity on a short-term basis while the secretariat works to build skills in new areas as part of the transformation road map. Some delegates asked for regular reporting to be provided to Council on the use of consulting firms.</w:t>
      </w:r>
    </w:p>
    <w:p w14:paraId="71A37187" w14:textId="77777777" w:rsidR="0074250C" w:rsidRDefault="0074250C" w:rsidP="009B13DD">
      <w:pPr>
        <w:pStyle w:val="paragraph"/>
        <w:tabs>
          <w:tab w:val="left" w:pos="709"/>
        </w:tabs>
        <w:spacing w:before="0" w:beforeAutospacing="0" w:after="0" w:afterAutospacing="0"/>
        <w:textAlignment w:val="baseline"/>
        <w:rPr>
          <w:rStyle w:val="normaltextrun"/>
          <w:rFonts w:ascii="Calibri" w:hAnsi="Calibri" w:cs="Calibri"/>
          <w:color w:val="000000"/>
          <w:lang w:val="en-US"/>
        </w:rPr>
      </w:pPr>
    </w:p>
    <w:p w14:paraId="30FE5329" w14:textId="44782C2B" w:rsidR="0074250C" w:rsidRPr="0074250C" w:rsidRDefault="0074250C" w:rsidP="009B13DD">
      <w:pPr>
        <w:pStyle w:val="paragraph"/>
        <w:tabs>
          <w:tab w:val="left" w:pos="709"/>
        </w:tabs>
        <w:spacing w:before="0" w:beforeAutospacing="0" w:after="0" w:afterAutospacing="0"/>
        <w:textAlignment w:val="baseline"/>
        <w:rPr>
          <w:rFonts w:ascii="Calibri" w:hAnsi="Calibri" w:cs="Calibri"/>
        </w:rPr>
      </w:pPr>
      <w:r>
        <w:rPr>
          <w:rStyle w:val="normaltextrun"/>
          <w:rFonts w:ascii="Calibri" w:hAnsi="Calibri" w:cs="Calibri"/>
          <w:color w:val="000000"/>
          <w:lang w:val="en-US"/>
        </w:rPr>
        <w:t>10.6</w:t>
      </w:r>
      <w:r>
        <w:rPr>
          <w:rStyle w:val="normaltextrun"/>
          <w:rFonts w:ascii="Calibri" w:hAnsi="Calibri" w:cs="Calibri"/>
          <w:color w:val="000000"/>
          <w:lang w:val="en-US"/>
        </w:rPr>
        <w:tab/>
      </w:r>
      <w:r w:rsidRPr="0074250C">
        <w:rPr>
          <w:rStyle w:val="normaltextrun"/>
          <w:rFonts w:ascii="Calibri" w:hAnsi="Calibri" w:cs="Calibri"/>
          <w:color w:val="000000"/>
          <w:lang w:val="en-US"/>
        </w:rPr>
        <w:t>The Chair summarized by saying that the secretariat will come back to the next meeting with information to respond to points raised by delegates</w:t>
      </w:r>
      <w:r>
        <w:rPr>
          <w:rStyle w:val="eop"/>
          <w:rFonts w:ascii="Calibri" w:hAnsi="Calibri" w:cs="Calibri"/>
        </w:rPr>
        <w:t>.</w:t>
      </w:r>
    </w:p>
    <w:p w14:paraId="7087C40F" w14:textId="77777777" w:rsidR="00F75A7F" w:rsidRPr="0074250C" w:rsidRDefault="00F75A7F" w:rsidP="00296B9F">
      <w:pPr>
        <w:tabs>
          <w:tab w:val="clear" w:pos="567"/>
          <w:tab w:val="clear" w:pos="1134"/>
          <w:tab w:val="clear" w:pos="1701"/>
          <w:tab w:val="clear" w:pos="2268"/>
          <w:tab w:val="clear" w:pos="2835"/>
          <w:tab w:val="left" w:pos="709"/>
        </w:tabs>
        <w:spacing w:before="0"/>
        <w:rPr>
          <w:rFonts w:cs="Calibri"/>
          <w:b/>
          <w:bCs/>
          <w:szCs w:val="24"/>
        </w:rPr>
      </w:pPr>
    </w:p>
    <w:bookmarkEnd w:id="14"/>
    <w:p w14:paraId="13308515" w14:textId="2D92DAE8" w:rsidR="0031780B" w:rsidRPr="00D93080" w:rsidRDefault="00F75A7F" w:rsidP="0031780B">
      <w:pPr>
        <w:tabs>
          <w:tab w:val="clear" w:pos="567"/>
          <w:tab w:val="clear" w:pos="1134"/>
          <w:tab w:val="clear" w:pos="1701"/>
          <w:tab w:val="clear" w:pos="2268"/>
          <w:tab w:val="clear" w:pos="2835"/>
          <w:tab w:val="left" w:pos="709"/>
        </w:tabs>
        <w:spacing w:before="0"/>
        <w:ind w:left="709" w:hanging="709"/>
        <w:rPr>
          <w:rStyle w:val="Hyperlink"/>
          <w:rFonts w:asciiTheme="minorHAnsi" w:hAnsiTheme="minorHAnsi" w:cstheme="minorHAnsi"/>
          <w:b/>
          <w:szCs w:val="24"/>
        </w:rPr>
      </w:pPr>
      <w:r w:rsidRPr="0031780B">
        <w:rPr>
          <w:b/>
          <w:bCs/>
          <w:szCs w:val="24"/>
        </w:rPr>
        <w:t>11</w:t>
      </w:r>
      <w:r w:rsidRPr="0031780B">
        <w:rPr>
          <w:b/>
          <w:bCs/>
          <w:szCs w:val="24"/>
        </w:rPr>
        <w:tab/>
      </w:r>
      <w:r w:rsidRPr="0031780B">
        <w:rPr>
          <w:rFonts w:asciiTheme="minorHAnsi" w:hAnsiTheme="minorHAnsi" w:cstheme="minorHAnsi"/>
          <w:b/>
          <w:bCs/>
          <w:color w:val="000000"/>
        </w:rPr>
        <w:t>Transformation update (</w:t>
      </w:r>
      <w:r w:rsidR="007B310B" w:rsidRPr="0031780B">
        <w:rPr>
          <w:rFonts w:asciiTheme="minorHAnsi" w:hAnsiTheme="minorHAnsi" w:cstheme="minorHAnsi"/>
          <w:b/>
          <w:bCs/>
        </w:rPr>
        <w:t>Document</w:t>
      </w:r>
      <w:r w:rsidR="007B310B" w:rsidRPr="0031780B">
        <w:rPr>
          <w:b/>
          <w:bCs/>
        </w:rPr>
        <w:t xml:space="preserve"> </w:t>
      </w:r>
      <w:hyperlink r:id="rId27" w:history="1">
        <w:r w:rsidRPr="00D93080">
          <w:rPr>
            <w:rStyle w:val="Hyperlink"/>
            <w:rFonts w:asciiTheme="minorHAnsi" w:hAnsiTheme="minorHAnsi" w:cstheme="minorHAnsi"/>
            <w:b/>
            <w:szCs w:val="24"/>
          </w:rPr>
          <w:t>CWG-FHR-19/7</w:t>
        </w:r>
      </w:hyperlink>
      <w:r w:rsidRPr="00D93080">
        <w:rPr>
          <w:rStyle w:val="Hyperlink"/>
          <w:rFonts w:asciiTheme="minorHAnsi" w:hAnsiTheme="minorHAnsi" w:cstheme="minorHAnsi"/>
          <w:b/>
          <w:szCs w:val="24"/>
        </w:rPr>
        <w:t>)</w:t>
      </w:r>
      <w:r w:rsidR="0031780B" w:rsidRPr="00D93080">
        <w:rPr>
          <w:rStyle w:val="Hyperlink"/>
          <w:rFonts w:asciiTheme="minorHAnsi" w:hAnsiTheme="minorHAnsi" w:cstheme="minorHAnsi"/>
          <w:b/>
          <w:szCs w:val="24"/>
          <w:u w:val="none"/>
        </w:rPr>
        <w:t xml:space="preserve"> </w:t>
      </w:r>
      <w:r w:rsidR="0031780B" w:rsidRPr="00D93080">
        <w:rPr>
          <w:rStyle w:val="Hyperlink"/>
          <w:rFonts w:asciiTheme="minorHAnsi" w:hAnsiTheme="minorHAnsi" w:cstheme="minorHAnsi"/>
          <w:b/>
          <w:color w:val="auto"/>
          <w:szCs w:val="24"/>
          <w:u w:val="none"/>
        </w:rPr>
        <w:t xml:space="preserve">and </w:t>
      </w:r>
      <w:r w:rsidR="0031780B" w:rsidRPr="007B310B">
        <w:rPr>
          <w:rFonts w:asciiTheme="minorHAnsi" w:hAnsiTheme="minorHAnsi" w:cstheme="minorHAnsi"/>
          <w:b/>
          <w:bCs/>
        </w:rPr>
        <w:t>Contribution by the Russian Federation: Comments on the revision of the </w:t>
      </w:r>
      <w:r w:rsidR="0031780B" w:rsidRPr="007B310B">
        <w:rPr>
          <w:rFonts w:cs="Calibri"/>
          <w:b/>
          <w:bCs/>
        </w:rPr>
        <w:t>implementation</w:t>
      </w:r>
      <w:r w:rsidR="0031780B" w:rsidRPr="007B310B">
        <w:rPr>
          <w:rFonts w:asciiTheme="minorHAnsi" w:hAnsiTheme="minorHAnsi" w:cstheme="minorHAnsi"/>
          <w:b/>
          <w:bCs/>
        </w:rPr>
        <w:t xml:space="preserve"> of the roadmap to improving the ITU website</w:t>
      </w:r>
      <w:r w:rsidR="0031780B">
        <w:rPr>
          <w:rFonts w:asciiTheme="minorHAnsi" w:hAnsiTheme="minorHAnsi" w:cstheme="minorHAnsi"/>
          <w:b/>
          <w:bCs/>
        </w:rPr>
        <w:t xml:space="preserve"> </w:t>
      </w:r>
      <w:r w:rsidR="0031780B" w:rsidRPr="007B310B">
        <w:rPr>
          <w:rFonts w:asciiTheme="minorHAnsi" w:hAnsiTheme="minorHAnsi" w:cstheme="minorHAnsi"/>
          <w:b/>
          <w:bCs/>
        </w:rPr>
        <w:t>(</w:t>
      </w:r>
      <w:r w:rsidR="0031780B" w:rsidRPr="0041131B">
        <w:rPr>
          <w:rFonts w:asciiTheme="minorHAnsi" w:hAnsiTheme="minorHAnsi" w:cstheme="minorHAnsi"/>
          <w:b/>
          <w:bCs/>
        </w:rPr>
        <w:t>Document</w:t>
      </w:r>
      <w:r w:rsidR="0031780B" w:rsidRPr="007B310B">
        <w:rPr>
          <w:b/>
          <w:bCs/>
        </w:rPr>
        <w:t xml:space="preserve"> </w:t>
      </w:r>
      <w:hyperlink r:id="rId28" w:history="1">
        <w:r w:rsidR="0031780B" w:rsidRPr="00D93080">
          <w:rPr>
            <w:rStyle w:val="Hyperlink"/>
            <w:rFonts w:asciiTheme="minorHAnsi" w:hAnsiTheme="minorHAnsi" w:cstheme="minorHAnsi"/>
            <w:b/>
            <w:szCs w:val="24"/>
          </w:rPr>
          <w:t>CWG-FHR-19/11</w:t>
        </w:r>
      </w:hyperlink>
      <w:r w:rsidR="0031780B" w:rsidRPr="00D93080">
        <w:rPr>
          <w:rStyle w:val="Hyperlink"/>
          <w:rFonts w:asciiTheme="minorHAnsi" w:hAnsiTheme="minorHAnsi" w:cstheme="minorHAnsi"/>
          <w:b/>
          <w:szCs w:val="24"/>
        </w:rPr>
        <w:t>)</w:t>
      </w:r>
    </w:p>
    <w:p w14:paraId="4FB10494" w14:textId="77777777" w:rsidR="002927EA" w:rsidRPr="0031780B" w:rsidRDefault="002927EA" w:rsidP="0031780B">
      <w:pPr>
        <w:tabs>
          <w:tab w:val="clear" w:pos="567"/>
          <w:tab w:val="clear" w:pos="1134"/>
          <w:tab w:val="clear" w:pos="1701"/>
          <w:tab w:val="clear" w:pos="2268"/>
          <w:tab w:val="clear" w:pos="2835"/>
          <w:tab w:val="left" w:pos="709"/>
        </w:tabs>
        <w:spacing w:before="0"/>
        <w:ind w:left="709" w:hanging="709"/>
        <w:rPr>
          <w:b/>
          <w:bCs/>
          <w:szCs w:val="24"/>
        </w:rPr>
      </w:pPr>
    </w:p>
    <w:bookmarkEnd w:id="15"/>
    <w:p w14:paraId="7DA24EC8" w14:textId="76AA7844" w:rsidR="002927EA" w:rsidRDefault="002927EA" w:rsidP="002927EA">
      <w:pPr>
        <w:tabs>
          <w:tab w:val="clear" w:pos="567"/>
          <w:tab w:val="clear" w:pos="1134"/>
          <w:tab w:val="clear" w:pos="1701"/>
          <w:tab w:val="clear" w:pos="2268"/>
          <w:tab w:val="clear" w:pos="2835"/>
        </w:tabs>
        <w:overflowPunct/>
        <w:autoSpaceDE/>
        <w:autoSpaceDN/>
        <w:adjustRightInd/>
        <w:spacing w:before="0"/>
        <w:textAlignment w:val="auto"/>
        <w:rPr>
          <w:rFonts w:eastAsia="Aptos" w:cs="Calibri"/>
          <w:szCs w:val="24"/>
          <w:lang w:eastAsia="en-GB"/>
        </w:rPr>
      </w:pPr>
      <w:r>
        <w:rPr>
          <w:rFonts w:eastAsia="Aptos" w:cs="Calibri"/>
          <w:szCs w:val="24"/>
          <w:lang w:eastAsia="en-GB"/>
        </w:rPr>
        <w:t>11.1</w:t>
      </w:r>
      <w:r>
        <w:rPr>
          <w:rFonts w:eastAsia="Aptos" w:cs="Calibri"/>
          <w:szCs w:val="24"/>
          <w:lang w:eastAsia="en-GB"/>
        </w:rPr>
        <w:tab/>
      </w:r>
      <w:r w:rsidRPr="002927EA">
        <w:rPr>
          <w:rFonts w:eastAsia="Aptos" w:cs="Calibri"/>
          <w:szCs w:val="24"/>
          <w:lang w:eastAsia="en-GB"/>
        </w:rPr>
        <w:t>Following initial opening remarks from the Secretary-General regarding Transformation, the new Chief of Transformation provided an update on the Transformation process to achieve Organisational Excellence as detailed in Document CWG-FHR-19/7. It was explained that a roadmap had been established to document progress on key processes across five high-level focus areas to enhance their efficiency, effectiveness, and responsiveness, contributing to a cohesive and systematic organizational approach.</w:t>
      </w:r>
    </w:p>
    <w:p w14:paraId="513A88EF" w14:textId="77777777" w:rsidR="002927EA" w:rsidRPr="002927EA" w:rsidRDefault="002927EA" w:rsidP="002927EA">
      <w:pPr>
        <w:tabs>
          <w:tab w:val="clear" w:pos="567"/>
          <w:tab w:val="clear" w:pos="1134"/>
          <w:tab w:val="clear" w:pos="1701"/>
          <w:tab w:val="clear" w:pos="2268"/>
          <w:tab w:val="clear" w:pos="2835"/>
        </w:tabs>
        <w:overflowPunct/>
        <w:autoSpaceDE/>
        <w:autoSpaceDN/>
        <w:adjustRightInd/>
        <w:spacing w:before="0"/>
        <w:textAlignment w:val="auto"/>
        <w:rPr>
          <w:rFonts w:eastAsia="Aptos" w:cs="Calibri"/>
          <w:sz w:val="22"/>
          <w:szCs w:val="22"/>
          <w:lang w:eastAsia="en-GB"/>
        </w:rPr>
      </w:pPr>
    </w:p>
    <w:p w14:paraId="56B543B1" w14:textId="32E3475D" w:rsidR="002927EA" w:rsidRPr="002927EA" w:rsidRDefault="002927EA" w:rsidP="002927EA">
      <w:pPr>
        <w:tabs>
          <w:tab w:val="clear" w:pos="567"/>
          <w:tab w:val="clear" w:pos="1134"/>
          <w:tab w:val="clear" w:pos="1701"/>
          <w:tab w:val="clear" w:pos="2268"/>
          <w:tab w:val="clear" w:pos="2835"/>
        </w:tabs>
        <w:overflowPunct/>
        <w:autoSpaceDE/>
        <w:autoSpaceDN/>
        <w:adjustRightInd/>
        <w:spacing w:before="0"/>
        <w:textAlignment w:val="auto"/>
        <w:rPr>
          <w:rFonts w:eastAsia="Aptos" w:cs="Calibri"/>
          <w:sz w:val="22"/>
          <w:szCs w:val="22"/>
          <w:lang w:eastAsia="en-GB"/>
        </w:rPr>
      </w:pPr>
      <w:r>
        <w:rPr>
          <w:rFonts w:eastAsia="Aptos" w:cs="Calibri"/>
          <w:szCs w:val="24"/>
          <w:lang w:eastAsia="en-GB"/>
        </w:rPr>
        <w:t>11.2</w:t>
      </w:r>
      <w:r>
        <w:rPr>
          <w:rFonts w:eastAsia="Aptos" w:cs="Calibri"/>
          <w:szCs w:val="24"/>
          <w:lang w:eastAsia="en-GB"/>
        </w:rPr>
        <w:tab/>
      </w:r>
      <w:r w:rsidRPr="002927EA">
        <w:rPr>
          <w:rFonts w:eastAsia="Aptos" w:cs="Calibri"/>
          <w:szCs w:val="24"/>
          <w:lang w:eastAsia="en-GB"/>
        </w:rPr>
        <w:t>The Transformation's current focus was on the key accelerated initiatives by mobilising existing resources and, where necessary, augmenting external expertise.</w:t>
      </w:r>
    </w:p>
    <w:p w14:paraId="28AF497A" w14:textId="77777777" w:rsidR="002927EA" w:rsidRDefault="002927EA" w:rsidP="002927EA">
      <w:pPr>
        <w:tabs>
          <w:tab w:val="clear" w:pos="567"/>
          <w:tab w:val="clear" w:pos="1134"/>
          <w:tab w:val="clear" w:pos="1701"/>
          <w:tab w:val="clear" w:pos="2268"/>
          <w:tab w:val="clear" w:pos="2835"/>
        </w:tabs>
        <w:overflowPunct/>
        <w:autoSpaceDE/>
        <w:autoSpaceDN/>
        <w:adjustRightInd/>
        <w:spacing w:before="0"/>
        <w:textAlignment w:val="auto"/>
        <w:rPr>
          <w:rFonts w:eastAsia="Aptos" w:cs="Calibri"/>
          <w:szCs w:val="24"/>
          <w:lang w:eastAsia="en-GB"/>
        </w:rPr>
      </w:pPr>
    </w:p>
    <w:p w14:paraId="02F2D304" w14:textId="2015E2AC" w:rsidR="002927EA" w:rsidRPr="002927EA" w:rsidRDefault="002927EA" w:rsidP="002927EA">
      <w:pPr>
        <w:tabs>
          <w:tab w:val="clear" w:pos="567"/>
          <w:tab w:val="clear" w:pos="1134"/>
          <w:tab w:val="clear" w:pos="1701"/>
          <w:tab w:val="clear" w:pos="2268"/>
          <w:tab w:val="clear" w:pos="2835"/>
        </w:tabs>
        <w:overflowPunct/>
        <w:autoSpaceDE/>
        <w:autoSpaceDN/>
        <w:adjustRightInd/>
        <w:spacing w:before="0"/>
        <w:textAlignment w:val="auto"/>
        <w:rPr>
          <w:rFonts w:eastAsia="Aptos" w:cs="Calibri"/>
          <w:sz w:val="22"/>
          <w:szCs w:val="22"/>
          <w:lang w:eastAsia="en-GB"/>
        </w:rPr>
      </w:pPr>
      <w:r>
        <w:rPr>
          <w:rFonts w:eastAsia="Aptos" w:cs="Calibri"/>
          <w:szCs w:val="24"/>
          <w:lang w:eastAsia="en-GB"/>
        </w:rPr>
        <w:t>11.3</w:t>
      </w:r>
      <w:r>
        <w:rPr>
          <w:rFonts w:eastAsia="Aptos" w:cs="Calibri"/>
          <w:szCs w:val="24"/>
          <w:lang w:eastAsia="en-GB"/>
        </w:rPr>
        <w:tab/>
      </w:r>
      <w:r w:rsidRPr="002927EA">
        <w:rPr>
          <w:rFonts w:eastAsia="Aptos" w:cs="Calibri"/>
          <w:szCs w:val="24"/>
          <w:lang w:eastAsia="en-GB"/>
        </w:rPr>
        <w:t>The Russian Federation presented their Contribution on Comments on the Revision of the Implementation of the Roadmap to improving the ITU Website as part of Document CWG-FHR-19/11. The Council Working Group on FHR were invited to consider the contribution.  The Russian Federation would like some clarification what is currently being doing on the website in terms of improvements and an update on the financing to avoid further delays.</w:t>
      </w:r>
    </w:p>
    <w:p w14:paraId="389601A4" w14:textId="77777777" w:rsidR="002927EA" w:rsidRPr="002927EA" w:rsidRDefault="002927EA" w:rsidP="002927EA">
      <w:pPr>
        <w:tabs>
          <w:tab w:val="clear" w:pos="567"/>
          <w:tab w:val="clear" w:pos="1134"/>
          <w:tab w:val="clear" w:pos="1701"/>
          <w:tab w:val="clear" w:pos="2268"/>
          <w:tab w:val="clear" w:pos="2835"/>
        </w:tabs>
        <w:overflowPunct/>
        <w:autoSpaceDE/>
        <w:autoSpaceDN/>
        <w:adjustRightInd/>
        <w:spacing w:before="0"/>
        <w:textAlignment w:val="auto"/>
        <w:rPr>
          <w:rFonts w:eastAsia="Aptos" w:cs="Calibri"/>
          <w:szCs w:val="24"/>
        </w:rPr>
      </w:pPr>
    </w:p>
    <w:p w14:paraId="6DC9CB77" w14:textId="6601805B" w:rsidR="002927EA" w:rsidRPr="002927EA" w:rsidRDefault="002927EA" w:rsidP="002927EA">
      <w:pPr>
        <w:tabs>
          <w:tab w:val="clear" w:pos="567"/>
          <w:tab w:val="clear" w:pos="1134"/>
          <w:tab w:val="clear" w:pos="1701"/>
          <w:tab w:val="clear" w:pos="2268"/>
          <w:tab w:val="clear" w:pos="2835"/>
        </w:tabs>
        <w:overflowPunct/>
        <w:autoSpaceDE/>
        <w:autoSpaceDN/>
        <w:adjustRightInd/>
        <w:spacing w:before="0"/>
        <w:textAlignment w:val="auto"/>
        <w:rPr>
          <w:rFonts w:eastAsia="Aptos" w:cs="Calibri"/>
          <w:szCs w:val="24"/>
          <w:lang w:val="en-US"/>
        </w:rPr>
      </w:pPr>
      <w:r>
        <w:rPr>
          <w:rFonts w:eastAsia="Aptos" w:cs="Calibri"/>
          <w:szCs w:val="24"/>
        </w:rPr>
        <w:t>11.4</w:t>
      </w:r>
      <w:r>
        <w:rPr>
          <w:rFonts w:eastAsia="Aptos" w:cs="Calibri"/>
          <w:szCs w:val="24"/>
        </w:rPr>
        <w:tab/>
      </w:r>
      <w:r w:rsidRPr="002927EA">
        <w:rPr>
          <w:rFonts w:eastAsia="Aptos" w:cs="Calibri"/>
          <w:szCs w:val="24"/>
          <w:lang w:val="en-US"/>
        </w:rPr>
        <w:t>Several delegates expressed their support for the transformation process and appreciated the comprehensive update, particularly the development of a dashboard for tracking progress effectively. They noted that the transformation has been gradually underway for two years only, during which considerable progress has already been made.  Some delegates requested more detailed information in future reports regarding the implementation of the roadmap and the status of various activities. Additionally, there were requests to identify financial resources to ensure the viability of the 2027 targets. Some delegates offered support to help alleviate the challenges during this transformation process and welcomes the arrival of the new Chief of Transformation.</w:t>
      </w:r>
    </w:p>
    <w:p w14:paraId="718F91BC" w14:textId="77777777" w:rsidR="002927EA" w:rsidRPr="002927EA" w:rsidRDefault="002927EA" w:rsidP="002927EA">
      <w:pPr>
        <w:tabs>
          <w:tab w:val="clear" w:pos="567"/>
          <w:tab w:val="clear" w:pos="1134"/>
          <w:tab w:val="clear" w:pos="1701"/>
          <w:tab w:val="clear" w:pos="2268"/>
          <w:tab w:val="clear" w:pos="2835"/>
        </w:tabs>
        <w:overflowPunct/>
        <w:autoSpaceDE/>
        <w:autoSpaceDN/>
        <w:adjustRightInd/>
        <w:spacing w:before="0"/>
        <w:textAlignment w:val="auto"/>
        <w:rPr>
          <w:rFonts w:eastAsia="Aptos" w:cs="Calibri"/>
          <w:szCs w:val="24"/>
          <w:lang w:eastAsia="en-GB"/>
        </w:rPr>
      </w:pPr>
    </w:p>
    <w:p w14:paraId="2BD6BCBA" w14:textId="7E75CAA7" w:rsidR="002927EA" w:rsidRPr="002927EA" w:rsidRDefault="002927EA" w:rsidP="002927EA">
      <w:pPr>
        <w:tabs>
          <w:tab w:val="clear" w:pos="567"/>
          <w:tab w:val="clear" w:pos="1134"/>
          <w:tab w:val="clear" w:pos="1701"/>
          <w:tab w:val="clear" w:pos="2268"/>
          <w:tab w:val="clear" w:pos="2835"/>
        </w:tabs>
        <w:overflowPunct/>
        <w:autoSpaceDE/>
        <w:autoSpaceDN/>
        <w:adjustRightInd/>
        <w:spacing w:before="0"/>
        <w:textAlignment w:val="auto"/>
        <w:rPr>
          <w:rFonts w:eastAsia="Aptos" w:cs="Calibri"/>
          <w:sz w:val="22"/>
          <w:szCs w:val="22"/>
          <w:lang w:eastAsia="en-GB"/>
        </w:rPr>
      </w:pPr>
      <w:r>
        <w:rPr>
          <w:rFonts w:eastAsia="Aptos" w:cs="Calibri"/>
          <w:szCs w:val="24"/>
          <w:lang w:eastAsia="en-GB"/>
        </w:rPr>
        <w:t>11.5</w:t>
      </w:r>
      <w:r>
        <w:rPr>
          <w:rFonts w:eastAsia="Aptos" w:cs="Calibri"/>
          <w:szCs w:val="24"/>
          <w:lang w:eastAsia="en-GB"/>
        </w:rPr>
        <w:tab/>
      </w:r>
      <w:r w:rsidRPr="002927EA">
        <w:rPr>
          <w:rFonts w:eastAsia="Aptos" w:cs="Calibri"/>
          <w:szCs w:val="24"/>
          <w:lang w:eastAsia="en-GB"/>
        </w:rPr>
        <w:t>The Chief of Administration and Finance and Chief of Transformation gave final remarks. On website funding, he explained that some 350.000 CHF of Transformation roadmap funding would provide enough funding to get this process started until the next cycle. He explained that the update provided today was intentionally brief and did not provide a comprehensive update on all Transformation activities. On HR resources and flexible arrangements, he explained that this process was well underway and required ongoing consultation with senior officials (as with all service orders). On defining culture and values, the new Chief of Transformation would take this on using the funding identified. He clarified that the Transformation process would not conclude in 2027 - this was too short a timeline for ITU, but the initial roadmap was identified for activities until 2027. Further funding in the 2026-2027 budget cycle would help continue Transformation activities. The Chief of Transformation explained that the dashboard was currently being reviewed before being published, with updates in due course. The Chief planned to address Transformation in two tracks of alignment - one track on accelerated initiatives, and the second on the outcome pillars. Regular updates, with more detailed information on the activities, would be provided at next Council.</w:t>
      </w:r>
    </w:p>
    <w:p w14:paraId="4A00286B" w14:textId="67A2994C" w:rsidR="002927EA" w:rsidRDefault="002927EA">
      <w:pPr>
        <w:tabs>
          <w:tab w:val="clear" w:pos="567"/>
          <w:tab w:val="clear" w:pos="1134"/>
          <w:tab w:val="clear" w:pos="1701"/>
          <w:tab w:val="clear" w:pos="2268"/>
          <w:tab w:val="clear" w:pos="2835"/>
        </w:tabs>
        <w:overflowPunct/>
        <w:autoSpaceDE/>
        <w:autoSpaceDN/>
        <w:adjustRightInd/>
        <w:spacing w:before="0"/>
        <w:textAlignment w:val="auto"/>
        <w:rPr>
          <w:b/>
          <w:bCs/>
          <w:szCs w:val="24"/>
        </w:rPr>
      </w:pPr>
    </w:p>
    <w:p w14:paraId="03440C65" w14:textId="057DE67E" w:rsidR="00726742" w:rsidRPr="007B310B" w:rsidRDefault="00726742" w:rsidP="00726742">
      <w:pPr>
        <w:tabs>
          <w:tab w:val="clear" w:pos="567"/>
          <w:tab w:val="clear" w:pos="1134"/>
          <w:tab w:val="clear" w:pos="1701"/>
          <w:tab w:val="clear" w:pos="2268"/>
          <w:tab w:val="clear" w:pos="2835"/>
          <w:tab w:val="left" w:pos="709"/>
        </w:tabs>
        <w:spacing w:before="0"/>
        <w:rPr>
          <w:b/>
          <w:bCs/>
          <w:szCs w:val="24"/>
        </w:rPr>
      </w:pPr>
      <w:r w:rsidRPr="007B310B">
        <w:rPr>
          <w:b/>
          <w:bCs/>
          <w:szCs w:val="24"/>
        </w:rPr>
        <w:t>1</w:t>
      </w:r>
      <w:r>
        <w:rPr>
          <w:b/>
          <w:bCs/>
          <w:szCs w:val="24"/>
        </w:rPr>
        <w:t>2</w:t>
      </w:r>
      <w:r w:rsidRPr="007B310B">
        <w:rPr>
          <w:b/>
          <w:bCs/>
          <w:szCs w:val="24"/>
        </w:rPr>
        <w:tab/>
      </w:r>
      <w:r w:rsidRPr="007B310B">
        <w:rPr>
          <w:rFonts w:asciiTheme="minorHAnsi" w:hAnsiTheme="minorHAnsi" w:cstheme="minorHAnsi"/>
          <w:b/>
          <w:bCs/>
        </w:rPr>
        <w:t>Fee exemptions analysis (</w:t>
      </w:r>
      <w:hyperlink r:id="rId29" w:history="1">
        <w:r w:rsidRPr="00D93080">
          <w:rPr>
            <w:rStyle w:val="Hyperlink"/>
            <w:rFonts w:asciiTheme="minorHAnsi" w:hAnsiTheme="minorHAnsi" w:cstheme="minorHAnsi"/>
            <w:b/>
            <w:szCs w:val="24"/>
          </w:rPr>
          <w:t>CWG-FHR-19/9</w:t>
        </w:r>
      </w:hyperlink>
      <w:r w:rsidRPr="00D93080">
        <w:rPr>
          <w:rStyle w:val="Hyperlink"/>
          <w:rFonts w:asciiTheme="minorHAnsi" w:hAnsiTheme="minorHAnsi" w:cstheme="minorHAnsi"/>
          <w:b/>
          <w:szCs w:val="24"/>
        </w:rPr>
        <w:t>)</w:t>
      </w:r>
    </w:p>
    <w:p w14:paraId="3069453A" w14:textId="0626FAFD" w:rsidR="00F75A7F" w:rsidRDefault="00F75A7F">
      <w:pPr>
        <w:tabs>
          <w:tab w:val="clear" w:pos="567"/>
          <w:tab w:val="clear" w:pos="1134"/>
          <w:tab w:val="clear" w:pos="1701"/>
          <w:tab w:val="clear" w:pos="2268"/>
          <w:tab w:val="clear" w:pos="2835"/>
        </w:tabs>
        <w:overflowPunct/>
        <w:autoSpaceDE/>
        <w:autoSpaceDN/>
        <w:adjustRightInd/>
        <w:spacing w:before="0"/>
        <w:textAlignment w:val="auto"/>
        <w:rPr>
          <w:b/>
          <w:bCs/>
          <w:szCs w:val="24"/>
        </w:rPr>
      </w:pPr>
    </w:p>
    <w:p w14:paraId="157BF0B2" w14:textId="4AF4C867" w:rsidR="00DF71F8" w:rsidRPr="00DF71F8" w:rsidRDefault="00DF71F8" w:rsidP="009B13DD">
      <w:pPr>
        <w:tabs>
          <w:tab w:val="clear" w:pos="567"/>
          <w:tab w:val="clear" w:pos="1134"/>
          <w:tab w:val="clear" w:pos="1701"/>
          <w:tab w:val="clear" w:pos="2268"/>
          <w:tab w:val="clear" w:pos="2835"/>
          <w:tab w:val="left" w:pos="709"/>
        </w:tabs>
        <w:overflowPunct/>
        <w:autoSpaceDE/>
        <w:autoSpaceDN/>
        <w:adjustRightInd/>
        <w:spacing w:before="0"/>
        <w:textAlignment w:val="auto"/>
        <w:rPr>
          <w:szCs w:val="24"/>
        </w:rPr>
      </w:pPr>
      <w:r>
        <w:rPr>
          <w:szCs w:val="24"/>
        </w:rPr>
        <w:t>12.1</w:t>
      </w:r>
      <w:r>
        <w:rPr>
          <w:szCs w:val="24"/>
        </w:rPr>
        <w:tab/>
      </w:r>
      <w:r w:rsidRPr="00DF71F8">
        <w:rPr>
          <w:szCs w:val="24"/>
        </w:rPr>
        <w:t>Following a request from the previous CWG FHR meeting, the secretariat presented an analysis of the multi-country contribution CWG-FHR 17/15 on proposed changes to Council Res 925 regarding fee exemptions. Also as requested, the secretariat document included a review of how other UN agencies define reciprocity and provided information on issues encountered in implementation of the 2017 fee exemption guidelines.</w:t>
      </w:r>
    </w:p>
    <w:p w14:paraId="4ECDA7D1" w14:textId="2BB8EDA9" w:rsidR="00DF71F8" w:rsidRPr="00DF71F8" w:rsidRDefault="00DF71F8" w:rsidP="00DF71F8">
      <w:pPr>
        <w:tabs>
          <w:tab w:val="clear" w:pos="567"/>
          <w:tab w:val="clear" w:pos="1134"/>
          <w:tab w:val="clear" w:pos="1701"/>
          <w:tab w:val="clear" w:pos="2268"/>
          <w:tab w:val="clear" w:pos="2835"/>
        </w:tabs>
        <w:overflowPunct/>
        <w:autoSpaceDE/>
        <w:autoSpaceDN/>
        <w:adjustRightInd/>
        <w:spacing w:before="0"/>
        <w:textAlignment w:val="auto"/>
        <w:rPr>
          <w:szCs w:val="24"/>
        </w:rPr>
      </w:pPr>
    </w:p>
    <w:p w14:paraId="42ABDDE2" w14:textId="40B5A57D" w:rsidR="00DF71F8" w:rsidRPr="00DF71F8" w:rsidRDefault="00DF71F8" w:rsidP="00DF71F8">
      <w:pPr>
        <w:tabs>
          <w:tab w:val="clear" w:pos="567"/>
          <w:tab w:val="clear" w:pos="1134"/>
          <w:tab w:val="clear" w:pos="1701"/>
          <w:tab w:val="clear" w:pos="2268"/>
          <w:tab w:val="clear" w:pos="2835"/>
        </w:tabs>
        <w:overflowPunct/>
        <w:autoSpaceDE/>
        <w:autoSpaceDN/>
        <w:adjustRightInd/>
        <w:spacing w:before="0"/>
        <w:textAlignment w:val="auto"/>
        <w:rPr>
          <w:szCs w:val="24"/>
        </w:rPr>
      </w:pPr>
      <w:r>
        <w:rPr>
          <w:szCs w:val="24"/>
        </w:rPr>
        <w:t>12.2</w:t>
      </w:r>
      <w:r>
        <w:rPr>
          <w:szCs w:val="24"/>
        </w:rPr>
        <w:tab/>
      </w:r>
      <w:r w:rsidRPr="00DF71F8">
        <w:rPr>
          <w:szCs w:val="24"/>
        </w:rPr>
        <w:t>The number of ITU member entities with fee exemption has grown significantly overtime, as has their proportion of ITU’s total membership.</w:t>
      </w:r>
    </w:p>
    <w:p w14:paraId="566C0297" w14:textId="139A8EF2" w:rsidR="00DF71F8" w:rsidRPr="00DF71F8" w:rsidRDefault="00DF71F8" w:rsidP="00DF71F8">
      <w:pPr>
        <w:tabs>
          <w:tab w:val="clear" w:pos="567"/>
          <w:tab w:val="clear" w:pos="1134"/>
          <w:tab w:val="clear" w:pos="1701"/>
          <w:tab w:val="clear" w:pos="2268"/>
          <w:tab w:val="clear" w:pos="2835"/>
        </w:tabs>
        <w:overflowPunct/>
        <w:autoSpaceDE/>
        <w:autoSpaceDN/>
        <w:adjustRightInd/>
        <w:spacing w:before="0"/>
        <w:textAlignment w:val="auto"/>
        <w:rPr>
          <w:szCs w:val="24"/>
        </w:rPr>
      </w:pPr>
    </w:p>
    <w:p w14:paraId="08AC2C62" w14:textId="4BD78F67" w:rsidR="00DF71F8" w:rsidRPr="00DF71F8" w:rsidRDefault="00DF71F8" w:rsidP="00DF71F8">
      <w:pPr>
        <w:tabs>
          <w:tab w:val="clear" w:pos="567"/>
          <w:tab w:val="clear" w:pos="1134"/>
          <w:tab w:val="clear" w:pos="1701"/>
          <w:tab w:val="clear" w:pos="2268"/>
          <w:tab w:val="clear" w:pos="2835"/>
        </w:tabs>
        <w:overflowPunct/>
        <w:autoSpaceDE/>
        <w:autoSpaceDN/>
        <w:adjustRightInd/>
        <w:spacing w:before="0"/>
        <w:textAlignment w:val="auto"/>
        <w:rPr>
          <w:szCs w:val="24"/>
        </w:rPr>
      </w:pPr>
      <w:r>
        <w:rPr>
          <w:szCs w:val="24"/>
        </w:rPr>
        <w:t>12.3</w:t>
      </w:r>
      <w:r>
        <w:rPr>
          <w:szCs w:val="24"/>
        </w:rPr>
        <w:tab/>
      </w:r>
      <w:r w:rsidRPr="00DF71F8">
        <w:rPr>
          <w:szCs w:val="24"/>
        </w:rPr>
        <w:t>The secretariat noted some issues in implementation of the criteria revised in 2017, including how to handle entities with mixed membership, NGOs not qualifying for exemption and grandfathering of the of the list of entities exempted before 2017.</w:t>
      </w:r>
    </w:p>
    <w:p w14:paraId="08254BBD" w14:textId="77777777" w:rsidR="00DF71F8" w:rsidRDefault="00DF71F8" w:rsidP="00DF71F8">
      <w:pPr>
        <w:tabs>
          <w:tab w:val="clear" w:pos="567"/>
          <w:tab w:val="clear" w:pos="1134"/>
          <w:tab w:val="clear" w:pos="1701"/>
          <w:tab w:val="clear" w:pos="2268"/>
          <w:tab w:val="clear" w:pos="2835"/>
        </w:tabs>
        <w:overflowPunct/>
        <w:autoSpaceDE/>
        <w:autoSpaceDN/>
        <w:adjustRightInd/>
        <w:spacing w:before="0"/>
        <w:textAlignment w:val="auto"/>
        <w:rPr>
          <w:szCs w:val="24"/>
        </w:rPr>
      </w:pPr>
    </w:p>
    <w:p w14:paraId="502F50B1" w14:textId="731BE944" w:rsidR="00DF71F8" w:rsidRPr="00DF71F8" w:rsidRDefault="00DF71F8" w:rsidP="00DF71F8">
      <w:pPr>
        <w:tabs>
          <w:tab w:val="clear" w:pos="567"/>
          <w:tab w:val="clear" w:pos="1134"/>
          <w:tab w:val="clear" w:pos="1701"/>
          <w:tab w:val="clear" w:pos="2268"/>
          <w:tab w:val="clear" w:pos="2835"/>
        </w:tabs>
        <w:overflowPunct/>
        <w:autoSpaceDE/>
        <w:autoSpaceDN/>
        <w:adjustRightInd/>
        <w:spacing w:before="0"/>
        <w:textAlignment w:val="auto"/>
        <w:rPr>
          <w:szCs w:val="24"/>
        </w:rPr>
      </w:pPr>
      <w:r>
        <w:rPr>
          <w:szCs w:val="24"/>
        </w:rPr>
        <w:t>12.4</w:t>
      </w:r>
      <w:r>
        <w:rPr>
          <w:szCs w:val="24"/>
        </w:rPr>
        <w:tab/>
      </w:r>
      <w:r w:rsidRPr="00DF71F8">
        <w:rPr>
          <w:szCs w:val="24"/>
        </w:rPr>
        <w:t>The membership model of ITU is exceptional in the UN system in that non-government entities have the option of formal, paid membership. The most common method among UN specialized agencies to engage NGOs in their work is by granting consultative status on a no fee basis. The concept of reciprocity is not a common requirement. UPU charges fees for participation in their committees, with reduced fees for NGOs. This model could be further explored by ITU.</w:t>
      </w:r>
    </w:p>
    <w:p w14:paraId="36F5B3AB" w14:textId="77777777" w:rsidR="00DF71F8" w:rsidRDefault="00DF71F8" w:rsidP="00DF71F8">
      <w:pPr>
        <w:tabs>
          <w:tab w:val="clear" w:pos="567"/>
          <w:tab w:val="clear" w:pos="1134"/>
          <w:tab w:val="clear" w:pos="1701"/>
          <w:tab w:val="clear" w:pos="2268"/>
          <w:tab w:val="clear" w:pos="2835"/>
        </w:tabs>
        <w:overflowPunct/>
        <w:autoSpaceDE/>
        <w:autoSpaceDN/>
        <w:adjustRightInd/>
        <w:spacing w:before="0"/>
        <w:textAlignment w:val="auto"/>
        <w:rPr>
          <w:szCs w:val="24"/>
        </w:rPr>
      </w:pPr>
    </w:p>
    <w:p w14:paraId="42376CC5" w14:textId="480E32D3" w:rsidR="00DF71F8" w:rsidRPr="00DF71F8" w:rsidRDefault="00DF71F8" w:rsidP="00DF71F8">
      <w:pPr>
        <w:tabs>
          <w:tab w:val="clear" w:pos="567"/>
          <w:tab w:val="clear" w:pos="1134"/>
          <w:tab w:val="clear" w:pos="1701"/>
          <w:tab w:val="clear" w:pos="2268"/>
          <w:tab w:val="clear" w:pos="2835"/>
        </w:tabs>
        <w:overflowPunct/>
        <w:autoSpaceDE/>
        <w:autoSpaceDN/>
        <w:adjustRightInd/>
        <w:spacing w:before="0"/>
        <w:textAlignment w:val="auto"/>
        <w:rPr>
          <w:szCs w:val="24"/>
        </w:rPr>
      </w:pPr>
      <w:r>
        <w:rPr>
          <w:szCs w:val="24"/>
        </w:rPr>
        <w:lastRenderedPageBreak/>
        <w:t>12.5</w:t>
      </w:r>
      <w:r>
        <w:rPr>
          <w:szCs w:val="24"/>
        </w:rPr>
        <w:tab/>
      </w:r>
      <w:r w:rsidRPr="00DF71F8">
        <w:rPr>
          <w:szCs w:val="24"/>
        </w:rPr>
        <w:t xml:space="preserve">The multi-country contribution </w:t>
      </w:r>
      <w:hyperlink r:id="rId30" w:history="1">
        <w:r w:rsidRPr="00DF71F8">
          <w:rPr>
            <w:rStyle w:val="Hyperlink"/>
            <w:szCs w:val="24"/>
          </w:rPr>
          <w:t>CWG-FHR-17/15</w:t>
        </w:r>
      </w:hyperlink>
      <w:r w:rsidRPr="00DF71F8">
        <w:rPr>
          <w:szCs w:val="24"/>
        </w:rPr>
        <w:t> proposes updating Resolution 925 to incorporate the 2017 exemption criteria revisions. These changes appear to largely reflect current practice, although two points are open to interpretation. These proposed changes may have financial and other implications. Additional clarifications in the text would provide more specific guidance for implementation.</w:t>
      </w:r>
    </w:p>
    <w:p w14:paraId="71BEBB14" w14:textId="77777777" w:rsidR="00DF71F8" w:rsidRDefault="00DF71F8" w:rsidP="00DF71F8">
      <w:pPr>
        <w:tabs>
          <w:tab w:val="clear" w:pos="567"/>
          <w:tab w:val="clear" w:pos="1134"/>
          <w:tab w:val="clear" w:pos="1701"/>
          <w:tab w:val="clear" w:pos="2268"/>
          <w:tab w:val="clear" w:pos="2835"/>
        </w:tabs>
        <w:overflowPunct/>
        <w:autoSpaceDE/>
        <w:autoSpaceDN/>
        <w:adjustRightInd/>
        <w:spacing w:before="0"/>
        <w:textAlignment w:val="auto"/>
        <w:rPr>
          <w:szCs w:val="24"/>
        </w:rPr>
      </w:pPr>
    </w:p>
    <w:p w14:paraId="63548C91" w14:textId="09F3EC6E" w:rsidR="00DF71F8" w:rsidRPr="00DF71F8" w:rsidRDefault="00DF71F8" w:rsidP="00DF71F8">
      <w:pPr>
        <w:tabs>
          <w:tab w:val="clear" w:pos="567"/>
          <w:tab w:val="clear" w:pos="1134"/>
          <w:tab w:val="clear" w:pos="1701"/>
          <w:tab w:val="clear" w:pos="2268"/>
          <w:tab w:val="clear" w:pos="2835"/>
        </w:tabs>
        <w:overflowPunct/>
        <w:autoSpaceDE/>
        <w:autoSpaceDN/>
        <w:adjustRightInd/>
        <w:spacing w:before="0"/>
        <w:textAlignment w:val="auto"/>
        <w:rPr>
          <w:szCs w:val="24"/>
        </w:rPr>
      </w:pPr>
      <w:r>
        <w:rPr>
          <w:szCs w:val="24"/>
        </w:rPr>
        <w:t>12.6</w:t>
      </w:r>
      <w:r>
        <w:rPr>
          <w:szCs w:val="24"/>
        </w:rPr>
        <w:tab/>
      </w:r>
      <w:r w:rsidRPr="00DF71F8">
        <w:rPr>
          <w:szCs w:val="24"/>
        </w:rPr>
        <w:t>The issue of grandfathering of entities on the list prior to 2017 is not addressed in the multi-country contribution. If the Council were to adopt the changes proposed to Resolution 925, without explicitly deciding to continue to grandfather the entities approved prior to 2017, about 50 entities would in principle lose their exemption status.</w:t>
      </w:r>
    </w:p>
    <w:p w14:paraId="459FA045" w14:textId="77777777" w:rsidR="00DF71F8" w:rsidRDefault="00DF71F8" w:rsidP="00DF71F8">
      <w:pPr>
        <w:tabs>
          <w:tab w:val="clear" w:pos="567"/>
          <w:tab w:val="clear" w:pos="1134"/>
          <w:tab w:val="clear" w:pos="1701"/>
          <w:tab w:val="clear" w:pos="2268"/>
          <w:tab w:val="clear" w:pos="2835"/>
        </w:tabs>
        <w:overflowPunct/>
        <w:autoSpaceDE/>
        <w:autoSpaceDN/>
        <w:adjustRightInd/>
        <w:spacing w:before="0"/>
        <w:textAlignment w:val="auto"/>
        <w:rPr>
          <w:szCs w:val="24"/>
        </w:rPr>
      </w:pPr>
    </w:p>
    <w:p w14:paraId="3DA1900F" w14:textId="16D6A648" w:rsidR="00DF71F8" w:rsidRPr="00DF71F8" w:rsidRDefault="00DF71F8" w:rsidP="00DF71F8">
      <w:pPr>
        <w:tabs>
          <w:tab w:val="clear" w:pos="567"/>
          <w:tab w:val="clear" w:pos="1134"/>
          <w:tab w:val="clear" w:pos="1701"/>
          <w:tab w:val="clear" w:pos="2268"/>
          <w:tab w:val="clear" w:pos="2835"/>
        </w:tabs>
        <w:overflowPunct/>
        <w:autoSpaceDE/>
        <w:autoSpaceDN/>
        <w:adjustRightInd/>
        <w:spacing w:before="0"/>
        <w:textAlignment w:val="auto"/>
        <w:rPr>
          <w:szCs w:val="24"/>
        </w:rPr>
      </w:pPr>
      <w:r>
        <w:rPr>
          <w:szCs w:val="24"/>
        </w:rPr>
        <w:t>12.7</w:t>
      </w:r>
      <w:r>
        <w:rPr>
          <w:szCs w:val="24"/>
        </w:rPr>
        <w:tab/>
      </w:r>
      <w:r w:rsidRPr="00DF71F8">
        <w:rPr>
          <w:szCs w:val="24"/>
        </w:rPr>
        <w:t>Commenting on the secretariat document, several delegations noted the importance of ensuring that ITU's remains open and inclusive, engaging various stakeholders, while at the same time protecting revenues. One delegation questioned why ITU gives fee exemption to some entities that have the means to pay fees. The secretariat noted that capacity to pay is not currently a criterion</w:t>
      </w:r>
      <w:r>
        <w:rPr>
          <w:szCs w:val="24"/>
        </w:rPr>
        <w:t xml:space="preserve">, </w:t>
      </w:r>
      <w:r w:rsidRPr="00DF71F8">
        <w:rPr>
          <w:szCs w:val="24"/>
        </w:rPr>
        <w:t>but this could be changed if Council chose to include it. Some delegations expressed concern with the complexity of the changes proposed in the multi-country contribution, asking what the impact might be if implemented.</w:t>
      </w:r>
    </w:p>
    <w:p w14:paraId="31347800" w14:textId="77777777" w:rsidR="00DF71F8" w:rsidRDefault="00DF71F8" w:rsidP="00DF71F8">
      <w:pPr>
        <w:tabs>
          <w:tab w:val="clear" w:pos="567"/>
          <w:tab w:val="clear" w:pos="1134"/>
          <w:tab w:val="clear" w:pos="1701"/>
          <w:tab w:val="clear" w:pos="2268"/>
          <w:tab w:val="clear" w:pos="2835"/>
        </w:tabs>
        <w:overflowPunct/>
        <w:autoSpaceDE/>
        <w:autoSpaceDN/>
        <w:adjustRightInd/>
        <w:spacing w:before="0"/>
        <w:textAlignment w:val="auto"/>
        <w:rPr>
          <w:szCs w:val="24"/>
        </w:rPr>
      </w:pPr>
    </w:p>
    <w:p w14:paraId="7A20732D" w14:textId="30831E77" w:rsidR="00DF71F8" w:rsidRPr="00DF71F8" w:rsidRDefault="00DF71F8" w:rsidP="00DF71F8">
      <w:pPr>
        <w:tabs>
          <w:tab w:val="clear" w:pos="567"/>
          <w:tab w:val="clear" w:pos="1134"/>
          <w:tab w:val="clear" w:pos="1701"/>
          <w:tab w:val="clear" w:pos="2268"/>
          <w:tab w:val="clear" w:pos="2835"/>
        </w:tabs>
        <w:overflowPunct/>
        <w:autoSpaceDE/>
        <w:autoSpaceDN/>
        <w:adjustRightInd/>
        <w:spacing w:before="0"/>
        <w:textAlignment w:val="auto"/>
        <w:rPr>
          <w:szCs w:val="24"/>
        </w:rPr>
      </w:pPr>
      <w:r>
        <w:rPr>
          <w:szCs w:val="24"/>
        </w:rPr>
        <w:t>12.8</w:t>
      </w:r>
      <w:r>
        <w:rPr>
          <w:szCs w:val="24"/>
        </w:rPr>
        <w:tab/>
      </w:r>
      <w:r w:rsidRPr="00DF71F8">
        <w:rPr>
          <w:szCs w:val="24"/>
        </w:rPr>
        <w:t>The Chair summarized the discussion by inviting the Russian Federation to work with the secretariat to propose wording that would clarify the points highlighted in the secretariat's document. The Chair further noted that the topic of fee exemptions would be picked up again by the next meeting in the context of a broader review of sector membership fees, as part of the resource mobilization strategy.</w:t>
      </w:r>
    </w:p>
    <w:p w14:paraId="68FFE113" w14:textId="77777777" w:rsidR="00F75A7F" w:rsidRPr="00DF71F8" w:rsidRDefault="00F75A7F" w:rsidP="00296B9F">
      <w:pPr>
        <w:tabs>
          <w:tab w:val="clear" w:pos="567"/>
          <w:tab w:val="clear" w:pos="1134"/>
          <w:tab w:val="clear" w:pos="1701"/>
          <w:tab w:val="clear" w:pos="2268"/>
          <w:tab w:val="clear" w:pos="2835"/>
          <w:tab w:val="left" w:pos="709"/>
        </w:tabs>
        <w:spacing w:before="0"/>
        <w:rPr>
          <w:szCs w:val="24"/>
        </w:rPr>
      </w:pPr>
    </w:p>
    <w:p w14:paraId="5AE04243" w14:textId="4EE657CA" w:rsidR="00F75A7F" w:rsidRPr="007B310B" w:rsidRDefault="00F75A7F" w:rsidP="00296B9F">
      <w:pPr>
        <w:tabs>
          <w:tab w:val="clear" w:pos="567"/>
          <w:tab w:val="clear" w:pos="1134"/>
          <w:tab w:val="clear" w:pos="1701"/>
          <w:tab w:val="clear" w:pos="2268"/>
          <w:tab w:val="clear" w:pos="2835"/>
          <w:tab w:val="left" w:pos="709"/>
        </w:tabs>
        <w:spacing w:before="0"/>
        <w:rPr>
          <w:b/>
          <w:bCs/>
          <w:szCs w:val="24"/>
        </w:rPr>
      </w:pPr>
      <w:r w:rsidRPr="00FA48F4">
        <w:rPr>
          <w:b/>
          <w:bCs/>
          <w:szCs w:val="24"/>
        </w:rPr>
        <w:t>1</w:t>
      </w:r>
      <w:r w:rsidR="00726742" w:rsidRPr="00FA48F4">
        <w:rPr>
          <w:b/>
          <w:bCs/>
          <w:szCs w:val="24"/>
        </w:rPr>
        <w:t>3</w:t>
      </w:r>
      <w:r w:rsidRPr="00FA48F4">
        <w:rPr>
          <w:b/>
          <w:bCs/>
          <w:szCs w:val="24"/>
        </w:rPr>
        <w:tab/>
      </w:r>
      <w:r w:rsidRPr="00FA48F4">
        <w:rPr>
          <w:rFonts w:asciiTheme="minorHAnsi" w:hAnsiTheme="minorHAnsi" w:cstheme="minorHAnsi"/>
          <w:b/>
          <w:bCs/>
          <w:color w:val="000000"/>
        </w:rPr>
        <w:t>Full costs – Processing of space notices (</w:t>
      </w:r>
      <w:r w:rsidR="007B310B" w:rsidRPr="00FA48F4">
        <w:rPr>
          <w:rFonts w:asciiTheme="minorHAnsi" w:hAnsiTheme="minorHAnsi" w:cstheme="minorHAnsi"/>
          <w:b/>
          <w:bCs/>
        </w:rPr>
        <w:t>Document</w:t>
      </w:r>
      <w:r w:rsidR="007B310B" w:rsidRPr="00FA48F4">
        <w:rPr>
          <w:b/>
          <w:bCs/>
        </w:rPr>
        <w:t xml:space="preserve"> </w:t>
      </w:r>
      <w:hyperlink r:id="rId31" w:history="1">
        <w:r w:rsidRPr="00D93080">
          <w:rPr>
            <w:rStyle w:val="Hyperlink"/>
            <w:rFonts w:asciiTheme="minorHAnsi" w:hAnsiTheme="minorHAnsi" w:cstheme="minorHAnsi"/>
            <w:b/>
            <w:szCs w:val="24"/>
          </w:rPr>
          <w:t>CWG-FHR-19/8</w:t>
        </w:r>
      </w:hyperlink>
      <w:r w:rsidRPr="00D93080">
        <w:rPr>
          <w:rStyle w:val="Hyperlink"/>
          <w:rFonts w:asciiTheme="minorHAnsi" w:hAnsiTheme="minorHAnsi" w:cstheme="minorHAnsi"/>
          <w:b/>
          <w:szCs w:val="24"/>
        </w:rPr>
        <w:t>)</w:t>
      </w:r>
    </w:p>
    <w:p w14:paraId="3CFCB32A" w14:textId="77777777" w:rsidR="00F75A7F" w:rsidRDefault="00F75A7F" w:rsidP="00296B9F">
      <w:pPr>
        <w:tabs>
          <w:tab w:val="clear" w:pos="567"/>
          <w:tab w:val="clear" w:pos="1134"/>
          <w:tab w:val="clear" w:pos="1701"/>
          <w:tab w:val="clear" w:pos="2268"/>
          <w:tab w:val="clear" w:pos="2835"/>
          <w:tab w:val="left" w:pos="709"/>
        </w:tabs>
        <w:spacing w:before="0"/>
        <w:rPr>
          <w:b/>
          <w:bCs/>
          <w:szCs w:val="24"/>
        </w:rPr>
      </w:pPr>
    </w:p>
    <w:p w14:paraId="2BD53E3B" w14:textId="26D273F2" w:rsidR="00FA48F4" w:rsidRPr="00FA48F4" w:rsidRDefault="00D73FB9" w:rsidP="00FA48F4">
      <w:pPr>
        <w:tabs>
          <w:tab w:val="clear" w:pos="567"/>
          <w:tab w:val="clear" w:pos="1134"/>
          <w:tab w:val="clear" w:pos="1701"/>
          <w:tab w:val="clear" w:pos="2268"/>
          <w:tab w:val="clear" w:pos="2835"/>
        </w:tabs>
        <w:overflowPunct/>
        <w:autoSpaceDE/>
        <w:autoSpaceDN/>
        <w:adjustRightInd/>
        <w:spacing w:before="0"/>
        <w:textAlignment w:val="auto"/>
        <w:rPr>
          <w:rFonts w:eastAsia="Aptos" w:cs="Calibri"/>
          <w:color w:val="000000"/>
          <w:kern w:val="2"/>
          <w:szCs w:val="24"/>
          <w14:ligatures w14:val="standardContextual"/>
        </w:rPr>
      </w:pPr>
      <w:r>
        <w:rPr>
          <w:rFonts w:eastAsia="Aptos" w:cs="Calibri"/>
          <w:color w:val="000000"/>
          <w:kern w:val="2"/>
          <w:szCs w:val="24"/>
          <w14:ligatures w14:val="standardContextual"/>
        </w:rPr>
        <w:t>13.1</w:t>
      </w:r>
      <w:r>
        <w:rPr>
          <w:rFonts w:eastAsia="Aptos" w:cs="Calibri"/>
          <w:color w:val="000000"/>
          <w:kern w:val="2"/>
          <w:szCs w:val="24"/>
          <w14:ligatures w14:val="standardContextual"/>
        </w:rPr>
        <w:tab/>
      </w:r>
      <w:r w:rsidR="00FA48F4" w:rsidRPr="00FA48F4">
        <w:rPr>
          <w:rFonts w:eastAsia="Aptos" w:cs="Calibri"/>
          <w:color w:val="000000"/>
          <w:kern w:val="2"/>
          <w:szCs w:val="24"/>
          <w14:ligatures w14:val="standardContextual"/>
        </w:rPr>
        <w:t xml:space="preserve">The secretariat presented this document that set forth details on the full costs of the processing of space notices. It also provides the detailed explanation of the cost allocation methodology used to calculate these full costs. This methodology was approved by Council through </w:t>
      </w:r>
      <w:r>
        <w:rPr>
          <w:rFonts w:eastAsia="Aptos" w:cs="Calibri"/>
          <w:color w:val="000000"/>
          <w:kern w:val="2"/>
          <w:szCs w:val="24"/>
          <w14:ligatures w14:val="standardContextual"/>
        </w:rPr>
        <w:t>D</w:t>
      </w:r>
      <w:r w:rsidR="00FA48F4" w:rsidRPr="00FA48F4">
        <w:rPr>
          <w:rFonts w:eastAsia="Aptos" w:cs="Calibri"/>
          <w:color w:val="000000"/>
          <w:kern w:val="2"/>
          <w:szCs w:val="24"/>
          <w14:ligatures w14:val="standardContextual"/>
        </w:rPr>
        <w:t>ecision 535. The secretariat indicated that Resolution 91</w:t>
      </w:r>
      <w:r w:rsidR="006922C0">
        <w:rPr>
          <w:rFonts w:eastAsia="Aptos" w:cs="Calibri"/>
          <w:color w:val="000000"/>
          <w:kern w:val="2"/>
          <w:szCs w:val="24"/>
          <w14:ligatures w14:val="standardContextual"/>
        </w:rPr>
        <w:br/>
      </w:r>
      <w:r w:rsidR="00FA48F4" w:rsidRPr="00FA48F4">
        <w:rPr>
          <w:rFonts w:eastAsia="Aptos" w:cs="Calibri"/>
          <w:color w:val="000000"/>
          <w:kern w:val="2"/>
          <w:szCs w:val="24"/>
          <w14:ligatures w14:val="standardContextual"/>
        </w:rPr>
        <w:t>(</w:t>
      </w:r>
      <w:r w:rsidR="006922C0" w:rsidRPr="006922C0">
        <w:rPr>
          <w:rFonts w:eastAsia="Aptos" w:cs="Calibri"/>
          <w:color w:val="000000"/>
          <w:kern w:val="2"/>
          <w:szCs w:val="24"/>
          <w14:ligatures w14:val="standardContextual"/>
        </w:rPr>
        <w:t>Rev.</w:t>
      </w:r>
      <w:r w:rsidR="006922C0">
        <w:rPr>
          <w:rFonts w:eastAsia="Aptos" w:cs="Calibri"/>
          <w:color w:val="000000"/>
          <w:kern w:val="2"/>
          <w:szCs w:val="24"/>
          <w14:ligatures w14:val="standardContextual"/>
        </w:rPr>
        <w:t> </w:t>
      </w:r>
      <w:r w:rsidR="006922C0" w:rsidRPr="006922C0">
        <w:rPr>
          <w:rFonts w:eastAsia="Aptos" w:cs="Calibri"/>
          <w:color w:val="000000"/>
          <w:kern w:val="2"/>
          <w:szCs w:val="24"/>
          <w14:ligatures w14:val="standardContextual"/>
        </w:rPr>
        <w:t>Guadalajara,</w:t>
      </w:r>
      <w:r w:rsidR="006922C0">
        <w:rPr>
          <w:rFonts w:eastAsia="Aptos" w:cs="Calibri"/>
          <w:color w:val="000000"/>
          <w:kern w:val="2"/>
          <w:szCs w:val="24"/>
          <w14:ligatures w14:val="standardContextual"/>
        </w:rPr>
        <w:t xml:space="preserve"> </w:t>
      </w:r>
      <w:r w:rsidR="00FA48F4" w:rsidRPr="00FA48F4">
        <w:rPr>
          <w:rFonts w:eastAsia="Aptos" w:cs="Calibri"/>
          <w:color w:val="000000"/>
          <w:kern w:val="2"/>
          <w:szCs w:val="24"/>
          <w14:ligatures w14:val="standardContextual"/>
        </w:rPr>
        <w:t>2010) calls for the implementation of full cost recovery for products and services under cost recovery. It was also indicated that since the schedule of charges was approved (Decision 482 – 2006), the nature of the fillings as well as the cost and resources involved in the processing have significantly changed.</w:t>
      </w:r>
    </w:p>
    <w:p w14:paraId="2EC11781" w14:textId="77777777" w:rsidR="00FA48F4" w:rsidRPr="00FA48F4" w:rsidRDefault="00FA48F4" w:rsidP="00FA48F4">
      <w:pPr>
        <w:tabs>
          <w:tab w:val="clear" w:pos="567"/>
          <w:tab w:val="clear" w:pos="1134"/>
          <w:tab w:val="clear" w:pos="1701"/>
          <w:tab w:val="clear" w:pos="2268"/>
          <w:tab w:val="clear" w:pos="2835"/>
        </w:tabs>
        <w:overflowPunct/>
        <w:autoSpaceDE/>
        <w:autoSpaceDN/>
        <w:adjustRightInd/>
        <w:spacing w:before="0"/>
        <w:textAlignment w:val="auto"/>
        <w:rPr>
          <w:rFonts w:eastAsia="Aptos" w:cs="Calibri"/>
          <w:color w:val="000000"/>
          <w:kern w:val="2"/>
          <w:szCs w:val="24"/>
          <w14:ligatures w14:val="standardContextual"/>
        </w:rPr>
      </w:pPr>
    </w:p>
    <w:p w14:paraId="40AF80F0" w14:textId="460DD6A3" w:rsidR="00FA48F4" w:rsidRPr="00FA48F4" w:rsidRDefault="006922C0" w:rsidP="00FA48F4">
      <w:pPr>
        <w:tabs>
          <w:tab w:val="clear" w:pos="567"/>
          <w:tab w:val="clear" w:pos="1134"/>
          <w:tab w:val="clear" w:pos="1701"/>
          <w:tab w:val="clear" w:pos="2268"/>
          <w:tab w:val="clear" w:pos="2835"/>
        </w:tabs>
        <w:overflowPunct/>
        <w:autoSpaceDE/>
        <w:autoSpaceDN/>
        <w:adjustRightInd/>
        <w:spacing w:before="0"/>
        <w:textAlignment w:val="auto"/>
        <w:rPr>
          <w:rFonts w:eastAsia="Aptos" w:cs="Calibri"/>
          <w:color w:val="000000"/>
          <w:kern w:val="2"/>
          <w:szCs w:val="24"/>
          <w14:ligatures w14:val="standardContextual"/>
        </w:rPr>
      </w:pPr>
      <w:r>
        <w:rPr>
          <w:rFonts w:eastAsia="Aptos" w:cs="Calibri"/>
          <w:color w:val="000000"/>
          <w:kern w:val="2"/>
          <w:szCs w:val="24"/>
          <w14:ligatures w14:val="standardContextual"/>
        </w:rPr>
        <w:t>13.2</w:t>
      </w:r>
      <w:r>
        <w:rPr>
          <w:rFonts w:eastAsia="Aptos" w:cs="Calibri"/>
          <w:color w:val="000000"/>
          <w:kern w:val="2"/>
          <w:szCs w:val="24"/>
          <w14:ligatures w14:val="standardContextual"/>
        </w:rPr>
        <w:tab/>
      </w:r>
      <w:r w:rsidR="00FA48F4" w:rsidRPr="00FA48F4">
        <w:rPr>
          <w:rFonts w:eastAsia="Aptos" w:cs="Calibri"/>
          <w:color w:val="000000"/>
          <w:kern w:val="2"/>
          <w:szCs w:val="24"/>
          <w14:ligatures w14:val="standardContextual"/>
        </w:rPr>
        <w:t>During the discussion, questions were raised regarding the nature and level of the costs to be recovered, based on the idea that for the original fees, not all full costs components had been included.</w:t>
      </w:r>
    </w:p>
    <w:p w14:paraId="27F23F32" w14:textId="77777777" w:rsidR="00FA48F4" w:rsidRPr="00FA48F4" w:rsidRDefault="00FA48F4" w:rsidP="00FA48F4">
      <w:pPr>
        <w:tabs>
          <w:tab w:val="clear" w:pos="567"/>
          <w:tab w:val="clear" w:pos="1134"/>
          <w:tab w:val="clear" w:pos="1701"/>
          <w:tab w:val="clear" w:pos="2268"/>
          <w:tab w:val="clear" w:pos="2835"/>
        </w:tabs>
        <w:overflowPunct/>
        <w:autoSpaceDE/>
        <w:autoSpaceDN/>
        <w:adjustRightInd/>
        <w:spacing w:before="0"/>
        <w:textAlignment w:val="auto"/>
        <w:rPr>
          <w:rFonts w:eastAsia="Aptos" w:cs="Calibri"/>
          <w:color w:val="000000"/>
          <w:kern w:val="2"/>
          <w:szCs w:val="24"/>
          <w14:ligatures w14:val="standardContextual"/>
        </w:rPr>
      </w:pPr>
    </w:p>
    <w:p w14:paraId="136F29FF" w14:textId="7CDBB45B" w:rsidR="00FA48F4" w:rsidRPr="00FA48F4" w:rsidRDefault="006922C0" w:rsidP="00FA48F4">
      <w:pPr>
        <w:tabs>
          <w:tab w:val="clear" w:pos="567"/>
          <w:tab w:val="clear" w:pos="1134"/>
          <w:tab w:val="clear" w:pos="1701"/>
          <w:tab w:val="clear" w:pos="2268"/>
          <w:tab w:val="clear" w:pos="2835"/>
        </w:tabs>
        <w:overflowPunct/>
        <w:autoSpaceDE/>
        <w:autoSpaceDN/>
        <w:adjustRightInd/>
        <w:spacing w:before="0"/>
        <w:textAlignment w:val="auto"/>
        <w:rPr>
          <w:rFonts w:eastAsia="Aptos" w:cs="Calibri"/>
          <w:color w:val="000000"/>
          <w:kern w:val="2"/>
          <w:szCs w:val="24"/>
          <w14:ligatures w14:val="standardContextual"/>
        </w:rPr>
      </w:pPr>
      <w:r>
        <w:rPr>
          <w:rFonts w:eastAsia="Aptos" w:cs="Calibri"/>
          <w:color w:val="000000"/>
          <w:kern w:val="2"/>
          <w:szCs w:val="24"/>
          <w14:ligatures w14:val="standardContextual"/>
        </w:rPr>
        <w:t>13.3</w:t>
      </w:r>
      <w:r>
        <w:rPr>
          <w:rFonts w:eastAsia="Aptos" w:cs="Calibri"/>
          <w:color w:val="000000"/>
          <w:kern w:val="2"/>
          <w:szCs w:val="24"/>
          <w14:ligatures w14:val="standardContextual"/>
        </w:rPr>
        <w:tab/>
      </w:r>
      <w:r w:rsidR="00FA48F4" w:rsidRPr="00FA48F4">
        <w:rPr>
          <w:rFonts w:eastAsia="Aptos" w:cs="Calibri"/>
          <w:color w:val="000000"/>
          <w:kern w:val="2"/>
          <w:szCs w:val="24"/>
          <w14:ligatures w14:val="standardContextual"/>
        </w:rPr>
        <w:t>The ongoing shortfall of revenue for SNF was also emphasised and the need to reach a conclusion on the schedule of charges was highlighted.</w:t>
      </w:r>
    </w:p>
    <w:p w14:paraId="2AAAE465" w14:textId="77777777" w:rsidR="00FA48F4" w:rsidRPr="00FA48F4" w:rsidRDefault="00FA48F4" w:rsidP="00FA48F4">
      <w:pPr>
        <w:tabs>
          <w:tab w:val="clear" w:pos="567"/>
          <w:tab w:val="clear" w:pos="1134"/>
          <w:tab w:val="clear" w:pos="1701"/>
          <w:tab w:val="clear" w:pos="2268"/>
          <w:tab w:val="clear" w:pos="2835"/>
        </w:tabs>
        <w:overflowPunct/>
        <w:autoSpaceDE/>
        <w:autoSpaceDN/>
        <w:adjustRightInd/>
        <w:spacing w:before="0"/>
        <w:textAlignment w:val="auto"/>
        <w:rPr>
          <w:rFonts w:eastAsia="Aptos" w:cs="Calibri"/>
          <w:color w:val="000000"/>
          <w:kern w:val="2"/>
          <w:szCs w:val="24"/>
          <w14:ligatures w14:val="standardContextual"/>
        </w:rPr>
      </w:pPr>
    </w:p>
    <w:p w14:paraId="7908B87A" w14:textId="3D4A8DE4" w:rsidR="00FA48F4" w:rsidRPr="00FA48F4" w:rsidRDefault="006922C0" w:rsidP="00FA48F4">
      <w:pPr>
        <w:tabs>
          <w:tab w:val="clear" w:pos="567"/>
          <w:tab w:val="clear" w:pos="1134"/>
          <w:tab w:val="clear" w:pos="1701"/>
          <w:tab w:val="clear" w:pos="2268"/>
          <w:tab w:val="clear" w:pos="2835"/>
        </w:tabs>
        <w:overflowPunct/>
        <w:autoSpaceDE/>
        <w:autoSpaceDN/>
        <w:adjustRightInd/>
        <w:spacing w:before="0"/>
        <w:textAlignment w:val="auto"/>
        <w:rPr>
          <w:rFonts w:eastAsia="Aptos" w:cs="Calibri"/>
          <w:color w:val="000000"/>
          <w:kern w:val="2"/>
          <w:szCs w:val="24"/>
          <w14:ligatures w14:val="standardContextual"/>
        </w:rPr>
      </w:pPr>
      <w:r>
        <w:rPr>
          <w:rFonts w:eastAsia="Aptos" w:cs="Calibri"/>
          <w:color w:val="000000"/>
          <w:kern w:val="2"/>
          <w:szCs w:val="24"/>
          <w14:ligatures w14:val="standardContextual"/>
        </w:rPr>
        <w:t>13.4</w:t>
      </w:r>
      <w:r>
        <w:rPr>
          <w:rFonts w:eastAsia="Aptos" w:cs="Calibri"/>
          <w:color w:val="000000"/>
          <w:kern w:val="2"/>
          <w:szCs w:val="24"/>
          <w14:ligatures w14:val="standardContextual"/>
        </w:rPr>
        <w:tab/>
      </w:r>
      <w:r w:rsidR="00FA48F4" w:rsidRPr="00FA48F4">
        <w:rPr>
          <w:rFonts w:eastAsia="Aptos" w:cs="Calibri"/>
          <w:color w:val="000000"/>
          <w:kern w:val="2"/>
          <w:szCs w:val="24"/>
          <w14:ligatures w14:val="standardContextual"/>
        </w:rPr>
        <w:t>It was agreed that the secretariat will work on a more detailed breakdown of the costs pertaining to this output and possibly provide further indications on possible costs per category of filings and possible revised fees.</w:t>
      </w:r>
    </w:p>
    <w:p w14:paraId="340B22B1" w14:textId="77777777" w:rsidR="006044EF" w:rsidRDefault="006044EF" w:rsidP="00296B9F">
      <w:pPr>
        <w:tabs>
          <w:tab w:val="clear" w:pos="567"/>
          <w:tab w:val="clear" w:pos="1134"/>
          <w:tab w:val="clear" w:pos="1701"/>
          <w:tab w:val="clear" w:pos="2268"/>
          <w:tab w:val="clear" w:pos="2835"/>
          <w:tab w:val="left" w:pos="709"/>
        </w:tabs>
        <w:spacing w:before="0"/>
        <w:rPr>
          <w:b/>
          <w:bCs/>
          <w:szCs w:val="24"/>
        </w:rPr>
      </w:pPr>
    </w:p>
    <w:p w14:paraId="037D87B1" w14:textId="05DE71F0" w:rsidR="00612F6C" w:rsidRPr="00612F6C" w:rsidRDefault="00612F6C" w:rsidP="00296B9F">
      <w:pPr>
        <w:tabs>
          <w:tab w:val="clear" w:pos="567"/>
          <w:tab w:val="clear" w:pos="1134"/>
          <w:tab w:val="clear" w:pos="1701"/>
          <w:tab w:val="clear" w:pos="2268"/>
          <w:tab w:val="clear" w:pos="2835"/>
          <w:tab w:val="left" w:pos="709"/>
        </w:tabs>
        <w:spacing w:before="0"/>
        <w:rPr>
          <w:szCs w:val="24"/>
        </w:rPr>
      </w:pPr>
      <w:r w:rsidRPr="00D42CE7">
        <w:rPr>
          <w:szCs w:val="24"/>
        </w:rPr>
        <w:t>13.5</w:t>
      </w:r>
      <w:r w:rsidRPr="00D42CE7">
        <w:rPr>
          <w:szCs w:val="24"/>
        </w:rPr>
        <w:tab/>
        <w:t xml:space="preserve">Furthermore, it was agreed that </w:t>
      </w:r>
      <w:r w:rsidR="00FF577F" w:rsidRPr="00D42CE7">
        <w:rPr>
          <w:szCs w:val="24"/>
        </w:rPr>
        <w:t xml:space="preserve">the Chair of </w:t>
      </w:r>
      <w:r w:rsidRPr="00D42CE7">
        <w:rPr>
          <w:szCs w:val="24"/>
        </w:rPr>
        <w:t xml:space="preserve">CWG-FHR </w:t>
      </w:r>
      <w:r w:rsidR="00FF577F" w:rsidRPr="00D42CE7">
        <w:rPr>
          <w:szCs w:val="24"/>
        </w:rPr>
        <w:t xml:space="preserve">would submit </w:t>
      </w:r>
      <w:r w:rsidRPr="00D42CE7">
        <w:rPr>
          <w:szCs w:val="24"/>
        </w:rPr>
        <w:t>a liaison statement to the Council Expert Group on Decision 482</w:t>
      </w:r>
      <w:r w:rsidR="00FF577F" w:rsidRPr="00D42CE7">
        <w:rPr>
          <w:szCs w:val="24"/>
        </w:rPr>
        <w:t xml:space="preserve"> (see </w:t>
      </w:r>
      <w:hyperlink w:anchor="Annex_C" w:history="1">
        <w:r w:rsidR="00FF577F" w:rsidRPr="00BC3C4A">
          <w:rPr>
            <w:rStyle w:val="Hyperlink"/>
            <w:szCs w:val="24"/>
          </w:rPr>
          <w:t>Annex C</w:t>
        </w:r>
      </w:hyperlink>
      <w:r w:rsidR="00FF577F" w:rsidRPr="00D42CE7">
        <w:rPr>
          <w:szCs w:val="24"/>
        </w:rPr>
        <w:t xml:space="preserve"> to this document).</w:t>
      </w:r>
    </w:p>
    <w:p w14:paraId="6B2EF996" w14:textId="77777777" w:rsidR="00612F6C" w:rsidRDefault="00612F6C" w:rsidP="00296B9F">
      <w:pPr>
        <w:tabs>
          <w:tab w:val="clear" w:pos="567"/>
          <w:tab w:val="clear" w:pos="1134"/>
          <w:tab w:val="clear" w:pos="1701"/>
          <w:tab w:val="clear" w:pos="2268"/>
          <w:tab w:val="clear" w:pos="2835"/>
          <w:tab w:val="left" w:pos="709"/>
        </w:tabs>
        <w:spacing w:before="0"/>
        <w:rPr>
          <w:b/>
          <w:bCs/>
          <w:szCs w:val="24"/>
        </w:rPr>
      </w:pPr>
    </w:p>
    <w:p w14:paraId="29ECA37A" w14:textId="60DE61DC" w:rsidR="006C7788" w:rsidRPr="00FA48F4" w:rsidRDefault="00F75A7F" w:rsidP="00296E20">
      <w:pPr>
        <w:tabs>
          <w:tab w:val="clear" w:pos="567"/>
          <w:tab w:val="clear" w:pos="1134"/>
          <w:tab w:val="clear" w:pos="1701"/>
          <w:tab w:val="clear" w:pos="2268"/>
          <w:tab w:val="clear" w:pos="2835"/>
          <w:tab w:val="left" w:pos="709"/>
        </w:tabs>
        <w:spacing w:before="0"/>
        <w:ind w:left="709" w:hanging="709"/>
        <w:rPr>
          <w:b/>
          <w:bCs/>
          <w:szCs w:val="24"/>
        </w:rPr>
      </w:pPr>
      <w:bookmarkStart w:id="16" w:name="_Hlk179790387"/>
      <w:r w:rsidRPr="00FA48F4">
        <w:rPr>
          <w:b/>
          <w:bCs/>
          <w:szCs w:val="24"/>
        </w:rPr>
        <w:lastRenderedPageBreak/>
        <w:t>1</w:t>
      </w:r>
      <w:r w:rsidR="006E3616" w:rsidRPr="00FA48F4">
        <w:rPr>
          <w:b/>
          <w:bCs/>
          <w:szCs w:val="24"/>
        </w:rPr>
        <w:t>4</w:t>
      </w:r>
      <w:r w:rsidRPr="00FA48F4">
        <w:rPr>
          <w:b/>
          <w:bCs/>
          <w:szCs w:val="24"/>
        </w:rPr>
        <w:tab/>
      </w:r>
      <w:r w:rsidRPr="00FA48F4">
        <w:rPr>
          <w:rFonts w:cs="Calibri"/>
          <w:b/>
          <w:bCs/>
        </w:rPr>
        <w:t>Audited financial operating report for the financial year 2023</w:t>
      </w:r>
      <w:r w:rsidR="00256499" w:rsidRPr="00FA48F4">
        <w:rPr>
          <w:rFonts w:cs="Calibri"/>
          <w:b/>
          <w:bCs/>
        </w:rPr>
        <w:br/>
      </w:r>
      <w:r w:rsidRPr="00FA48F4">
        <w:rPr>
          <w:rFonts w:cs="Calibri"/>
          <w:b/>
          <w:bCs/>
        </w:rPr>
        <w:t>(</w:t>
      </w:r>
      <w:r w:rsidR="00256499" w:rsidRPr="00FA48F4">
        <w:rPr>
          <w:rFonts w:cs="Calibri"/>
          <w:b/>
          <w:bCs/>
        </w:rPr>
        <w:t>Document</w:t>
      </w:r>
      <w:r w:rsidR="006E3616" w:rsidRPr="00FA48F4">
        <w:rPr>
          <w:rFonts w:cs="Calibri"/>
          <w:b/>
          <w:bCs/>
        </w:rPr>
        <w:t xml:space="preserve"> </w:t>
      </w:r>
      <w:hyperlink r:id="rId32" w:history="1">
        <w:r w:rsidRPr="00D93080">
          <w:rPr>
            <w:rStyle w:val="Hyperlink"/>
            <w:rFonts w:asciiTheme="minorHAnsi" w:hAnsiTheme="minorHAnsi" w:cstheme="minorHAnsi"/>
            <w:b/>
            <w:szCs w:val="24"/>
          </w:rPr>
          <w:t>CWG-FHR-19/INF/2</w:t>
        </w:r>
      </w:hyperlink>
      <w:r w:rsidR="006C7788" w:rsidRPr="00D93080">
        <w:rPr>
          <w:rStyle w:val="Hyperlink"/>
          <w:rFonts w:asciiTheme="minorHAnsi" w:hAnsiTheme="minorHAnsi" w:cstheme="minorHAnsi"/>
          <w:b/>
          <w:szCs w:val="24"/>
          <w:u w:val="none"/>
        </w:rPr>
        <w:t xml:space="preserve"> </w:t>
      </w:r>
      <w:r w:rsidR="006C7788" w:rsidRPr="00FA48F4">
        <w:rPr>
          <w:rStyle w:val="Hyperlink"/>
          <w:rFonts w:asciiTheme="minorHAnsi" w:hAnsiTheme="minorHAnsi" w:cstheme="minorHAnsi"/>
          <w:b/>
          <w:bCs/>
          <w:color w:val="auto"/>
          <w:szCs w:val="24"/>
          <w:u w:val="none"/>
        </w:rPr>
        <w:t>+ Oral presentation</w:t>
      </w:r>
      <w:r w:rsidR="00622A85" w:rsidRPr="00FA48F4">
        <w:rPr>
          <w:rStyle w:val="Hyperlink"/>
          <w:rFonts w:asciiTheme="minorHAnsi" w:hAnsiTheme="minorHAnsi" w:cstheme="minorHAnsi"/>
          <w:b/>
          <w:bCs/>
          <w:color w:val="auto"/>
          <w:szCs w:val="24"/>
          <w:u w:val="none"/>
        </w:rPr>
        <w:t>)</w:t>
      </w:r>
    </w:p>
    <w:p w14:paraId="59BCC73C" w14:textId="7648496C" w:rsidR="00F75A7F" w:rsidRDefault="00F75A7F" w:rsidP="00296E20">
      <w:pPr>
        <w:tabs>
          <w:tab w:val="clear" w:pos="567"/>
          <w:tab w:val="clear" w:pos="1134"/>
          <w:tab w:val="clear" w:pos="1701"/>
          <w:tab w:val="clear" w:pos="2268"/>
          <w:tab w:val="clear" w:pos="2835"/>
          <w:tab w:val="left" w:pos="709"/>
        </w:tabs>
        <w:spacing w:before="0"/>
        <w:rPr>
          <w:b/>
          <w:bCs/>
          <w:szCs w:val="24"/>
        </w:rPr>
      </w:pPr>
    </w:p>
    <w:p w14:paraId="3F3F6D9D" w14:textId="28DC851A" w:rsidR="006040FC" w:rsidRDefault="00296E20" w:rsidP="009B13DD">
      <w:pPr>
        <w:tabs>
          <w:tab w:val="clear" w:pos="567"/>
          <w:tab w:val="left" w:pos="709"/>
        </w:tabs>
        <w:spacing w:before="0"/>
        <w:rPr>
          <w:szCs w:val="24"/>
          <w:lang w:val="en-US"/>
        </w:rPr>
      </w:pPr>
      <w:r>
        <w:rPr>
          <w:szCs w:val="24"/>
          <w:lang w:val="en-US"/>
        </w:rPr>
        <w:t>14.1</w:t>
      </w:r>
      <w:r>
        <w:rPr>
          <w:szCs w:val="24"/>
          <w:lang w:val="en-US"/>
        </w:rPr>
        <w:tab/>
      </w:r>
      <w:r w:rsidR="006040FC">
        <w:rPr>
          <w:szCs w:val="24"/>
          <w:lang w:val="en-US"/>
        </w:rPr>
        <w:t xml:space="preserve">The </w:t>
      </w:r>
      <w:r>
        <w:rPr>
          <w:szCs w:val="24"/>
          <w:lang w:val="en-US"/>
        </w:rPr>
        <w:t>s</w:t>
      </w:r>
      <w:r w:rsidR="006040FC">
        <w:rPr>
          <w:szCs w:val="24"/>
          <w:lang w:val="en-US"/>
        </w:rPr>
        <w:t>ecretariat presented the 2023 audited financial operating report.</w:t>
      </w:r>
    </w:p>
    <w:p w14:paraId="10049A4D" w14:textId="77777777" w:rsidR="00296E20" w:rsidRDefault="00296E20" w:rsidP="009B13DD">
      <w:pPr>
        <w:tabs>
          <w:tab w:val="clear" w:pos="567"/>
          <w:tab w:val="left" w:pos="709"/>
        </w:tabs>
        <w:spacing w:before="0"/>
        <w:rPr>
          <w:rFonts w:ascii="Aptos" w:hAnsi="Aptos"/>
          <w:szCs w:val="24"/>
          <w:lang w:val="en-US" w:eastAsia="en-GB"/>
        </w:rPr>
      </w:pPr>
    </w:p>
    <w:p w14:paraId="7F5CF7FF" w14:textId="46CB0B1F" w:rsidR="006040FC" w:rsidRDefault="00296E20" w:rsidP="009B13DD">
      <w:pPr>
        <w:tabs>
          <w:tab w:val="clear" w:pos="567"/>
          <w:tab w:val="left" w:pos="709"/>
        </w:tabs>
        <w:spacing w:before="0"/>
        <w:rPr>
          <w:szCs w:val="24"/>
          <w:lang w:val="en-US"/>
        </w:rPr>
      </w:pPr>
      <w:r>
        <w:rPr>
          <w:szCs w:val="24"/>
          <w:lang w:val="en-US"/>
        </w:rPr>
        <w:t>14.2</w:t>
      </w:r>
      <w:r>
        <w:rPr>
          <w:szCs w:val="24"/>
          <w:lang w:val="en-US"/>
        </w:rPr>
        <w:tab/>
      </w:r>
      <w:r w:rsidR="006040FC">
        <w:rPr>
          <w:szCs w:val="24"/>
          <w:lang w:val="en-US"/>
        </w:rPr>
        <w:t>The CWG-F</w:t>
      </w:r>
      <w:r w:rsidR="00A702AE">
        <w:rPr>
          <w:szCs w:val="24"/>
          <w:lang w:val="en-US"/>
        </w:rPr>
        <w:t>HR</w:t>
      </w:r>
      <w:r w:rsidR="006040FC">
        <w:rPr>
          <w:szCs w:val="24"/>
          <w:lang w:val="en-US"/>
        </w:rPr>
        <w:t xml:space="preserve"> will recall, the </w:t>
      </w:r>
      <w:r w:rsidR="006040FC">
        <w:rPr>
          <w:b/>
          <w:bCs/>
          <w:szCs w:val="24"/>
          <w:lang w:val="en-US"/>
        </w:rPr>
        <w:t>unaudited financial report</w:t>
      </w:r>
      <w:r w:rsidR="006040FC">
        <w:rPr>
          <w:szCs w:val="24"/>
          <w:lang w:val="en-US"/>
        </w:rPr>
        <w:t xml:space="preserve"> was presented in </w:t>
      </w:r>
      <w:r w:rsidR="006040FC">
        <w:rPr>
          <w:b/>
          <w:bCs/>
          <w:szCs w:val="24"/>
          <w:lang w:val="en-US"/>
        </w:rPr>
        <w:t>June 2024</w:t>
      </w:r>
      <w:r w:rsidR="006040FC">
        <w:rPr>
          <w:b/>
          <w:bCs/>
          <w:color w:val="000000"/>
          <w:szCs w:val="24"/>
          <w:lang w:val="en-US"/>
        </w:rPr>
        <w:t xml:space="preserve"> Council</w:t>
      </w:r>
      <w:r w:rsidR="006040FC">
        <w:rPr>
          <w:color w:val="000000"/>
          <w:szCs w:val="24"/>
          <w:lang w:val="en-US"/>
        </w:rPr>
        <w:t xml:space="preserve">, along with the </w:t>
      </w:r>
      <w:r w:rsidR="006040FC">
        <w:rPr>
          <w:b/>
          <w:bCs/>
          <w:color w:val="000000"/>
          <w:szCs w:val="24"/>
          <w:lang w:val="en-US"/>
        </w:rPr>
        <w:t>External Auditors Audit report</w:t>
      </w:r>
      <w:r w:rsidR="006040FC">
        <w:rPr>
          <w:color w:val="000000"/>
          <w:szCs w:val="24"/>
          <w:lang w:val="en-US"/>
        </w:rPr>
        <w:t>.</w:t>
      </w:r>
      <w:r w:rsidR="006040FC">
        <w:rPr>
          <w:szCs w:val="24"/>
          <w:lang w:val="en-US"/>
        </w:rPr>
        <w:t xml:space="preserve"> </w:t>
      </w:r>
      <w:r w:rsidR="006040FC">
        <w:rPr>
          <w:color w:val="000000"/>
          <w:szCs w:val="24"/>
          <w:lang w:val="en-US"/>
        </w:rPr>
        <w:t> </w:t>
      </w:r>
      <w:r w:rsidR="006040FC">
        <w:rPr>
          <w:szCs w:val="24"/>
          <w:lang w:val="en-US"/>
        </w:rPr>
        <w:t>However, the audit opinion could not be concluded at that time and required further work, as noted in our discussions during the Council in June 2024.</w:t>
      </w:r>
    </w:p>
    <w:p w14:paraId="21BC73EE" w14:textId="77777777" w:rsidR="00296E20" w:rsidRDefault="00296E20" w:rsidP="009B13DD">
      <w:pPr>
        <w:tabs>
          <w:tab w:val="clear" w:pos="567"/>
          <w:tab w:val="left" w:pos="709"/>
        </w:tabs>
        <w:spacing w:before="0"/>
        <w:rPr>
          <w:szCs w:val="24"/>
          <w:lang w:val="en-US"/>
        </w:rPr>
      </w:pPr>
    </w:p>
    <w:p w14:paraId="2CA2FB48" w14:textId="26642076" w:rsidR="006040FC" w:rsidRDefault="00296E20" w:rsidP="009B13DD">
      <w:pPr>
        <w:tabs>
          <w:tab w:val="clear" w:pos="567"/>
          <w:tab w:val="left" w:pos="709"/>
        </w:tabs>
        <w:spacing w:before="0"/>
        <w:rPr>
          <w:szCs w:val="24"/>
          <w:lang w:val="en-US"/>
        </w:rPr>
      </w:pPr>
      <w:r>
        <w:rPr>
          <w:szCs w:val="24"/>
          <w:lang w:val="en-US"/>
        </w:rPr>
        <w:t>14.3</w:t>
      </w:r>
      <w:r>
        <w:rPr>
          <w:szCs w:val="24"/>
          <w:lang w:val="en-US"/>
        </w:rPr>
        <w:tab/>
      </w:r>
      <w:r w:rsidR="006040FC">
        <w:rPr>
          <w:szCs w:val="24"/>
          <w:lang w:val="en-US"/>
        </w:rPr>
        <w:t>As agreed by the Council in June 2024, it was decided that, provided no material items were discovered during the completion of the audit, the report would be approved via correspondence. I am pleased to confirm that no material items were identified, and the audit has now been successfully concluded.</w:t>
      </w:r>
    </w:p>
    <w:p w14:paraId="038EC690" w14:textId="77777777" w:rsidR="006040FC" w:rsidRDefault="006040FC" w:rsidP="009B13DD">
      <w:pPr>
        <w:tabs>
          <w:tab w:val="clear" w:pos="567"/>
          <w:tab w:val="left" w:pos="709"/>
        </w:tabs>
        <w:spacing w:before="0"/>
        <w:rPr>
          <w:szCs w:val="24"/>
          <w:lang w:val="en-US"/>
        </w:rPr>
      </w:pPr>
    </w:p>
    <w:p w14:paraId="176427C8" w14:textId="2E13DFDD" w:rsidR="006040FC" w:rsidRDefault="00296E20" w:rsidP="009B13DD">
      <w:pPr>
        <w:tabs>
          <w:tab w:val="clear" w:pos="567"/>
          <w:tab w:val="left" w:pos="709"/>
        </w:tabs>
        <w:spacing w:before="0"/>
        <w:rPr>
          <w:szCs w:val="24"/>
          <w:lang w:val="en-US"/>
        </w:rPr>
      </w:pPr>
      <w:r>
        <w:rPr>
          <w:szCs w:val="24"/>
          <w:lang w:val="en-US"/>
        </w:rPr>
        <w:t>14.4</w:t>
      </w:r>
      <w:r>
        <w:rPr>
          <w:szCs w:val="24"/>
          <w:lang w:val="en-US"/>
        </w:rPr>
        <w:tab/>
      </w:r>
      <w:r w:rsidR="006040FC">
        <w:rPr>
          <w:szCs w:val="24"/>
          <w:lang w:val="en-US"/>
        </w:rPr>
        <w:t xml:space="preserve">The auditor has issued an </w:t>
      </w:r>
      <w:r w:rsidR="006040FC">
        <w:rPr>
          <w:b/>
          <w:bCs/>
          <w:szCs w:val="24"/>
          <w:lang w:val="en-US"/>
        </w:rPr>
        <w:t>unqualified opinion</w:t>
      </w:r>
      <w:r w:rsidR="006040FC">
        <w:rPr>
          <w:szCs w:val="24"/>
          <w:lang w:val="en-US"/>
        </w:rPr>
        <w:t xml:space="preserve"> on the 2023 financial statements, concluding that the statements present fairly, in all material respects, the financial position of the International Telecommunication Union as at 31 December 2023. This includes the Statement of Financial Position, Statement of Financial Performance, Statement of Changes in Net Assets, Statement of Cash Flows, and the comparison of Budget and Actual amounts, all of which have been prepared in accordance with </w:t>
      </w:r>
      <w:r w:rsidR="006040FC">
        <w:rPr>
          <w:b/>
          <w:bCs/>
          <w:szCs w:val="24"/>
          <w:lang w:val="en-US"/>
        </w:rPr>
        <w:t>International Public Sector Accounting Standards (IPSAS)</w:t>
      </w:r>
      <w:r w:rsidR="006040FC">
        <w:rPr>
          <w:szCs w:val="24"/>
          <w:lang w:val="en-US"/>
        </w:rPr>
        <w:t>.</w:t>
      </w:r>
    </w:p>
    <w:p w14:paraId="7856D03C" w14:textId="4B7FEED6" w:rsidR="006040FC" w:rsidRDefault="006040FC" w:rsidP="009B13DD">
      <w:pPr>
        <w:tabs>
          <w:tab w:val="clear" w:pos="567"/>
          <w:tab w:val="left" w:pos="709"/>
        </w:tabs>
        <w:spacing w:before="0"/>
        <w:rPr>
          <w:szCs w:val="24"/>
          <w:lang w:val="en-US"/>
        </w:rPr>
      </w:pPr>
    </w:p>
    <w:p w14:paraId="357F90EC" w14:textId="2D8014FA" w:rsidR="006040FC" w:rsidRDefault="00296E20" w:rsidP="009B13DD">
      <w:pPr>
        <w:tabs>
          <w:tab w:val="clear" w:pos="567"/>
          <w:tab w:val="left" w:pos="709"/>
        </w:tabs>
        <w:spacing w:before="0"/>
        <w:rPr>
          <w:szCs w:val="24"/>
          <w:lang w:val="en-US"/>
        </w:rPr>
      </w:pPr>
      <w:r>
        <w:rPr>
          <w:szCs w:val="24"/>
          <w:lang w:val="en-US"/>
        </w:rPr>
        <w:t>14.5</w:t>
      </w:r>
      <w:r>
        <w:rPr>
          <w:szCs w:val="24"/>
          <w:lang w:val="en-US"/>
        </w:rPr>
        <w:tab/>
      </w:r>
      <w:r w:rsidR="006040FC">
        <w:rPr>
          <w:szCs w:val="24"/>
          <w:lang w:val="en-US"/>
        </w:rPr>
        <w:t xml:space="preserve">While issuing an unqualified opinion, the auditor draws attention to the disclosure in </w:t>
      </w:r>
      <w:r w:rsidR="006040FC">
        <w:rPr>
          <w:b/>
          <w:bCs/>
          <w:szCs w:val="24"/>
          <w:lang w:val="en-US"/>
        </w:rPr>
        <w:t>Note 27</w:t>
      </w:r>
      <w:r w:rsidR="006040FC">
        <w:rPr>
          <w:szCs w:val="24"/>
          <w:lang w:val="en-US"/>
        </w:rPr>
        <w:t xml:space="preserve"> of the financial statements regarding the impact of the </w:t>
      </w:r>
      <w:r w:rsidR="006040FC">
        <w:rPr>
          <w:b/>
          <w:bCs/>
          <w:szCs w:val="24"/>
          <w:lang w:val="en-US"/>
        </w:rPr>
        <w:t>2024 Council Decision</w:t>
      </w:r>
      <w:r w:rsidR="006040FC">
        <w:rPr>
          <w:szCs w:val="24"/>
          <w:lang w:val="en-US"/>
        </w:rPr>
        <w:t xml:space="preserve"> on the valuation of new building costs recorded as assets under construction. As of 31 December 2023, CHF 19.7 million of these costs have been capitalized. Based on management’s analysis, these costs are expected to be impaired in 2024 due to the Council’s approval of an alternative building project. </w:t>
      </w:r>
      <w:r w:rsidR="006040FC">
        <w:rPr>
          <w:b/>
          <w:bCs/>
          <w:szCs w:val="24"/>
          <w:lang w:val="en-US"/>
        </w:rPr>
        <w:t>The audit opinion is not modified</w:t>
      </w:r>
      <w:r w:rsidR="006040FC">
        <w:rPr>
          <w:szCs w:val="24"/>
          <w:lang w:val="en-US"/>
        </w:rPr>
        <w:t> in respect of this matter.</w:t>
      </w:r>
    </w:p>
    <w:p w14:paraId="79E782C6" w14:textId="25B17531" w:rsidR="006040FC" w:rsidRDefault="006040FC" w:rsidP="009B13DD">
      <w:pPr>
        <w:tabs>
          <w:tab w:val="clear" w:pos="567"/>
          <w:tab w:val="left" w:pos="709"/>
        </w:tabs>
        <w:spacing w:before="0"/>
        <w:rPr>
          <w:szCs w:val="24"/>
          <w:lang w:val="en-US"/>
        </w:rPr>
      </w:pPr>
    </w:p>
    <w:p w14:paraId="4190EC5A" w14:textId="5806ECC1" w:rsidR="006040FC" w:rsidRDefault="00296E20" w:rsidP="009B13DD">
      <w:pPr>
        <w:tabs>
          <w:tab w:val="clear" w:pos="567"/>
          <w:tab w:val="left" w:pos="709"/>
        </w:tabs>
        <w:spacing w:before="0"/>
        <w:rPr>
          <w:szCs w:val="24"/>
          <w:lang w:val="en-US"/>
        </w:rPr>
      </w:pPr>
      <w:r>
        <w:rPr>
          <w:szCs w:val="24"/>
          <w:lang w:val="en-US"/>
        </w:rPr>
        <w:t>14.6</w:t>
      </w:r>
      <w:r>
        <w:rPr>
          <w:szCs w:val="24"/>
          <w:lang w:val="en-US"/>
        </w:rPr>
        <w:tab/>
      </w:r>
      <w:r w:rsidR="006040FC">
        <w:rPr>
          <w:szCs w:val="24"/>
          <w:lang w:val="en-US"/>
        </w:rPr>
        <w:t xml:space="preserve">The auditor confirms that, in all material respects, the </w:t>
      </w:r>
      <w:r w:rsidR="006040FC">
        <w:rPr>
          <w:b/>
          <w:bCs/>
          <w:szCs w:val="24"/>
          <w:lang w:val="en-US"/>
        </w:rPr>
        <w:t>revenue and expenses</w:t>
      </w:r>
      <w:r w:rsidR="006040FC">
        <w:rPr>
          <w:szCs w:val="24"/>
          <w:lang w:val="en-US"/>
        </w:rPr>
        <w:t xml:space="preserve"> have been applied for the purposes intended by the Council and </w:t>
      </w:r>
      <w:proofErr w:type="gramStart"/>
      <w:r w:rsidR="006040FC">
        <w:rPr>
          <w:szCs w:val="24"/>
          <w:lang w:val="en-US"/>
        </w:rPr>
        <w:t>are in compliance with</w:t>
      </w:r>
      <w:proofErr w:type="gramEnd"/>
      <w:r w:rsidR="006040FC">
        <w:rPr>
          <w:szCs w:val="24"/>
          <w:lang w:val="en-US"/>
        </w:rPr>
        <w:t xml:space="preserve"> the Financial Regulations of the International Telecommunication Union and IPSAS.</w:t>
      </w:r>
    </w:p>
    <w:p w14:paraId="6FC80D70" w14:textId="1CB59BE1" w:rsidR="006040FC" w:rsidRDefault="006040FC" w:rsidP="009B13DD">
      <w:pPr>
        <w:tabs>
          <w:tab w:val="clear" w:pos="567"/>
          <w:tab w:val="left" w:pos="709"/>
        </w:tabs>
        <w:spacing w:before="0"/>
        <w:rPr>
          <w:szCs w:val="24"/>
          <w:lang w:val="en-US"/>
        </w:rPr>
      </w:pPr>
    </w:p>
    <w:p w14:paraId="68B86C3C" w14:textId="4D294B6A" w:rsidR="006040FC" w:rsidRDefault="00296E20" w:rsidP="009B13DD">
      <w:pPr>
        <w:tabs>
          <w:tab w:val="clear" w:pos="567"/>
          <w:tab w:val="left" w:pos="709"/>
        </w:tabs>
        <w:spacing w:before="0"/>
        <w:rPr>
          <w:szCs w:val="24"/>
          <w:lang w:val="en-US"/>
        </w:rPr>
      </w:pPr>
      <w:r>
        <w:rPr>
          <w:szCs w:val="24"/>
          <w:lang w:val="en-US"/>
        </w:rPr>
        <w:t>14.7</w:t>
      </w:r>
      <w:r>
        <w:rPr>
          <w:szCs w:val="24"/>
          <w:lang w:val="en-US"/>
        </w:rPr>
        <w:tab/>
      </w:r>
      <w:r w:rsidR="006040FC">
        <w:rPr>
          <w:szCs w:val="24"/>
          <w:lang w:val="en-US"/>
        </w:rPr>
        <w:t xml:space="preserve">This </w:t>
      </w:r>
      <w:r w:rsidR="006040FC">
        <w:rPr>
          <w:b/>
          <w:bCs/>
          <w:szCs w:val="24"/>
          <w:lang w:val="en-US"/>
        </w:rPr>
        <w:t>final audit opinion</w:t>
      </w:r>
      <w:r w:rsidR="006040FC">
        <w:rPr>
          <w:szCs w:val="24"/>
          <w:lang w:val="en-US"/>
        </w:rPr>
        <w:t xml:space="preserve"> confirms that the financial statements are in order, and no material issues were found that would affect the overall financial integrity of the organization.  ITU welcomes the proposal that the financial report 2023 will be made available for approval by Council, by Correspondence.</w:t>
      </w:r>
    </w:p>
    <w:p w14:paraId="061D1F07" w14:textId="77777777" w:rsidR="006040FC" w:rsidRDefault="006040FC" w:rsidP="009B13DD">
      <w:pPr>
        <w:tabs>
          <w:tab w:val="clear" w:pos="567"/>
          <w:tab w:val="left" w:pos="709"/>
        </w:tabs>
        <w:spacing w:before="0"/>
        <w:rPr>
          <w:szCs w:val="24"/>
          <w:lang w:val="en-US"/>
        </w:rPr>
      </w:pPr>
    </w:p>
    <w:p w14:paraId="41BCB0C0" w14:textId="77777777" w:rsidR="00812431" w:rsidRDefault="00296E20" w:rsidP="009B13DD">
      <w:pPr>
        <w:tabs>
          <w:tab w:val="clear" w:pos="567"/>
          <w:tab w:val="left" w:pos="709"/>
        </w:tabs>
        <w:spacing w:before="0"/>
        <w:rPr>
          <w:color w:val="000000"/>
          <w:szCs w:val="24"/>
          <w:lang w:val="en-US"/>
        </w:rPr>
      </w:pPr>
      <w:r>
        <w:rPr>
          <w:szCs w:val="24"/>
          <w:lang w:val="en-US"/>
        </w:rPr>
        <w:t>14.8</w:t>
      </w:r>
      <w:r>
        <w:rPr>
          <w:szCs w:val="24"/>
          <w:lang w:val="en-US"/>
        </w:rPr>
        <w:tab/>
      </w:r>
      <w:r w:rsidR="006040FC">
        <w:rPr>
          <w:szCs w:val="24"/>
          <w:lang w:val="en-US"/>
        </w:rPr>
        <w:t xml:space="preserve">After the presentation of this financial operating report on the audited accounts, some delegates suggested that the auditors should be present, even if from a remote distance, to be able to answer some of their questions, </w:t>
      </w:r>
      <w:proofErr w:type="gramStart"/>
      <w:r w:rsidR="006040FC">
        <w:rPr>
          <w:szCs w:val="24"/>
          <w:lang w:val="en-US"/>
        </w:rPr>
        <w:t>in particular</w:t>
      </w:r>
      <w:proofErr w:type="gramEnd"/>
      <w:r w:rsidR="006040FC">
        <w:rPr>
          <w:szCs w:val="24"/>
          <w:lang w:val="en-US"/>
        </w:rPr>
        <w:t xml:space="preserve"> a long report including the auditor</w:t>
      </w:r>
      <w:r w:rsidR="00D1689D">
        <w:rPr>
          <w:szCs w:val="24"/>
          <w:lang w:val="en-US"/>
        </w:rPr>
        <w:t>’</w:t>
      </w:r>
      <w:r w:rsidR="006040FC">
        <w:rPr>
          <w:szCs w:val="24"/>
          <w:lang w:val="en-US"/>
        </w:rPr>
        <w:t>s opinion. The secretariat contacted the NAO representatives, who confirmed that they would be available remotely the following day to answer questions.</w:t>
      </w:r>
      <w:r w:rsidR="006040FC">
        <w:rPr>
          <w:color w:val="000000"/>
          <w:szCs w:val="24"/>
          <w:lang w:val="en-US"/>
        </w:rPr>
        <w:t xml:space="preserve"> The NAO made themselves available for questions on the audit process.</w:t>
      </w:r>
    </w:p>
    <w:p w14:paraId="7ECA9E41" w14:textId="77777777" w:rsidR="00812431" w:rsidRDefault="00812431" w:rsidP="009B13DD">
      <w:pPr>
        <w:tabs>
          <w:tab w:val="clear" w:pos="567"/>
          <w:tab w:val="left" w:pos="709"/>
        </w:tabs>
        <w:spacing w:before="0"/>
        <w:rPr>
          <w:color w:val="000000"/>
          <w:szCs w:val="24"/>
          <w:lang w:val="en-US"/>
        </w:rPr>
      </w:pPr>
    </w:p>
    <w:p w14:paraId="2BBE882B" w14:textId="7E299135" w:rsidR="00D1689D" w:rsidRPr="0003784A" w:rsidRDefault="00812431" w:rsidP="009B13DD">
      <w:pPr>
        <w:tabs>
          <w:tab w:val="clear" w:pos="567"/>
          <w:tab w:val="left" w:pos="709"/>
        </w:tabs>
        <w:spacing w:before="0"/>
        <w:rPr>
          <w:szCs w:val="24"/>
          <w:lang w:val="en-US"/>
        </w:rPr>
      </w:pPr>
      <w:r w:rsidRPr="0003784A">
        <w:rPr>
          <w:szCs w:val="24"/>
          <w:lang w:val="en-US"/>
        </w:rPr>
        <w:t>14.9</w:t>
      </w:r>
      <w:r w:rsidR="0003784A" w:rsidRPr="0003784A">
        <w:rPr>
          <w:szCs w:val="24"/>
          <w:lang w:val="en-US"/>
        </w:rPr>
        <w:tab/>
      </w:r>
      <w:r w:rsidRPr="0003784A">
        <w:rPr>
          <w:szCs w:val="24"/>
          <w:lang w:val="en-US"/>
        </w:rPr>
        <w:t>After f</w:t>
      </w:r>
      <w:r w:rsidR="006040FC" w:rsidRPr="0003784A">
        <w:rPr>
          <w:szCs w:val="24"/>
          <w:lang w:val="en-US"/>
        </w:rPr>
        <w:t>urther intervention</w:t>
      </w:r>
      <w:r w:rsidRPr="0003784A">
        <w:rPr>
          <w:szCs w:val="24"/>
          <w:lang w:val="en-US"/>
        </w:rPr>
        <w:t>s</w:t>
      </w:r>
      <w:r w:rsidR="00296E20" w:rsidRPr="0003784A">
        <w:rPr>
          <w:szCs w:val="24"/>
          <w:lang w:val="en-US"/>
        </w:rPr>
        <w:t xml:space="preserve">, </w:t>
      </w:r>
      <w:r w:rsidR="0003784A" w:rsidRPr="0003784A">
        <w:rPr>
          <w:szCs w:val="24"/>
          <w:lang w:val="en-US"/>
        </w:rPr>
        <w:t xml:space="preserve">several delegates </w:t>
      </w:r>
      <w:r w:rsidRPr="0003784A">
        <w:rPr>
          <w:szCs w:val="24"/>
          <w:lang w:val="en-US"/>
        </w:rPr>
        <w:t>requested the a</w:t>
      </w:r>
      <w:r w:rsidR="006040FC" w:rsidRPr="0003784A">
        <w:rPr>
          <w:szCs w:val="24"/>
          <w:lang w:val="en-US"/>
        </w:rPr>
        <w:t xml:space="preserve">uditors present a complete package of the audit work undertaken to the Secretary-General and this package will then be available </w:t>
      </w:r>
      <w:r w:rsidRPr="0003784A">
        <w:rPr>
          <w:szCs w:val="24"/>
          <w:lang w:val="en-US"/>
        </w:rPr>
        <w:t xml:space="preserve">as part of the approval via </w:t>
      </w:r>
      <w:r w:rsidR="006040FC" w:rsidRPr="0003784A">
        <w:rPr>
          <w:szCs w:val="24"/>
          <w:lang w:val="en-US"/>
        </w:rPr>
        <w:t>correspondence.</w:t>
      </w:r>
      <w:bookmarkStart w:id="17" w:name="_Hlk180053515"/>
    </w:p>
    <w:p w14:paraId="48A28EC8" w14:textId="77777777" w:rsidR="00D1689D" w:rsidRPr="0003784A" w:rsidRDefault="00D1689D" w:rsidP="00D1689D">
      <w:pPr>
        <w:spacing w:before="0"/>
        <w:rPr>
          <w:szCs w:val="24"/>
          <w:lang w:val="en-US"/>
        </w:rPr>
      </w:pPr>
    </w:p>
    <w:p w14:paraId="03660F65" w14:textId="5C8FF24F" w:rsidR="00F75A7F" w:rsidRPr="0003784A" w:rsidRDefault="00F75A7F" w:rsidP="009B13DD">
      <w:pPr>
        <w:tabs>
          <w:tab w:val="clear" w:pos="567"/>
          <w:tab w:val="clear" w:pos="1134"/>
          <w:tab w:val="clear" w:pos="1701"/>
          <w:tab w:val="clear" w:pos="2268"/>
          <w:tab w:val="clear" w:pos="2835"/>
          <w:tab w:val="left" w:pos="709"/>
        </w:tabs>
        <w:spacing w:before="0"/>
        <w:rPr>
          <w:b/>
          <w:bCs/>
          <w:szCs w:val="24"/>
        </w:rPr>
      </w:pPr>
      <w:r w:rsidRPr="0003784A">
        <w:rPr>
          <w:b/>
          <w:bCs/>
          <w:szCs w:val="24"/>
        </w:rPr>
        <w:lastRenderedPageBreak/>
        <w:t>1</w:t>
      </w:r>
      <w:r w:rsidR="00223EDA" w:rsidRPr="0003784A">
        <w:rPr>
          <w:b/>
          <w:bCs/>
          <w:szCs w:val="24"/>
        </w:rPr>
        <w:t>5</w:t>
      </w:r>
      <w:r w:rsidRPr="0003784A">
        <w:rPr>
          <w:b/>
          <w:bCs/>
          <w:szCs w:val="24"/>
        </w:rPr>
        <w:tab/>
        <w:t>Any other business</w:t>
      </w:r>
    </w:p>
    <w:p w14:paraId="4B1B207B" w14:textId="77777777" w:rsidR="00F75A7F" w:rsidRDefault="00F75A7F" w:rsidP="00296B9F">
      <w:pPr>
        <w:tabs>
          <w:tab w:val="clear" w:pos="567"/>
          <w:tab w:val="clear" w:pos="1134"/>
          <w:tab w:val="clear" w:pos="1701"/>
          <w:tab w:val="clear" w:pos="2268"/>
          <w:tab w:val="clear" w:pos="2835"/>
          <w:tab w:val="left" w:pos="709"/>
        </w:tabs>
        <w:spacing w:before="0"/>
        <w:rPr>
          <w:b/>
          <w:bCs/>
          <w:szCs w:val="24"/>
        </w:rPr>
      </w:pPr>
    </w:p>
    <w:bookmarkEnd w:id="16"/>
    <w:bookmarkEnd w:id="17"/>
    <w:p w14:paraId="5A9C075D" w14:textId="487AFB24" w:rsidR="00F75A7F" w:rsidRPr="005F052D" w:rsidRDefault="005F052D" w:rsidP="00296B9F">
      <w:pPr>
        <w:tabs>
          <w:tab w:val="clear" w:pos="567"/>
          <w:tab w:val="clear" w:pos="1134"/>
          <w:tab w:val="clear" w:pos="1701"/>
          <w:tab w:val="clear" w:pos="2268"/>
          <w:tab w:val="clear" w:pos="2835"/>
          <w:tab w:val="left" w:pos="709"/>
        </w:tabs>
        <w:spacing w:before="0"/>
        <w:rPr>
          <w:szCs w:val="24"/>
        </w:rPr>
      </w:pPr>
      <w:r w:rsidRPr="005F052D">
        <w:rPr>
          <w:szCs w:val="24"/>
        </w:rPr>
        <w:t>1</w:t>
      </w:r>
      <w:r w:rsidR="00B80244">
        <w:rPr>
          <w:szCs w:val="24"/>
        </w:rPr>
        <w:t>5</w:t>
      </w:r>
      <w:r w:rsidRPr="005F052D">
        <w:rPr>
          <w:szCs w:val="24"/>
        </w:rPr>
        <w:t>.1</w:t>
      </w:r>
      <w:r w:rsidR="0003784A">
        <w:rPr>
          <w:szCs w:val="24"/>
        </w:rPr>
        <w:tab/>
      </w:r>
      <w:r w:rsidR="006B381C">
        <w:rPr>
          <w:szCs w:val="24"/>
        </w:rPr>
        <w:t>Delegat</w:t>
      </w:r>
      <w:r w:rsidR="00884350">
        <w:rPr>
          <w:szCs w:val="24"/>
        </w:rPr>
        <w:t>es</w:t>
      </w:r>
      <w:r w:rsidR="006B381C">
        <w:rPr>
          <w:szCs w:val="24"/>
        </w:rPr>
        <w:t xml:space="preserve"> from Canada and France enquired about </w:t>
      </w:r>
      <w:r w:rsidR="003605B8">
        <w:rPr>
          <w:szCs w:val="24"/>
        </w:rPr>
        <w:t>allegations</w:t>
      </w:r>
      <w:r w:rsidR="00004125">
        <w:rPr>
          <w:szCs w:val="24"/>
        </w:rPr>
        <w:t xml:space="preserve"> into the conduct of the </w:t>
      </w:r>
      <w:r w:rsidR="0003784A">
        <w:rPr>
          <w:szCs w:val="24"/>
        </w:rPr>
        <w:t>s</w:t>
      </w:r>
      <w:r w:rsidR="00004125">
        <w:rPr>
          <w:szCs w:val="24"/>
        </w:rPr>
        <w:t xml:space="preserve">ecretariat and the Secretary General.  </w:t>
      </w:r>
      <w:r w:rsidR="00884350">
        <w:rPr>
          <w:szCs w:val="24"/>
        </w:rPr>
        <w:t xml:space="preserve">Both delegates </w:t>
      </w:r>
      <w:r w:rsidR="0060015C">
        <w:rPr>
          <w:szCs w:val="24"/>
        </w:rPr>
        <w:t>noted that such allegations should be referred to Council.</w:t>
      </w:r>
    </w:p>
    <w:p w14:paraId="10354FCA" w14:textId="77777777" w:rsidR="005F052D" w:rsidRPr="005F052D" w:rsidRDefault="005F052D" w:rsidP="00296B9F">
      <w:pPr>
        <w:tabs>
          <w:tab w:val="clear" w:pos="567"/>
          <w:tab w:val="clear" w:pos="1134"/>
          <w:tab w:val="clear" w:pos="1701"/>
          <w:tab w:val="clear" w:pos="2268"/>
          <w:tab w:val="clear" w:pos="2835"/>
          <w:tab w:val="left" w:pos="709"/>
        </w:tabs>
        <w:spacing w:before="0"/>
        <w:rPr>
          <w:szCs w:val="24"/>
        </w:rPr>
      </w:pPr>
    </w:p>
    <w:p w14:paraId="5F88D6F3" w14:textId="6D617C25" w:rsidR="005F052D" w:rsidRPr="005F052D" w:rsidRDefault="005F052D" w:rsidP="00296B9F">
      <w:pPr>
        <w:tabs>
          <w:tab w:val="clear" w:pos="567"/>
          <w:tab w:val="clear" w:pos="1134"/>
          <w:tab w:val="clear" w:pos="1701"/>
          <w:tab w:val="clear" w:pos="2268"/>
          <w:tab w:val="clear" w:pos="2835"/>
          <w:tab w:val="left" w:pos="709"/>
        </w:tabs>
        <w:spacing w:before="0"/>
        <w:rPr>
          <w:szCs w:val="24"/>
        </w:rPr>
      </w:pPr>
      <w:r w:rsidRPr="005F052D">
        <w:rPr>
          <w:szCs w:val="24"/>
        </w:rPr>
        <w:t>1</w:t>
      </w:r>
      <w:r w:rsidR="00B80244">
        <w:rPr>
          <w:szCs w:val="24"/>
        </w:rPr>
        <w:t>5</w:t>
      </w:r>
      <w:r w:rsidRPr="005F052D">
        <w:rPr>
          <w:szCs w:val="24"/>
        </w:rPr>
        <w:t>.2</w:t>
      </w:r>
      <w:r w:rsidR="0003784A">
        <w:rPr>
          <w:szCs w:val="24"/>
        </w:rPr>
        <w:tab/>
      </w:r>
      <w:r w:rsidR="003605B8">
        <w:rPr>
          <w:szCs w:val="24"/>
        </w:rPr>
        <w:t>The Chair of the ITU Council provided an update on the allegations, noted that they were investigated</w:t>
      </w:r>
      <w:r w:rsidR="00904002">
        <w:rPr>
          <w:szCs w:val="24"/>
        </w:rPr>
        <w:t xml:space="preserve"> fully and impartially</w:t>
      </w:r>
      <w:r w:rsidR="003605B8">
        <w:rPr>
          <w:szCs w:val="24"/>
        </w:rPr>
        <w:t>, and found to be unsubstantiated.</w:t>
      </w:r>
    </w:p>
    <w:p w14:paraId="76D9985F" w14:textId="77777777" w:rsidR="00262D52" w:rsidRDefault="00262D52" w:rsidP="00296B9F">
      <w:pPr>
        <w:tabs>
          <w:tab w:val="clear" w:pos="567"/>
          <w:tab w:val="clear" w:pos="1134"/>
          <w:tab w:val="clear" w:pos="1701"/>
          <w:tab w:val="clear" w:pos="2268"/>
          <w:tab w:val="clear" w:pos="2835"/>
          <w:tab w:val="left" w:pos="709"/>
        </w:tabs>
        <w:snapToGrid w:val="0"/>
        <w:spacing w:before="0"/>
        <w:ind w:left="709" w:hanging="709"/>
        <w:rPr>
          <w:rFonts w:asciiTheme="minorHAnsi" w:hAnsiTheme="minorHAnsi" w:cstheme="minorHAnsi"/>
          <w:lang w:eastAsia="en-AU"/>
        </w:rPr>
      </w:pPr>
    </w:p>
    <w:p w14:paraId="14B76C53" w14:textId="77777777" w:rsidR="00262D52" w:rsidRDefault="00262D52" w:rsidP="00296B9F">
      <w:pPr>
        <w:tabs>
          <w:tab w:val="clear" w:pos="567"/>
          <w:tab w:val="clear" w:pos="1134"/>
          <w:tab w:val="clear" w:pos="1701"/>
          <w:tab w:val="clear" w:pos="2268"/>
          <w:tab w:val="clear" w:pos="2835"/>
          <w:tab w:val="left" w:pos="709"/>
        </w:tabs>
        <w:snapToGrid w:val="0"/>
        <w:spacing w:before="0"/>
        <w:ind w:left="709" w:hanging="709"/>
        <w:rPr>
          <w:rFonts w:asciiTheme="minorHAnsi" w:hAnsiTheme="minorHAnsi" w:cstheme="minorHAnsi"/>
          <w:lang w:eastAsia="en-AU"/>
        </w:rPr>
      </w:pPr>
    </w:p>
    <w:p w14:paraId="54312518" w14:textId="79650BCC" w:rsidR="00C5319D" w:rsidRDefault="00C5319D">
      <w:pPr>
        <w:tabs>
          <w:tab w:val="clear" w:pos="567"/>
          <w:tab w:val="clear" w:pos="1134"/>
          <w:tab w:val="clear" w:pos="1701"/>
          <w:tab w:val="clear" w:pos="2268"/>
          <w:tab w:val="clear" w:pos="2835"/>
        </w:tabs>
        <w:overflowPunct/>
        <w:autoSpaceDE/>
        <w:autoSpaceDN/>
        <w:adjustRightInd/>
        <w:spacing w:before="0"/>
        <w:textAlignment w:val="auto"/>
        <w:rPr>
          <w:rFonts w:cs="Calibri"/>
          <w:bCs/>
          <w:szCs w:val="24"/>
        </w:rPr>
      </w:pPr>
      <w:r>
        <w:rPr>
          <w:szCs w:val="24"/>
        </w:rPr>
        <w:br w:type="page"/>
      </w:r>
    </w:p>
    <w:p w14:paraId="34829535" w14:textId="43993742" w:rsidR="00262D52" w:rsidRPr="00C5319D" w:rsidRDefault="00C5319D" w:rsidP="00D97C7C">
      <w:pPr>
        <w:pStyle w:val="AnnexNo"/>
        <w:rPr>
          <w:bCs/>
        </w:rPr>
      </w:pPr>
      <w:bookmarkStart w:id="18" w:name="Annex_A"/>
      <w:r w:rsidRPr="00C5319D">
        <w:lastRenderedPageBreak/>
        <w:t>ANNEX A</w:t>
      </w:r>
      <w:bookmarkEnd w:id="18"/>
    </w:p>
    <w:p w14:paraId="5DE64284" w14:textId="77777777" w:rsidR="00262D52" w:rsidRDefault="00262D52" w:rsidP="00262D52">
      <w:pPr>
        <w:pStyle w:val="TitleAgenda"/>
        <w:spacing w:before="0"/>
        <w:jc w:val="left"/>
        <w:rPr>
          <w:sz w:val="24"/>
          <w:szCs w:val="24"/>
        </w:rPr>
      </w:pPr>
    </w:p>
    <w:p w14:paraId="14CFACAE" w14:textId="77777777" w:rsidR="00C5319D" w:rsidRPr="00C5319D" w:rsidRDefault="00C5319D" w:rsidP="00C5319D">
      <w:pPr>
        <w:jc w:val="center"/>
        <w:rPr>
          <w:b/>
          <w:bCs/>
          <w:sz w:val="28"/>
          <w:szCs w:val="28"/>
        </w:rPr>
      </w:pPr>
      <w:r w:rsidRPr="00C5319D">
        <w:rPr>
          <w:b/>
          <w:bCs/>
          <w:sz w:val="28"/>
          <w:szCs w:val="28"/>
        </w:rPr>
        <w:t>ONLINE CORRESPONDENCE GROUP</w:t>
      </w:r>
    </w:p>
    <w:p w14:paraId="7E204B60" w14:textId="77777777" w:rsidR="00C5319D" w:rsidRPr="00C5319D" w:rsidRDefault="00C5319D" w:rsidP="00C5319D">
      <w:pPr>
        <w:jc w:val="center"/>
        <w:rPr>
          <w:b/>
          <w:bCs/>
        </w:rPr>
      </w:pPr>
      <w:r w:rsidRPr="00C5319D">
        <w:rPr>
          <w:b/>
          <w:bCs/>
          <w:sz w:val="28"/>
          <w:szCs w:val="28"/>
        </w:rPr>
        <w:t>COMPLETION OF REVIEW OF REGIONAL PRESENCE</w:t>
      </w:r>
    </w:p>
    <w:p w14:paraId="37F89C9C" w14:textId="77777777" w:rsidR="00C5319D" w:rsidRPr="00C5319D" w:rsidRDefault="00C5319D" w:rsidP="00C5319D"/>
    <w:p w14:paraId="579CD487" w14:textId="77777777" w:rsidR="00C5319D" w:rsidRPr="00C5319D" w:rsidRDefault="00C5319D" w:rsidP="00C5319D">
      <w:pPr>
        <w:jc w:val="both"/>
        <w:rPr>
          <w:kern w:val="2"/>
          <w14:ligatures w14:val="standardContextual"/>
        </w:rPr>
      </w:pPr>
      <w:r w:rsidRPr="00C5319D">
        <w:rPr>
          <w:rFonts w:cs="Calibri"/>
          <w:color w:val="000000"/>
          <w:shd w:val="clear" w:color="auto" w:fill="FFFFFF"/>
        </w:rPr>
        <w:t xml:space="preserve">The Council Working Group on Financial and Human Resources (CWG-FHR) establishes an online Correspondence Group to develop </w:t>
      </w:r>
      <w:r w:rsidRPr="00C5319D">
        <w:rPr>
          <w:kern w:val="2"/>
          <w14:ligatures w14:val="standardContextual"/>
        </w:rPr>
        <w:t xml:space="preserve">Terms of Reference for the ITU secretariat to complete a review of regional presence under </w:t>
      </w:r>
      <w:hyperlink r:id="rId33" w:history="1">
        <w:r w:rsidRPr="00C5319D">
          <w:rPr>
            <w:i/>
            <w:iCs/>
            <w:color w:val="0563C1"/>
            <w:u w:val="single"/>
          </w:rPr>
          <w:t>Resolution 25</w:t>
        </w:r>
      </w:hyperlink>
      <w:r w:rsidRPr="00C5319D">
        <w:rPr>
          <w:i/>
          <w:iCs/>
        </w:rPr>
        <w:t xml:space="preserve"> (Rev. Bucharest, 2022) based on contributions received from ITU Member States and Sector Members taking into account the Council Decisions of 2023 and 2024</w:t>
      </w:r>
      <w:r w:rsidRPr="00C5319D">
        <w:rPr>
          <w:kern w:val="2"/>
          <w14:ligatures w14:val="standardContextual"/>
        </w:rPr>
        <w:t xml:space="preserve">. </w:t>
      </w:r>
    </w:p>
    <w:p w14:paraId="3692204D" w14:textId="67EE0BF0" w:rsidR="00C5319D" w:rsidRPr="00C5319D" w:rsidRDefault="00C5319D" w:rsidP="00C5319D">
      <w:pPr>
        <w:spacing w:before="240"/>
        <w:jc w:val="both"/>
      </w:pPr>
      <w:r w:rsidRPr="009B13DD">
        <w:rPr>
          <w:rFonts w:cs="Calibri"/>
          <w:color w:val="000000"/>
          <w:shd w:val="clear" w:color="auto" w:fill="FFFFFF"/>
          <w:lang w:val="lt-LT"/>
        </w:rPr>
        <w:t>The C</w:t>
      </w:r>
      <w:r w:rsidR="009B13DD">
        <w:rPr>
          <w:rFonts w:cs="Calibri"/>
          <w:color w:val="000000"/>
          <w:shd w:val="clear" w:color="auto" w:fill="FFFFFF"/>
          <w:lang w:val="lt-LT"/>
        </w:rPr>
        <w:t xml:space="preserve">orrespondence </w:t>
      </w:r>
      <w:r w:rsidRPr="009B13DD">
        <w:rPr>
          <w:rFonts w:cs="Calibri"/>
          <w:color w:val="000000"/>
          <w:shd w:val="clear" w:color="auto" w:fill="FFFFFF"/>
          <w:lang w:val="lt-LT"/>
        </w:rPr>
        <w:t>G</w:t>
      </w:r>
      <w:r w:rsidR="009B13DD">
        <w:rPr>
          <w:rFonts w:cs="Calibri"/>
          <w:color w:val="000000"/>
          <w:shd w:val="clear" w:color="auto" w:fill="FFFFFF"/>
          <w:lang w:val="lt-LT"/>
        </w:rPr>
        <w:t>roup</w:t>
      </w:r>
      <w:r w:rsidRPr="009B13DD">
        <w:rPr>
          <w:rFonts w:cs="Calibri"/>
          <w:color w:val="000000"/>
          <w:shd w:val="clear" w:color="auto" w:fill="FFFFFF"/>
          <w:lang w:val="lt-LT"/>
        </w:rPr>
        <w:t xml:space="preserve"> will be chaired by </w:t>
      </w:r>
      <w:r w:rsidR="009B13DD">
        <w:t>Vice</w:t>
      </w:r>
      <w:r w:rsidR="00C511CF">
        <w:t xml:space="preserve"> </w:t>
      </w:r>
      <w:r w:rsidR="009B13DD">
        <w:t>Chair of CWG-FHR Ms.</w:t>
      </w:r>
      <w:r w:rsidR="00C511CF">
        <w:t> </w:t>
      </w:r>
      <w:r w:rsidR="009B13DD">
        <w:t>Noah</w:t>
      </w:r>
      <w:r w:rsidR="00233763">
        <w:t> </w:t>
      </w:r>
      <w:r w:rsidR="009B13DD">
        <w:t>Gaafar (Egypt).</w:t>
      </w:r>
    </w:p>
    <w:p w14:paraId="1EEDFAF9" w14:textId="565DF3BF" w:rsidR="00C5319D" w:rsidRPr="009B13DD" w:rsidRDefault="00C5319D" w:rsidP="00C5319D"/>
    <w:p w14:paraId="2AC1E37F" w14:textId="77777777" w:rsidR="00C5319D" w:rsidRPr="00C5319D" w:rsidRDefault="00C5319D" w:rsidP="00C5319D">
      <w:pPr>
        <w:rPr>
          <w:b/>
          <w:bCs/>
          <w:kern w:val="2"/>
          <w:lang w:val="lt-LT"/>
          <w14:ligatures w14:val="standardContextual"/>
        </w:rPr>
      </w:pPr>
      <w:r w:rsidRPr="00C5319D">
        <w:rPr>
          <w:b/>
          <w:bCs/>
          <w:kern w:val="2"/>
          <w:lang w:val="lt-LT"/>
          <w14:ligatures w14:val="standardContextual"/>
        </w:rPr>
        <w:br w:type="page"/>
      </w:r>
    </w:p>
    <w:p w14:paraId="7FAF04BD" w14:textId="39DC2A21" w:rsidR="00C5319D" w:rsidRDefault="00C5319D">
      <w:pPr>
        <w:tabs>
          <w:tab w:val="clear" w:pos="567"/>
          <w:tab w:val="clear" w:pos="1134"/>
          <w:tab w:val="clear" w:pos="1701"/>
          <w:tab w:val="clear" w:pos="2268"/>
          <w:tab w:val="clear" w:pos="2835"/>
        </w:tabs>
        <w:overflowPunct/>
        <w:autoSpaceDE/>
        <w:autoSpaceDN/>
        <w:adjustRightInd/>
        <w:spacing w:before="0"/>
        <w:textAlignment w:val="auto"/>
        <w:rPr>
          <w:rFonts w:cs="Calibri"/>
          <w:bCs/>
          <w:szCs w:val="24"/>
        </w:rPr>
      </w:pPr>
    </w:p>
    <w:p w14:paraId="497881DA" w14:textId="6289B63A" w:rsidR="00C5319D" w:rsidRDefault="00C5319D" w:rsidP="00D97C7C">
      <w:pPr>
        <w:pStyle w:val="AnnexNo"/>
        <w:rPr>
          <w:sz w:val="24"/>
          <w:szCs w:val="24"/>
        </w:rPr>
      </w:pPr>
      <w:bookmarkStart w:id="19" w:name="_Hlk180582197"/>
      <w:bookmarkStart w:id="20" w:name="Annex_B"/>
      <w:r w:rsidRPr="00C5319D">
        <w:t xml:space="preserve">ANNEX </w:t>
      </w:r>
      <w:r>
        <w:t>B</w:t>
      </w:r>
      <w:bookmarkEnd w:id="19"/>
      <w:bookmarkEnd w:id="20"/>
    </w:p>
    <w:p w14:paraId="0E33989B" w14:textId="77777777" w:rsidR="00C5319D" w:rsidRPr="00262D52" w:rsidRDefault="00C5319D" w:rsidP="00262D52">
      <w:pPr>
        <w:pStyle w:val="TitleAgenda"/>
        <w:spacing w:before="0"/>
        <w:jc w:val="left"/>
        <w:rPr>
          <w:sz w:val="24"/>
          <w:szCs w:val="24"/>
        </w:rPr>
      </w:pPr>
    </w:p>
    <w:p w14:paraId="298C47B9" w14:textId="77777777" w:rsidR="00C5319D" w:rsidRPr="00D56C87" w:rsidRDefault="00C5319D" w:rsidP="00C5319D">
      <w:pPr>
        <w:jc w:val="center"/>
        <w:textAlignment w:val="auto"/>
        <w:rPr>
          <w:b/>
          <w:bCs/>
          <w:iCs/>
        </w:rPr>
      </w:pPr>
      <w:r w:rsidRPr="00EE336F">
        <w:rPr>
          <w:b/>
          <w:bCs/>
          <w:iCs/>
          <w:sz w:val="28"/>
          <w:szCs w:val="28"/>
        </w:rPr>
        <w:t xml:space="preserve">Draft terms of Reference for the Correspondence Working Group </w:t>
      </w:r>
      <w:r>
        <w:rPr>
          <w:b/>
          <w:bCs/>
          <w:iCs/>
          <w:sz w:val="28"/>
          <w:szCs w:val="28"/>
        </w:rPr>
        <w:br/>
      </w:r>
      <w:r w:rsidRPr="00EE336F">
        <w:rPr>
          <w:b/>
          <w:bCs/>
          <w:iCs/>
          <w:sz w:val="28"/>
          <w:szCs w:val="28"/>
        </w:rPr>
        <w:t xml:space="preserve">to review the draft guidelines on management of fully virtual </w:t>
      </w:r>
      <w:r>
        <w:rPr>
          <w:b/>
          <w:bCs/>
          <w:iCs/>
          <w:sz w:val="28"/>
          <w:szCs w:val="28"/>
        </w:rPr>
        <w:br/>
      </w:r>
      <w:r w:rsidRPr="00EE336F">
        <w:rPr>
          <w:b/>
          <w:bCs/>
          <w:iCs/>
          <w:sz w:val="28"/>
          <w:szCs w:val="28"/>
        </w:rPr>
        <w:t>and physical meetings with remote participation</w:t>
      </w:r>
    </w:p>
    <w:p w14:paraId="05A85B5A" w14:textId="77777777" w:rsidR="00C5319D" w:rsidRDefault="00C5319D" w:rsidP="00C5319D">
      <w:pPr>
        <w:jc w:val="both"/>
        <w:textAlignment w:val="auto"/>
        <w:rPr>
          <w:bCs/>
        </w:rPr>
      </w:pPr>
    </w:p>
    <w:p w14:paraId="26C548B0" w14:textId="77777777" w:rsidR="00C5319D" w:rsidRPr="00D56C87" w:rsidRDefault="00C5319D" w:rsidP="00C5319D">
      <w:pPr>
        <w:jc w:val="both"/>
        <w:textAlignment w:val="auto"/>
        <w:rPr>
          <w:bCs/>
        </w:rPr>
      </w:pPr>
      <w:r w:rsidRPr="00D56C87">
        <w:rPr>
          <w:bCs/>
        </w:rPr>
        <w:t xml:space="preserve">The Online Correspondence Group </w:t>
      </w:r>
      <w:r>
        <w:rPr>
          <w:bCs/>
        </w:rPr>
        <w:t>shall</w:t>
      </w:r>
      <w:r w:rsidRPr="00D56C87">
        <w:rPr>
          <w:bCs/>
        </w:rPr>
        <w:t xml:space="preserve"> consider how to appropriately reflect the following aspects in the draft Guidelines prepared by the General Secretariat, consistent with Resolution 167 (Rev. Bucharest 2022)</w:t>
      </w:r>
      <w:r>
        <w:rPr>
          <w:bCs/>
        </w:rPr>
        <w:t>, based on contributions received from ITU Member States and Sector Members</w:t>
      </w:r>
      <w:r w:rsidRPr="00D56C87">
        <w:rPr>
          <w:bCs/>
        </w:rPr>
        <w:t>:</w:t>
      </w:r>
    </w:p>
    <w:p w14:paraId="79825C3B" w14:textId="77777777" w:rsidR="00C5319D" w:rsidRPr="00D56C87" w:rsidRDefault="00C5319D" w:rsidP="00C5319D">
      <w:pPr>
        <w:spacing w:before="86"/>
        <w:ind w:left="567" w:hanging="567"/>
        <w:jc w:val="both"/>
        <w:textAlignment w:val="auto"/>
      </w:pPr>
      <w:r w:rsidRPr="00D56C87">
        <w:t>–</w:t>
      </w:r>
      <w:r w:rsidRPr="00D56C87">
        <w:tab/>
        <w:t>The provision of interpretation services, technological neutrality, adequate notification of meetings, and participation in offline discussions, accessibility for persons with disabilities</w:t>
      </w:r>
      <w:r>
        <w:t xml:space="preserve"> and persons with special needs</w:t>
      </w:r>
      <w:r w:rsidRPr="00D56C87">
        <w:t xml:space="preserve">, proper management of the duration and scheduling of meetings and consideration of time zone differences, and training for both organizers and ITU staff. </w:t>
      </w:r>
    </w:p>
    <w:p w14:paraId="19192A8A" w14:textId="77777777" w:rsidR="00C5319D" w:rsidRPr="00D56C87" w:rsidRDefault="00C5319D" w:rsidP="00C5319D">
      <w:pPr>
        <w:spacing w:before="86"/>
        <w:ind w:left="567" w:hanging="567"/>
        <w:jc w:val="both"/>
        <w:textAlignment w:val="auto"/>
      </w:pPr>
      <w:r w:rsidRPr="00D56C87">
        <w:t>–</w:t>
      </w:r>
      <w:r w:rsidRPr="00D56C87">
        <w:tab/>
        <w:t xml:space="preserve">Best practices identified from other United Nations agencies regarding the management of remote participation in meetings, as </w:t>
      </w:r>
      <w:proofErr w:type="spellStart"/>
      <w:r w:rsidRPr="00D56C87">
        <w:t>analyzed</w:t>
      </w:r>
      <w:proofErr w:type="spellEnd"/>
      <w:r w:rsidRPr="00D56C87">
        <w:t xml:space="preserve"> by the ITU General Secretariat.</w:t>
      </w:r>
    </w:p>
    <w:p w14:paraId="7581A135" w14:textId="77777777" w:rsidR="00C5319D" w:rsidRPr="00D56C87" w:rsidRDefault="00C5319D" w:rsidP="00C5319D">
      <w:pPr>
        <w:spacing w:before="86"/>
        <w:jc w:val="both"/>
        <w:textAlignment w:val="auto"/>
      </w:pPr>
      <w:r w:rsidRPr="00D56C87">
        <w:t xml:space="preserve">Finally, it is recommended to review and </w:t>
      </w:r>
      <w:proofErr w:type="spellStart"/>
      <w:r w:rsidRPr="00D56C87">
        <w:t>analyze</w:t>
      </w:r>
      <w:proofErr w:type="spellEnd"/>
      <w:r w:rsidRPr="00D56C87">
        <w:t xml:space="preserve"> how to incorporate data collection on remote participation trends across the three Sectors for future decision-making and improvements</w:t>
      </w:r>
      <w:r>
        <w:t>, i.e. last 3 years</w:t>
      </w:r>
      <w:r w:rsidRPr="00D56C87">
        <w:t>.</w:t>
      </w:r>
    </w:p>
    <w:p w14:paraId="09126D7C" w14:textId="77777777" w:rsidR="00C5319D" w:rsidRPr="00D56C87" w:rsidRDefault="00C5319D" w:rsidP="00C5319D">
      <w:pPr>
        <w:keepNext/>
        <w:keepLines/>
        <w:spacing w:before="160"/>
        <w:ind w:left="567" w:hanging="567"/>
        <w:textAlignment w:val="auto"/>
        <w:outlineLvl w:val="0"/>
        <w:rPr>
          <w:i/>
        </w:rPr>
      </w:pPr>
      <w:r w:rsidRPr="00D56C87">
        <w:rPr>
          <w:i/>
        </w:rPr>
        <w:t>Composition of the Correspondence Group</w:t>
      </w:r>
    </w:p>
    <w:p w14:paraId="22FEF202" w14:textId="77777777" w:rsidR="00C5319D" w:rsidRPr="00D56C87" w:rsidRDefault="00C5319D" w:rsidP="00C5319D">
      <w:pPr>
        <w:spacing w:before="86"/>
        <w:ind w:left="567" w:hanging="567"/>
        <w:jc w:val="both"/>
        <w:textAlignment w:val="auto"/>
      </w:pPr>
      <w:r w:rsidRPr="00D56C87">
        <w:t>–</w:t>
      </w:r>
      <w:r w:rsidRPr="00D56C87">
        <w:tab/>
        <w:t>The Correspondence Group is open to all members of the Council Working Group on financial and human resources (CWG-FHR) of the ITU Council.</w:t>
      </w:r>
    </w:p>
    <w:p w14:paraId="299706E7" w14:textId="77777777" w:rsidR="00C5319D" w:rsidRPr="00D56C87" w:rsidRDefault="00C5319D" w:rsidP="00C5319D">
      <w:pPr>
        <w:spacing w:before="86"/>
        <w:ind w:left="567" w:hanging="567"/>
        <w:jc w:val="both"/>
        <w:textAlignment w:val="auto"/>
      </w:pPr>
      <w:r w:rsidRPr="00D56C87">
        <w:t>–</w:t>
      </w:r>
      <w:r w:rsidRPr="00D56C87">
        <w:tab/>
        <w:t>The Correspondence Group will be chaired by a person designated by the members, as well as the collaboration of an official from the ITU General Secretariat.</w:t>
      </w:r>
    </w:p>
    <w:p w14:paraId="21F08D08" w14:textId="77777777" w:rsidR="00C5319D" w:rsidRPr="00D56C87" w:rsidRDefault="00C5319D" w:rsidP="00C5319D">
      <w:pPr>
        <w:spacing w:before="86"/>
        <w:ind w:left="567" w:hanging="567"/>
        <w:jc w:val="both"/>
        <w:textAlignment w:val="auto"/>
      </w:pPr>
      <w:r w:rsidRPr="00D56C87">
        <w:t>–</w:t>
      </w:r>
      <w:r w:rsidRPr="00D56C87">
        <w:tab/>
        <w:t>The calls for meetings of the Correspondence Group will be made by the chair _________, and an official from the ITU General Secretariat.</w:t>
      </w:r>
    </w:p>
    <w:p w14:paraId="245F3FD4" w14:textId="77777777" w:rsidR="00C5319D" w:rsidRPr="00D56C87" w:rsidRDefault="00C5319D" w:rsidP="00C5319D">
      <w:pPr>
        <w:spacing w:before="86"/>
        <w:ind w:left="567" w:hanging="567"/>
        <w:textAlignment w:val="auto"/>
      </w:pPr>
      <w:r w:rsidRPr="00D56C87">
        <w:t>–</w:t>
      </w:r>
      <w:r w:rsidRPr="00D56C87">
        <w:tab/>
        <w:t>The Correspondence Group will conduct its work through electronic means.</w:t>
      </w:r>
    </w:p>
    <w:p w14:paraId="75206C46" w14:textId="77777777" w:rsidR="00C5319D" w:rsidRPr="00D56C87" w:rsidRDefault="00C5319D" w:rsidP="00C5319D">
      <w:pPr>
        <w:keepNext/>
        <w:keepLines/>
        <w:spacing w:before="160"/>
        <w:ind w:left="567" w:hanging="567"/>
        <w:textAlignment w:val="auto"/>
        <w:outlineLvl w:val="0"/>
        <w:rPr>
          <w:i/>
        </w:rPr>
      </w:pPr>
      <w:r w:rsidRPr="00D56C87">
        <w:rPr>
          <w:i/>
        </w:rPr>
        <w:t>Timeline</w:t>
      </w:r>
    </w:p>
    <w:p w14:paraId="77E6A579" w14:textId="77777777" w:rsidR="00C5319D" w:rsidRPr="00D56C87" w:rsidRDefault="00C5319D" w:rsidP="00C5319D">
      <w:pPr>
        <w:spacing w:before="86"/>
        <w:ind w:left="567" w:hanging="567"/>
        <w:jc w:val="both"/>
        <w:textAlignment w:val="auto"/>
      </w:pPr>
      <w:r w:rsidRPr="00D56C87">
        <w:t>–</w:t>
      </w:r>
      <w:r w:rsidRPr="00D56C87">
        <w:tab/>
        <w:t xml:space="preserve">The Group will begin its work following the approval of its mandate by the CWG-FHR and will present to the </w:t>
      </w:r>
      <w:r>
        <w:t xml:space="preserve">next session of </w:t>
      </w:r>
      <w:r w:rsidRPr="00D56C87">
        <w:t xml:space="preserve">CWG-FHR </w:t>
      </w:r>
      <w:r>
        <w:t xml:space="preserve">in 2025 </w:t>
      </w:r>
      <w:r w:rsidRPr="00D56C87">
        <w:t>for the review of the high-level Guidelines for discussion and, if applicable, approval by the members.</w:t>
      </w:r>
    </w:p>
    <w:p w14:paraId="66671076" w14:textId="75644523" w:rsidR="007F369E" w:rsidRDefault="007F369E">
      <w:pPr>
        <w:tabs>
          <w:tab w:val="clear" w:pos="567"/>
          <w:tab w:val="clear" w:pos="1134"/>
          <w:tab w:val="clear" w:pos="1701"/>
          <w:tab w:val="clear" w:pos="2268"/>
          <w:tab w:val="clear" w:pos="2835"/>
        </w:tabs>
        <w:overflowPunct/>
        <w:autoSpaceDE/>
        <w:autoSpaceDN/>
        <w:adjustRightInd/>
        <w:spacing w:before="0"/>
        <w:textAlignment w:val="auto"/>
      </w:pPr>
    </w:p>
    <w:p w14:paraId="44ED1806" w14:textId="3065ED30" w:rsidR="008F7516" w:rsidRDefault="008F7516">
      <w:pPr>
        <w:tabs>
          <w:tab w:val="clear" w:pos="567"/>
          <w:tab w:val="clear" w:pos="1134"/>
          <w:tab w:val="clear" w:pos="1701"/>
          <w:tab w:val="clear" w:pos="2268"/>
          <w:tab w:val="clear" w:pos="2835"/>
        </w:tabs>
        <w:overflowPunct/>
        <w:autoSpaceDE/>
        <w:autoSpaceDN/>
        <w:adjustRightInd/>
        <w:spacing w:before="0"/>
        <w:textAlignment w:val="auto"/>
      </w:pPr>
      <w:r>
        <w:br w:type="page"/>
      </w:r>
    </w:p>
    <w:p w14:paraId="51490A0D" w14:textId="751CBD50" w:rsidR="007F369E" w:rsidRPr="008F7516" w:rsidRDefault="008F7516" w:rsidP="00384832">
      <w:pPr>
        <w:pStyle w:val="AnnexNo"/>
      </w:pPr>
      <w:bookmarkStart w:id="21" w:name="Annex_C"/>
      <w:r w:rsidRPr="008F7516">
        <w:lastRenderedPageBreak/>
        <w:t>ANNEX C</w:t>
      </w:r>
      <w:bookmarkEnd w:id="21"/>
    </w:p>
    <w:p w14:paraId="086AE1EF" w14:textId="77777777" w:rsidR="002D1F20" w:rsidRDefault="002D1F20" w:rsidP="007F369E">
      <w:pPr>
        <w:spacing w:before="0"/>
        <w:textAlignment w:val="auto"/>
      </w:pPr>
    </w:p>
    <w:p w14:paraId="0CE48D0A" w14:textId="2A77AC94" w:rsidR="007F369E" w:rsidRDefault="007F369E" w:rsidP="007F369E">
      <w:pPr>
        <w:spacing w:before="0"/>
        <w:textAlignment w:val="auto"/>
      </w:pPr>
    </w:p>
    <w:p w14:paraId="1B62684F" w14:textId="4C24693B" w:rsidR="007F369E" w:rsidRDefault="00384832" w:rsidP="007F369E">
      <w:pPr>
        <w:spacing w:before="0"/>
        <w:textAlignment w:val="auto"/>
      </w:pPr>
      <w:r>
        <w:rPr>
          <w:noProof/>
        </w:rPr>
        <w:drawing>
          <wp:anchor distT="0" distB="0" distL="114300" distR="114300" simplePos="0" relativeHeight="251658240" behindDoc="0" locked="0" layoutInCell="1" allowOverlap="1" wp14:anchorId="62266BE9" wp14:editId="2846816A">
            <wp:simplePos x="0" y="0"/>
            <wp:positionH relativeFrom="column">
              <wp:posOffset>0</wp:posOffset>
            </wp:positionH>
            <wp:positionV relativeFrom="page">
              <wp:posOffset>990600</wp:posOffset>
            </wp:positionV>
            <wp:extent cx="5669915" cy="7674610"/>
            <wp:effectExtent l="0" t="0" r="6985" b="2540"/>
            <wp:wrapNone/>
            <wp:docPr id="513941216" name="Picture 1"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941216" name="Picture 1" descr="A document with text on it&#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5669915" cy="7674610"/>
                    </a:xfrm>
                    <a:prstGeom prst="rect">
                      <a:avLst/>
                    </a:prstGeom>
                  </pic:spPr>
                </pic:pic>
              </a:graphicData>
            </a:graphic>
            <wp14:sizeRelH relativeFrom="margin">
              <wp14:pctWidth>0</wp14:pctWidth>
            </wp14:sizeRelH>
            <wp14:sizeRelV relativeFrom="margin">
              <wp14:pctHeight>0</wp14:pctHeight>
            </wp14:sizeRelV>
          </wp:anchor>
        </w:drawing>
      </w:r>
    </w:p>
    <w:p w14:paraId="4977527B" w14:textId="6B4E1C09" w:rsidR="00262D52" w:rsidRPr="00262D52" w:rsidRDefault="008F7516" w:rsidP="00384832">
      <w:pPr>
        <w:spacing w:before="360"/>
        <w:jc w:val="center"/>
        <w:textAlignment w:val="auto"/>
        <w:rPr>
          <w:szCs w:val="24"/>
        </w:rPr>
      </w:pPr>
      <w:r>
        <w:t>___________</w:t>
      </w:r>
    </w:p>
    <w:sectPr w:rsidR="00262D52" w:rsidRPr="00262D52" w:rsidSect="002D1F20">
      <w:footerReference w:type="default" r:id="rId35"/>
      <w:headerReference w:type="first" r:id="rId36"/>
      <w:footerReference w:type="first" r:id="rId37"/>
      <w:pgSz w:w="11907" w:h="16834"/>
      <w:pgMar w:top="426" w:right="1418" w:bottom="1418" w:left="1560"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EB5F5" w14:textId="77777777" w:rsidR="00395AD8" w:rsidRDefault="00395AD8">
      <w:r>
        <w:separator/>
      </w:r>
    </w:p>
  </w:endnote>
  <w:endnote w:type="continuationSeparator" w:id="0">
    <w:p w14:paraId="3E25DD66" w14:textId="77777777" w:rsidR="00395AD8" w:rsidRDefault="00395AD8">
      <w:r>
        <w:continuationSeparator/>
      </w:r>
    </w:p>
  </w:endnote>
  <w:endnote w:type="continuationNotice" w:id="1">
    <w:p w14:paraId="4581F46A" w14:textId="77777777" w:rsidR="00395AD8" w:rsidRDefault="00395AD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267103">
      <w:trPr>
        <w:jc w:val="center"/>
      </w:trPr>
      <w:tc>
        <w:tcPr>
          <w:tcW w:w="1803" w:type="dxa"/>
          <w:vAlign w:val="center"/>
        </w:tcPr>
        <w:p w14:paraId="727FD637" w14:textId="0ADC8A39" w:rsidR="00EE49E8" w:rsidRDefault="00EE49E8" w:rsidP="00EE49E8">
          <w:pPr>
            <w:pStyle w:val="Header"/>
            <w:jc w:val="left"/>
            <w:rPr>
              <w:noProof/>
            </w:rPr>
          </w:pPr>
        </w:p>
      </w:tc>
      <w:tc>
        <w:tcPr>
          <w:tcW w:w="8261" w:type="dxa"/>
        </w:tcPr>
        <w:p w14:paraId="2D49E76E" w14:textId="3B7548A0" w:rsidR="00EE49E8" w:rsidRPr="00E06FD5" w:rsidRDefault="00EE49E8" w:rsidP="003815CD">
          <w:pPr>
            <w:pStyle w:val="Header"/>
            <w:tabs>
              <w:tab w:val="left" w:pos="5883"/>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9F347C">
            <w:rPr>
              <w:bCs/>
            </w:rPr>
            <w:t>FHR</w:t>
          </w:r>
          <w:r w:rsidR="00A52C84">
            <w:rPr>
              <w:bCs/>
            </w:rPr>
            <w:t>-</w:t>
          </w:r>
          <w:r w:rsidR="002404ED">
            <w:rPr>
              <w:bCs/>
            </w:rPr>
            <w:t>1</w:t>
          </w:r>
          <w:r w:rsidR="00E03C3D">
            <w:rPr>
              <w:bCs/>
            </w:rPr>
            <w:t>9</w:t>
          </w:r>
          <w:r w:rsidR="00A52C84" w:rsidRPr="00623AE3">
            <w:rPr>
              <w:bCs/>
            </w:rPr>
            <w:t>/</w:t>
          </w:r>
          <w:r w:rsidR="002261DA">
            <w:rPr>
              <w:bCs/>
            </w:rPr>
            <w:t>15</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2D35FE56" w:rsidR="00EE49E8" w:rsidRPr="00E06FD5" w:rsidRDefault="00EE49E8" w:rsidP="003E2F2B">
          <w:pPr>
            <w:pStyle w:val="Header"/>
            <w:tabs>
              <w:tab w:val="left" w:pos="4587"/>
              <w:tab w:val="right" w:pos="8505"/>
              <w:tab w:val="right" w:pos="9639"/>
            </w:tabs>
            <w:jc w:val="left"/>
            <w:rPr>
              <w:rFonts w:ascii="Arial" w:hAnsi="Arial" w:cs="Arial"/>
              <w:b/>
              <w:bCs/>
              <w:szCs w:val="18"/>
            </w:rPr>
          </w:pPr>
          <w:r>
            <w:rPr>
              <w:bCs/>
            </w:rPr>
            <w:tab/>
          </w:r>
          <w:r w:rsidRPr="00623AE3">
            <w:rPr>
              <w:bCs/>
            </w:rPr>
            <w:t>C</w:t>
          </w:r>
          <w:r w:rsidR="00A52C84">
            <w:rPr>
              <w:bCs/>
            </w:rPr>
            <w:t>WG-</w:t>
          </w:r>
          <w:r w:rsidR="009F347C">
            <w:rPr>
              <w:bCs/>
            </w:rPr>
            <w:t>FHR</w:t>
          </w:r>
          <w:r w:rsidR="00A52C84">
            <w:rPr>
              <w:bCs/>
            </w:rPr>
            <w:t>-</w:t>
          </w:r>
          <w:r w:rsidR="002404ED">
            <w:rPr>
              <w:bCs/>
            </w:rPr>
            <w:t>1</w:t>
          </w:r>
          <w:r w:rsidR="00E03C3D">
            <w:rPr>
              <w:bCs/>
            </w:rPr>
            <w:t>9</w:t>
          </w:r>
          <w:r w:rsidRPr="00623AE3">
            <w:rPr>
              <w:bCs/>
            </w:rPr>
            <w:t>/</w:t>
          </w:r>
          <w:r w:rsidR="00D80D45">
            <w:rPr>
              <w:bCs/>
            </w:rPr>
            <w:t>15</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0E560" w14:textId="77777777" w:rsidR="00395AD8" w:rsidRDefault="00395AD8">
      <w:r>
        <w:t>____________________</w:t>
      </w:r>
    </w:p>
  </w:footnote>
  <w:footnote w:type="continuationSeparator" w:id="0">
    <w:p w14:paraId="2288C7B1" w14:textId="77777777" w:rsidR="00395AD8" w:rsidRDefault="00395AD8">
      <w:r>
        <w:continuationSeparator/>
      </w:r>
    </w:p>
  </w:footnote>
  <w:footnote w:type="continuationNotice" w:id="1">
    <w:p w14:paraId="5F6E5297" w14:textId="77777777" w:rsidR="00395AD8" w:rsidRDefault="00395AD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2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0E925" id="Rectangle 2" o:spid="_x0000_s1026" style="position:absolute;margin-left:44.9pt;margin-top:5pt;width:130.15pt;height:4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00939701" name="Picture 100939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79276"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5B8E296B"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AF5235">
                            <w:rPr>
                              <w:b/>
                              <w:bCs/>
                              <w:szCs w:val="24"/>
                            </w:rPr>
                            <w:t xml:space="preserve">financial </w:t>
                          </w:r>
                          <w:r w:rsidR="009F347C">
                            <w:rPr>
                              <w:b/>
                              <w:bCs/>
                              <w:szCs w:val="24"/>
                            </w:rPr>
                            <w:t xml:space="preserve">and </w:t>
                          </w:r>
                          <w:r w:rsidR="00AF5235">
                            <w:rPr>
                              <w:b/>
                              <w:bCs/>
                              <w:szCs w:val="24"/>
                            </w:rPr>
                            <w:t>human resources</w:t>
                          </w:r>
                          <w:r>
                            <w:br/>
                          </w:r>
                          <w:r w:rsidR="00E03C3D">
                            <w:rPr>
                              <w:sz w:val="20"/>
                            </w:rPr>
                            <w:t>Nine</w:t>
                          </w:r>
                          <w:r w:rsidR="00A94376">
                            <w:rPr>
                              <w:sz w:val="20"/>
                            </w:rPr>
                            <w:t>teenth</w:t>
                          </w:r>
                          <w:r w:rsidRPr="00130599">
                            <w:rPr>
                              <w:sz w:val="20"/>
                            </w:rPr>
                            <w:t xml:space="preserve"> meeting </w:t>
                          </w:r>
                          <w:r w:rsidR="00A94376">
                            <w:rPr>
                              <w:sz w:val="20"/>
                            </w:rPr>
                            <w:t>–</w:t>
                          </w:r>
                          <w:r w:rsidR="00B358B2">
                            <w:rPr>
                              <w:sz w:val="20"/>
                            </w:rPr>
                            <w:t xml:space="preserve"> </w:t>
                          </w:r>
                          <w:r w:rsidR="00E03C3D">
                            <w:rPr>
                              <w:sz w:val="20"/>
                            </w:rPr>
                            <w:t>From 7 to 9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17"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5B8E296B"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AF5235">
                      <w:rPr>
                        <w:b/>
                        <w:bCs/>
                        <w:szCs w:val="24"/>
                      </w:rPr>
                      <w:t xml:space="preserve">financial </w:t>
                    </w:r>
                    <w:r w:rsidR="009F347C">
                      <w:rPr>
                        <w:b/>
                        <w:bCs/>
                        <w:szCs w:val="24"/>
                      </w:rPr>
                      <w:t xml:space="preserve">and </w:t>
                    </w:r>
                    <w:r w:rsidR="00AF5235">
                      <w:rPr>
                        <w:b/>
                        <w:bCs/>
                        <w:szCs w:val="24"/>
                      </w:rPr>
                      <w:t>human resources</w:t>
                    </w:r>
                    <w:r>
                      <w:br/>
                    </w:r>
                    <w:r w:rsidR="00E03C3D">
                      <w:rPr>
                        <w:sz w:val="20"/>
                      </w:rPr>
                      <w:t>Nine</w:t>
                    </w:r>
                    <w:r w:rsidR="00A94376">
                      <w:rPr>
                        <w:sz w:val="20"/>
                      </w:rPr>
                      <w:t>teenth</w:t>
                    </w:r>
                    <w:r w:rsidRPr="00130599">
                      <w:rPr>
                        <w:sz w:val="20"/>
                      </w:rPr>
                      <w:t xml:space="preserve"> meeting </w:t>
                    </w:r>
                    <w:r w:rsidR="00A94376">
                      <w:rPr>
                        <w:sz w:val="20"/>
                      </w:rPr>
                      <w:t>–</w:t>
                    </w:r>
                    <w:r w:rsidR="00B358B2">
                      <w:rPr>
                        <w:sz w:val="20"/>
                      </w:rPr>
                      <w:t xml:space="preserve"> </w:t>
                    </w:r>
                    <w:r w:rsidR="00E03C3D">
                      <w:rPr>
                        <w:sz w:val="20"/>
                      </w:rPr>
                      <w:t>From 7 to 9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9506C06"/>
    <w:multiLevelType w:val="hybridMultilevel"/>
    <w:tmpl w:val="3F368726"/>
    <w:lvl w:ilvl="0" w:tplc="BAC6F556">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377338"/>
    <w:multiLevelType w:val="hybridMultilevel"/>
    <w:tmpl w:val="D95C5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F62EF7"/>
    <w:multiLevelType w:val="multilevel"/>
    <w:tmpl w:val="D4BE35F8"/>
    <w:lvl w:ilvl="0">
      <w:start w:val="1"/>
      <w:numFmt w:val="decimal"/>
      <w:lvlText w:val="%1"/>
      <w:lvlJc w:val="left"/>
      <w:pPr>
        <w:ind w:left="360" w:hanging="360"/>
      </w:pPr>
      <w:rPr>
        <w:rFonts w:cs="Calibri" w:hint="default"/>
        <w:b w:val="0"/>
        <w:color w:val="000000"/>
      </w:rPr>
    </w:lvl>
    <w:lvl w:ilvl="1">
      <w:start w:val="1"/>
      <w:numFmt w:val="decimal"/>
      <w:lvlText w:val="%1.%2"/>
      <w:lvlJc w:val="left"/>
      <w:pPr>
        <w:ind w:left="360" w:hanging="360"/>
      </w:pPr>
      <w:rPr>
        <w:rFonts w:cs="Calibri" w:hint="default"/>
        <w:b w:val="0"/>
        <w:color w:val="000000"/>
      </w:rPr>
    </w:lvl>
    <w:lvl w:ilvl="2">
      <w:start w:val="1"/>
      <w:numFmt w:val="decimal"/>
      <w:lvlText w:val="%1.%2.%3"/>
      <w:lvlJc w:val="left"/>
      <w:pPr>
        <w:ind w:left="720" w:hanging="720"/>
      </w:pPr>
      <w:rPr>
        <w:rFonts w:cs="Calibri" w:hint="default"/>
        <w:b w:val="0"/>
        <w:color w:val="000000"/>
      </w:rPr>
    </w:lvl>
    <w:lvl w:ilvl="3">
      <w:start w:val="1"/>
      <w:numFmt w:val="decimal"/>
      <w:lvlText w:val="%1.%2.%3.%4"/>
      <w:lvlJc w:val="left"/>
      <w:pPr>
        <w:ind w:left="720" w:hanging="720"/>
      </w:pPr>
      <w:rPr>
        <w:rFonts w:cs="Calibri" w:hint="default"/>
        <w:b w:val="0"/>
        <w:color w:val="000000"/>
      </w:rPr>
    </w:lvl>
    <w:lvl w:ilvl="4">
      <w:start w:val="1"/>
      <w:numFmt w:val="decimal"/>
      <w:lvlText w:val="%1.%2.%3.%4.%5"/>
      <w:lvlJc w:val="left"/>
      <w:pPr>
        <w:ind w:left="1080" w:hanging="1080"/>
      </w:pPr>
      <w:rPr>
        <w:rFonts w:cs="Calibri" w:hint="default"/>
        <w:b w:val="0"/>
        <w:color w:val="000000"/>
      </w:rPr>
    </w:lvl>
    <w:lvl w:ilvl="5">
      <w:start w:val="1"/>
      <w:numFmt w:val="decimal"/>
      <w:lvlText w:val="%1.%2.%3.%4.%5.%6"/>
      <w:lvlJc w:val="left"/>
      <w:pPr>
        <w:ind w:left="1080" w:hanging="1080"/>
      </w:pPr>
      <w:rPr>
        <w:rFonts w:cs="Calibri" w:hint="default"/>
        <w:b w:val="0"/>
        <w:color w:val="000000"/>
      </w:rPr>
    </w:lvl>
    <w:lvl w:ilvl="6">
      <w:start w:val="1"/>
      <w:numFmt w:val="decimal"/>
      <w:lvlText w:val="%1.%2.%3.%4.%5.%6.%7"/>
      <w:lvlJc w:val="left"/>
      <w:pPr>
        <w:ind w:left="1440" w:hanging="1440"/>
      </w:pPr>
      <w:rPr>
        <w:rFonts w:cs="Calibri" w:hint="default"/>
        <w:b w:val="0"/>
        <w:color w:val="000000"/>
      </w:rPr>
    </w:lvl>
    <w:lvl w:ilvl="7">
      <w:start w:val="1"/>
      <w:numFmt w:val="decimal"/>
      <w:lvlText w:val="%1.%2.%3.%4.%5.%6.%7.%8"/>
      <w:lvlJc w:val="left"/>
      <w:pPr>
        <w:ind w:left="1440" w:hanging="1440"/>
      </w:pPr>
      <w:rPr>
        <w:rFonts w:cs="Calibri" w:hint="default"/>
        <w:b w:val="0"/>
        <w:color w:val="000000"/>
      </w:rPr>
    </w:lvl>
    <w:lvl w:ilvl="8">
      <w:start w:val="1"/>
      <w:numFmt w:val="decimal"/>
      <w:lvlText w:val="%1.%2.%3.%4.%5.%6.%7.%8.%9"/>
      <w:lvlJc w:val="left"/>
      <w:pPr>
        <w:ind w:left="1800" w:hanging="1800"/>
      </w:pPr>
      <w:rPr>
        <w:rFonts w:cs="Calibri" w:hint="default"/>
        <w:b w:val="0"/>
        <w:color w:val="000000"/>
      </w:rPr>
    </w:lvl>
  </w:abstractNum>
  <w:abstractNum w:abstractNumId="4" w15:restartNumberingAfterBreak="0">
    <w:nsid w:val="79BBA48D"/>
    <w:multiLevelType w:val="hybridMultilevel"/>
    <w:tmpl w:val="FFFFFFFF"/>
    <w:lvl w:ilvl="0" w:tplc="F8A43E68">
      <w:start w:val="1"/>
      <w:numFmt w:val="bullet"/>
      <w:lvlText w:val=""/>
      <w:lvlJc w:val="left"/>
      <w:pPr>
        <w:ind w:left="720" w:hanging="360"/>
      </w:pPr>
      <w:rPr>
        <w:rFonts w:ascii="Symbol" w:hAnsi="Symbol" w:hint="default"/>
      </w:rPr>
    </w:lvl>
    <w:lvl w:ilvl="1" w:tplc="67B60698">
      <w:start w:val="1"/>
      <w:numFmt w:val="bullet"/>
      <w:lvlText w:val="o"/>
      <w:lvlJc w:val="left"/>
      <w:pPr>
        <w:ind w:left="1440" w:hanging="360"/>
      </w:pPr>
      <w:rPr>
        <w:rFonts w:ascii="Courier New" w:hAnsi="Courier New" w:hint="default"/>
      </w:rPr>
    </w:lvl>
    <w:lvl w:ilvl="2" w:tplc="4FD88666">
      <w:start w:val="1"/>
      <w:numFmt w:val="bullet"/>
      <w:lvlText w:val=""/>
      <w:lvlJc w:val="left"/>
      <w:pPr>
        <w:ind w:left="2160" w:hanging="360"/>
      </w:pPr>
      <w:rPr>
        <w:rFonts w:ascii="Wingdings" w:hAnsi="Wingdings" w:hint="default"/>
      </w:rPr>
    </w:lvl>
    <w:lvl w:ilvl="3" w:tplc="73D65E1E">
      <w:start w:val="1"/>
      <w:numFmt w:val="bullet"/>
      <w:lvlText w:val=""/>
      <w:lvlJc w:val="left"/>
      <w:pPr>
        <w:ind w:left="2880" w:hanging="360"/>
      </w:pPr>
      <w:rPr>
        <w:rFonts w:ascii="Symbol" w:hAnsi="Symbol" w:hint="default"/>
      </w:rPr>
    </w:lvl>
    <w:lvl w:ilvl="4" w:tplc="1E1ECF0C">
      <w:start w:val="1"/>
      <w:numFmt w:val="bullet"/>
      <w:lvlText w:val="o"/>
      <w:lvlJc w:val="left"/>
      <w:pPr>
        <w:ind w:left="3600" w:hanging="360"/>
      </w:pPr>
      <w:rPr>
        <w:rFonts w:ascii="Courier New" w:hAnsi="Courier New" w:hint="default"/>
      </w:rPr>
    </w:lvl>
    <w:lvl w:ilvl="5" w:tplc="988473B6">
      <w:start w:val="1"/>
      <w:numFmt w:val="bullet"/>
      <w:lvlText w:val=""/>
      <w:lvlJc w:val="left"/>
      <w:pPr>
        <w:ind w:left="4320" w:hanging="360"/>
      </w:pPr>
      <w:rPr>
        <w:rFonts w:ascii="Wingdings" w:hAnsi="Wingdings" w:hint="default"/>
      </w:rPr>
    </w:lvl>
    <w:lvl w:ilvl="6" w:tplc="8C924BF4">
      <w:start w:val="1"/>
      <w:numFmt w:val="bullet"/>
      <w:lvlText w:val=""/>
      <w:lvlJc w:val="left"/>
      <w:pPr>
        <w:ind w:left="5040" w:hanging="360"/>
      </w:pPr>
      <w:rPr>
        <w:rFonts w:ascii="Symbol" w:hAnsi="Symbol" w:hint="default"/>
      </w:rPr>
    </w:lvl>
    <w:lvl w:ilvl="7" w:tplc="354C21EC">
      <w:start w:val="1"/>
      <w:numFmt w:val="bullet"/>
      <w:lvlText w:val="o"/>
      <w:lvlJc w:val="left"/>
      <w:pPr>
        <w:ind w:left="5760" w:hanging="360"/>
      </w:pPr>
      <w:rPr>
        <w:rFonts w:ascii="Courier New" w:hAnsi="Courier New" w:hint="default"/>
      </w:rPr>
    </w:lvl>
    <w:lvl w:ilvl="8" w:tplc="DDBADFFE">
      <w:start w:val="1"/>
      <w:numFmt w:val="bullet"/>
      <w:lvlText w:val=""/>
      <w:lvlJc w:val="left"/>
      <w:pPr>
        <w:ind w:left="6480" w:hanging="360"/>
      </w:pPr>
      <w:rPr>
        <w:rFonts w:ascii="Wingdings" w:hAnsi="Wingdings" w:hint="default"/>
      </w:rPr>
    </w:lvl>
  </w:abstractNum>
  <w:num w:numId="1" w16cid:durableId="1374816267">
    <w:abstractNumId w:val="0"/>
  </w:num>
  <w:num w:numId="2" w16cid:durableId="539826101">
    <w:abstractNumId w:val="1"/>
  </w:num>
  <w:num w:numId="3" w16cid:durableId="1573152451">
    <w:abstractNumId w:val="3"/>
  </w:num>
  <w:num w:numId="4" w16cid:durableId="902712730">
    <w:abstractNumId w:val="4"/>
  </w:num>
  <w:num w:numId="5" w16cid:durableId="1153640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4125"/>
    <w:rsid w:val="000063C3"/>
    <w:rsid w:val="0000653E"/>
    <w:rsid w:val="00010789"/>
    <w:rsid w:val="000210D4"/>
    <w:rsid w:val="00036A4A"/>
    <w:rsid w:val="0003784A"/>
    <w:rsid w:val="000405B4"/>
    <w:rsid w:val="00043ADC"/>
    <w:rsid w:val="000507D2"/>
    <w:rsid w:val="000510E8"/>
    <w:rsid w:val="00053A64"/>
    <w:rsid w:val="00063016"/>
    <w:rsid w:val="00066795"/>
    <w:rsid w:val="00074E7A"/>
    <w:rsid w:val="00076AF6"/>
    <w:rsid w:val="0008508C"/>
    <w:rsid w:val="000855FE"/>
    <w:rsid w:val="00085CF2"/>
    <w:rsid w:val="0008640B"/>
    <w:rsid w:val="0008785B"/>
    <w:rsid w:val="00090783"/>
    <w:rsid w:val="000939B2"/>
    <w:rsid w:val="000A5CD4"/>
    <w:rsid w:val="000B0AAF"/>
    <w:rsid w:val="000B1705"/>
    <w:rsid w:val="000B2B00"/>
    <w:rsid w:val="000B590D"/>
    <w:rsid w:val="000B7625"/>
    <w:rsid w:val="000C24F8"/>
    <w:rsid w:val="000D75B2"/>
    <w:rsid w:val="000E66C2"/>
    <w:rsid w:val="000E7DC9"/>
    <w:rsid w:val="000F0CC9"/>
    <w:rsid w:val="00110002"/>
    <w:rsid w:val="001112EB"/>
    <w:rsid w:val="001121F5"/>
    <w:rsid w:val="001130C3"/>
    <w:rsid w:val="00130599"/>
    <w:rsid w:val="00130ABF"/>
    <w:rsid w:val="001359FA"/>
    <w:rsid w:val="00136C01"/>
    <w:rsid w:val="001400DC"/>
    <w:rsid w:val="00140CE1"/>
    <w:rsid w:val="00142053"/>
    <w:rsid w:val="00143666"/>
    <w:rsid w:val="00143691"/>
    <w:rsid w:val="00145167"/>
    <w:rsid w:val="001478FD"/>
    <w:rsid w:val="001751FF"/>
    <w:rsid w:val="0017539C"/>
    <w:rsid w:val="00175AC2"/>
    <w:rsid w:val="0017609F"/>
    <w:rsid w:val="0017631F"/>
    <w:rsid w:val="001828AD"/>
    <w:rsid w:val="001938FC"/>
    <w:rsid w:val="0019546B"/>
    <w:rsid w:val="0019628A"/>
    <w:rsid w:val="001968A7"/>
    <w:rsid w:val="00196FDA"/>
    <w:rsid w:val="001A07A4"/>
    <w:rsid w:val="001A1097"/>
    <w:rsid w:val="001A7027"/>
    <w:rsid w:val="001A7D1D"/>
    <w:rsid w:val="001B3693"/>
    <w:rsid w:val="001B4993"/>
    <w:rsid w:val="001B51DD"/>
    <w:rsid w:val="001B6BEA"/>
    <w:rsid w:val="001C628E"/>
    <w:rsid w:val="001D327B"/>
    <w:rsid w:val="001E0F7B"/>
    <w:rsid w:val="001E0FBE"/>
    <w:rsid w:val="001E4B14"/>
    <w:rsid w:val="001F501E"/>
    <w:rsid w:val="00205D07"/>
    <w:rsid w:val="002119FD"/>
    <w:rsid w:val="002130E0"/>
    <w:rsid w:val="0021365B"/>
    <w:rsid w:val="002149B7"/>
    <w:rsid w:val="00215A2C"/>
    <w:rsid w:val="00215CAA"/>
    <w:rsid w:val="00220B10"/>
    <w:rsid w:val="002231BC"/>
    <w:rsid w:val="00223EDA"/>
    <w:rsid w:val="002261DA"/>
    <w:rsid w:val="00226B79"/>
    <w:rsid w:val="00226D7B"/>
    <w:rsid w:val="00233763"/>
    <w:rsid w:val="002404ED"/>
    <w:rsid w:val="0024302F"/>
    <w:rsid w:val="00244F7F"/>
    <w:rsid w:val="002455A3"/>
    <w:rsid w:val="00256499"/>
    <w:rsid w:val="00260ACE"/>
    <w:rsid w:val="00262D52"/>
    <w:rsid w:val="00264425"/>
    <w:rsid w:val="00265875"/>
    <w:rsid w:val="00267103"/>
    <w:rsid w:val="0027303B"/>
    <w:rsid w:val="0028109B"/>
    <w:rsid w:val="00287F36"/>
    <w:rsid w:val="002927EA"/>
    <w:rsid w:val="0029478D"/>
    <w:rsid w:val="00296B9F"/>
    <w:rsid w:val="00296E20"/>
    <w:rsid w:val="00297495"/>
    <w:rsid w:val="00297D81"/>
    <w:rsid w:val="002A0784"/>
    <w:rsid w:val="002A166C"/>
    <w:rsid w:val="002A2188"/>
    <w:rsid w:val="002B08B5"/>
    <w:rsid w:val="002B1F58"/>
    <w:rsid w:val="002B6B35"/>
    <w:rsid w:val="002B6F9E"/>
    <w:rsid w:val="002C1548"/>
    <w:rsid w:val="002C1C7A"/>
    <w:rsid w:val="002C4D07"/>
    <w:rsid w:val="002C54E2"/>
    <w:rsid w:val="002C5652"/>
    <w:rsid w:val="002D1F20"/>
    <w:rsid w:val="002D43B8"/>
    <w:rsid w:val="002E2572"/>
    <w:rsid w:val="002E5587"/>
    <w:rsid w:val="002E6414"/>
    <w:rsid w:val="002F3DAD"/>
    <w:rsid w:val="0030160F"/>
    <w:rsid w:val="00313F00"/>
    <w:rsid w:val="0031780B"/>
    <w:rsid w:val="00317B7A"/>
    <w:rsid w:val="00320223"/>
    <w:rsid w:val="00322D0D"/>
    <w:rsid w:val="0032332A"/>
    <w:rsid w:val="0032335F"/>
    <w:rsid w:val="003269C3"/>
    <w:rsid w:val="00327453"/>
    <w:rsid w:val="00332BFC"/>
    <w:rsid w:val="003403DB"/>
    <w:rsid w:val="00341D8F"/>
    <w:rsid w:val="00351B9C"/>
    <w:rsid w:val="00355A7D"/>
    <w:rsid w:val="003605B8"/>
    <w:rsid w:val="00361465"/>
    <w:rsid w:val="003724E0"/>
    <w:rsid w:val="00377BAC"/>
    <w:rsid w:val="003815CD"/>
    <w:rsid w:val="00384832"/>
    <w:rsid w:val="00387098"/>
    <w:rsid w:val="003877F5"/>
    <w:rsid w:val="00387F40"/>
    <w:rsid w:val="003921EB"/>
    <w:rsid w:val="00392CAB"/>
    <w:rsid w:val="003942D4"/>
    <w:rsid w:val="003958A8"/>
    <w:rsid w:val="00395AD8"/>
    <w:rsid w:val="00397246"/>
    <w:rsid w:val="0039745F"/>
    <w:rsid w:val="003A07A5"/>
    <w:rsid w:val="003A156F"/>
    <w:rsid w:val="003A5BF1"/>
    <w:rsid w:val="003C10FD"/>
    <w:rsid w:val="003C2533"/>
    <w:rsid w:val="003D55B9"/>
    <w:rsid w:val="003D5A7F"/>
    <w:rsid w:val="003E2F2B"/>
    <w:rsid w:val="003E7521"/>
    <w:rsid w:val="003F1BFB"/>
    <w:rsid w:val="003F541C"/>
    <w:rsid w:val="003F7C8B"/>
    <w:rsid w:val="004016E2"/>
    <w:rsid w:val="00402394"/>
    <w:rsid w:val="0040435A"/>
    <w:rsid w:val="00405288"/>
    <w:rsid w:val="0040590C"/>
    <w:rsid w:val="00407988"/>
    <w:rsid w:val="0041131B"/>
    <w:rsid w:val="00412891"/>
    <w:rsid w:val="00416A24"/>
    <w:rsid w:val="00427947"/>
    <w:rsid w:val="00431D9E"/>
    <w:rsid w:val="00432D08"/>
    <w:rsid w:val="00433CE8"/>
    <w:rsid w:val="00434A5C"/>
    <w:rsid w:val="00445990"/>
    <w:rsid w:val="00450252"/>
    <w:rsid w:val="004544D9"/>
    <w:rsid w:val="00462502"/>
    <w:rsid w:val="00470956"/>
    <w:rsid w:val="00471950"/>
    <w:rsid w:val="00472BAD"/>
    <w:rsid w:val="004817EC"/>
    <w:rsid w:val="004836D1"/>
    <w:rsid w:val="00484009"/>
    <w:rsid w:val="00490E72"/>
    <w:rsid w:val="00491157"/>
    <w:rsid w:val="004919D2"/>
    <w:rsid w:val="004921C8"/>
    <w:rsid w:val="00494E9E"/>
    <w:rsid w:val="00495B0B"/>
    <w:rsid w:val="004A1B8B"/>
    <w:rsid w:val="004A3552"/>
    <w:rsid w:val="004B37C4"/>
    <w:rsid w:val="004C4EE1"/>
    <w:rsid w:val="004D1851"/>
    <w:rsid w:val="004D4AA4"/>
    <w:rsid w:val="004D599D"/>
    <w:rsid w:val="004E2037"/>
    <w:rsid w:val="004E2EA5"/>
    <w:rsid w:val="004E3AEB"/>
    <w:rsid w:val="004E5C27"/>
    <w:rsid w:val="004E6C17"/>
    <w:rsid w:val="004E7C2C"/>
    <w:rsid w:val="004F1F6C"/>
    <w:rsid w:val="004F415A"/>
    <w:rsid w:val="0050223C"/>
    <w:rsid w:val="00514CF2"/>
    <w:rsid w:val="005243FF"/>
    <w:rsid w:val="0053220B"/>
    <w:rsid w:val="0054340F"/>
    <w:rsid w:val="00545222"/>
    <w:rsid w:val="0055043F"/>
    <w:rsid w:val="00556BBF"/>
    <w:rsid w:val="00557BC6"/>
    <w:rsid w:val="00562B6B"/>
    <w:rsid w:val="005637F2"/>
    <w:rsid w:val="00564FBC"/>
    <w:rsid w:val="00566B56"/>
    <w:rsid w:val="005800BC"/>
    <w:rsid w:val="00582442"/>
    <w:rsid w:val="0058464C"/>
    <w:rsid w:val="00594067"/>
    <w:rsid w:val="00597589"/>
    <w:rsid w:val="005A335D"/>
    <w:rsid w:val="005B1FC4"/>
    <w:rsid w:val="005B1FE9"/>
    <w:rsid w:val="005B6C0D"/>
    <w:rsid w:val="005B7298"/>
    <w:rsid w:val="005C392B"/>
    <w:rsid w:val="005C5803"/>
    <w:rsid w:val="005D1914"/>
    <w:rsid w:val="005E2BD5"/>
    <w:rsid w:val="005E6004"/>
    <w:rsid w:val="005F052D"/>
    <w:rsid w:val="005F3269"/>
    <w:rsid w:val="005F374A"/>
    <w:rsid w:val="005F547D"/>
    <w:rsid w:val="005F6149"/>
    <w:rsid w:val="005F625A"/>
    <w:rsid w:val="005F66CD"/>
    <w:rsid w:val="0060015C"/>
    <w:rsid w:val="00601E43"/>
    <w:rsid w:val="006040FC"/>
    <w:rsid w:val="006044EF"/>
    <w:rsid w:val="00612107"/>
    <w:rsid w:val="00612F6C"/>
    <w:rsid w:val="00622A85"/>
    <w:rsid w:val="006230B9"/>
    <w:rsid w:val="00623AE3"/>
    <w:rsid w:val="0062657C"/>
    <w:rsid w:val="0063420A"/>
    <w:rsid w:val="0064466C"/>
    <w:rsid w:val="0064737F"/>
    <w:rsid w:val="006535F1"/>
    <w:rsid w:val="0065557D"/>
    <w:rsid w:val="00656310"/>
    <w:rsid w:val="00660D50"/>
    <w:rsid w:val="00662984"/>
    <w:rsid w:val="006716BB"/>
    <w:rsid w:val="00676C7D"/>
    <w:rsid w:val="006776C8"/>
    <w:rsid w:val="00680881"/>
    <w:rsid w:val="006867C9"/>
    <w:rsid w:val="0069169D"/>
    <w:rsid w:val="006922C0"/>
    <w:rsid w:val="00692616"/>
    <w:rsid w:val="006A76DE"/>
    <w:rsid w:val="006B1859"/>
    <w:rsid w:val="006B381C"/>
    <w:rsid w:val="006B406E"/>
    <w:rsid w:val="006B6680"/>
    <w:rsid w:val="006B6DCC"/>
    <w:rsid w:val="006C10FD"/>
    <w:rsid w:val="006C201A"/>
    <w:rsid w:val="006C7788"/>
    <w:rsid w:val="006D17E6"/>
    <w:rsid w:val="006D4E0A"/>
    <w:rsid w:val="006E07F2"/>
    <w:rsid w:val="006E21BB"/>
    <w:rsid w:val="006E2F17"/>
    <w:rsid w:val="006E3616"/>
    <w:rsid w:val="006E7761"/>
    <w:rsid w:val="006F01E3"/>
    <w:rsid w:val="006F09E5"/>
    <w:rsid w:val="006F54B4"/>
    <w:rsid w:val="00702DEF"/>
    <w:rsid w:val="0070594E"/>
    <w:rsid w:val="00706861"/>
    <w:rsid w:val="00710190"/>
    <w:rsid w:val="00713844"/>
    <w:rsid w:val="00722315"/>
    <w:rsid w:val="00725B0B"/>
    <w:rsid w:val="00726742"/>
    <w:rsid w:val="007315EE"/>
    <w:rsid w:val="00741F70"/>
    <w:rsid w:val="0074250C"/>
    <w:rsid w:val="0075051B"/>
    <w:rsid w:val="007524CC"/>
    <w:rsid w:val="00757920"/>
    <w:rsid w:val="00772032"/>
    <w:rsid w:val="00775655"/>
    <w:rsid w:val="00792D15"/>
    <w:rsid w:val="00793188"/>
    <w:rsid w:val="00793B20"/>
    <w:rsid w:val="00794A42"/>
    <w:rsid w:val="00794D34"/>
    <w:rsid w:val="007A0396"/>
    <w:rsid w:val="007A76AC"/>
    <w:rsid w:val="007A7A48"/>
    <w:rsid w:val="007B310B"/>
    <w:rsid w:val="007C4D31"/>
    <w:rsid w:val="007C4E23"/>
    <w:rsid w:val="007D66F5"/>
    <w:rsid w:val="007E5398"/>
    <w:rsid w:val="007E627A"/>
    <w:rsid w:val="007E6E66"/>
    <w:rsid w:val="007F369E"/>
    <w:rsid w:val="007F7B95"/>
    <w:rsid w:val="008013FB"/>
    <w:rsid w:val="00801F94"/>
    <w:rsid w:val="00803274"/>
    <w:rsid w:val="0080455C"/>
    <w:rsid w:val="00810770"/>
    <w:rsid w:val="0081114F"/>
    <w:rsid w:val="00812431"/>
    <w:rsid w:val="00813E5E"/>
    <w:rsid w:val="00826289"/>
    <w:rsid w:val="0083487C"/>
    <w:rsid w:val="0083581B"/>
    <w:rsid w:val="00841292"/>
    <w:rsid w:val="0085034E"/>
    <w:rsid w:val="00853632"/>
    <w:rsid w:val="00855F74"/>
    <w:rsid w:val="008565E0"/>
    <w:rsid w:val="00863874"/>
    <w:rsid w:val="00864AFF"/>
    <w:rsid w:val="0086587C"/>
    <w:rsid w:val="00865925"/>
    <w:rsid w:val="008662C2"/>
    <w:rsid w:val="008721CC"/>
    <w:rsid w:val="00881D96"/>
    <w:rsid w:val="00884350"/>
    <w:rsid w:val="00890BDE"/>
    <w:rsid w:val="00891503"/>
    <w:rsid w:val="008A71CB"/>
    <w:rsid w:val="008B330B"/>
    <w:rsid w:val="008B4A6A"/>
    <w:rsid w:val="008B5625"/>
    <w:rsid w:val="008C30ED"/>
    <w:rsid w:val="008C7E27"/>
    <w:rsid w:val="008D1FEE"/>
    <w:rsid w:val="008D6359"/>
    <w:rsid w:val="008D7A82"/>
    <w:rsid w:val="008E34FF"/>
    <w:rsid w:val="008E402E"/>
    <w:rsid w:val="008E51B6"/>
    <w:rsid w:val="008F7448"/>
    <w:rsid w:val="008F7516"/>
    <w:rsid w:val="0090147A"/>
    <w:rsid w:val="00904002"/>
    <w:rsid w:val="009173EF"/>
    <w:rsid w:val="00917AA4"/>
    <w:rsid w:val="009258FF"/>
    <w:rsid w:val="0092727F"/>
    <w:rsid w:val="00932906"/>
    <w:rsid w:val="00940030"/>
    <w:rsid w:val="0094381E"/>
    <w:rsid w:val="00947F56"/>
    <w:rsid w:val="00956C86"/>
    <w:rsid w:val="00960190"/>
    <w:rsid w:val="00961B0B"/>
    <w:rsid w:val="00962C02"/>
    <w:rsid w:val="00962D33"/>
    <w:rsid w:val="00971C28"/>
    <w:rsid w:val="009729B4"/>
    <w:rsid w:val="00976A35"/>
    <w:rsid w:val="00976C7B"/>
    <w:rsid w:val="0098546E"/>
    <w:rsid w:val="00991739"/>
    <w:rsid w:val="00994BB9"/>
    <w:rsid w:val="00994FAF"/>
    <w:rsid w:val="009A7722"/>
    <w:rsid w:val="009B13DD"/>
    <w:rsid w:val="009B2D4B"/>
    <w:rsid w:val="009B2E80"/>
    <w:rsid w:val="009B3136"/>
    <w:rsid w:val="009B38C3"/>
    <w:rsid w:val="009C253A"/>
    <w:rsid w:val="009C3934"/>
    <w:rsid w:val="009D06DB"/>
    <w:rsid w:val="009E17BD"/>
    <w:rsid w:val="009E485A"/>
    <w:rsid w:val="009E78B5"/>
    <w:rsid w:val="009F347C"/>
    <w:rsid w:val="00A01C77"/>
    <w:rsid w:val="00A04CEC"/>
    <w:rsid w:val="00A233EE"/>
    <w:rsid w:val="00A25991"/>
    <w:rsid w:val="00A26110"/>
    <w:rsid w:val="00A27F92"/>
    <w:rsid w:val="00A32257"/>
    <w:rsid w:val="00A34664"/>
    <w:rsid w:val="00A36D20"/>
    <w:rsid w:val="00A514A4"/>
    <w:rsid w:val="00A52C84"/>
    <w:rsid w:val="00A55622"/>
    <w:rsid w:val="00A569B2"/>
    <w:rsid w:val="00A61271"/>
    <w:rsid w:val="00A6199C"/>
    <w:rsid w:val="00A64ADE"/>
    <w:rsid w:val="00A67E16"/>
    <w:rsid w:val="00A7016A"/>
    <w:rsid w:val="00A702AE"/>
    <w:rsid w:val="00A71B02"/>
    <w:rsid w:val="00A737A6"/>
    <w:rsid w:val="00A7698D"/>
    <w:rsid w:val="00A80473"/>
    <w:rsid w:val="00A81706"/>
    <w:rsid w:val="00A83502"/>
    <w:rsid w:val="00A94376"/>
    <w:rsid w:val="00AA0110"/>
    <w:rsid w:val="00AA2ED6"/>
    <w:rsid w:val="00AA4B27"/>
    <w:rsid w:val="00AB149F"/>
    <w:rsid w:val="00AB3B42"/>
    <w:rsid w:val="00AB59F1"/>
    <w:rsid w:val="00AC1C04"/>
    <w:rsid w:val="00AC260D"/>
    <w:rsid w:val="00AC39A7"/>
    <w:rsid w:val="00AC4C0C"/>
    <w:rsid w:val="00AD15B3"/>
    <w:rsid w:val="00AD2ECF"/>
    <w:rsid w:val="00AD3606"/>
    <w:rsid w:val="00AD4A3D"/>
    <w:rsid w:val="00AE23BB"/>
    <w:rsid w:val="00AE5704"/>
    <w:rsid w:val="00AF5235"/>
    <w:rsid w:val="00AF6E49"/>
    <w:rsid w:val="00B04A67"/>
    <w:rsid w:val="00B0583C"/>
    <w:rsid w:val="00B1033B"/>
    <w:rsid w:val="00B11EEC"/>
    <w:rsid w:val="00B16456"/>
    <w:rsid w:val="00B333B0"/>
    <w:rsid w:val="00B34B5D"/>
    <w:rsid w:val="00B3526C"/>
    <w:rsid w:val="00B358B2"/>
    <w:rsid w:val="00B35DFC"/>
    <w:rsid w:val="00B37958"/>
    <w:rsid w:val="00B409FA"/>
    <w:rsid w:val="00B40A81"/>
    <w:rsid w:val="00B4354D"/>
    <w:rsid w:val="00B437BD"/>
    <w:rsid w:val="00B44910"/>
    <w:rsid w:val="00B4701A"/>
    <w:rsid w:val="00B53331"/>
    <w:rsid w:val="00B55CAD"/>
    <w:rsid w:val="00B72267"/>
    <w:rsid w:val="00B75D13"/>
    <w:rsid w:val="00B75E94"/>
    <w:rsid w:val="00B76917"/>
    <w:rsid w:val="00B76EB6"/>
    <w:rsid w:val="00B7737B"/>
    <w:rsid w:val="00B80244"/>
    <w:rsid w:val="00B824C8"/>
    <w:rsid w:val="00B84B9D"/>
    <w:rsid w:val="00B862E8"/>
    <w:rsid w:val="00B9035D"/>
    <w:rsid w:val="00B9449D"/>
    <w:rsid w:val="00BA36A1"/>
    <w:rsid w:val="00BA470C"/>
    <w:rsid w:val="00BA54CE"/>
    <w:rsid w:val="00BB5AF6"/>
    <w:rsid w:val="00BB5D3A"/>
    <w:rsid w:val="00BC0C97"/>
    <w:rsid w:val="00BC251A"/>
    <w:rsid w:val="00BC3C4A"/>
    <w:rsid w:val="00BC3D8C"/>
    <w:rsid w:val="00BC79C7"/>
    <w:rsid w:val="00BD032B"/>
    <w:rsid w:val="00BD1693"/>
    <w:rsid w:val="00BD555F"/>
    <w:rsid w:val="00BE1038"/>
    <w:rsid w:val="00BE2640"/>
    <w:rsid w:val="00BE4C67"/>
    <w:rsid w:val="00C00897"/>
    <w:rsid w:val="00C01189"/>
    <w:rsid w:val="00C0355C"/>
    <w:rsid w:val="00C076F4"/>
    <w:rsid w:val="00C12709"/>
    <w:rsid w:val="00C2055F"/>
    <w:rsid w:val="00C20CFB"/>
    <w:rsid w:val="00C27372"/>
    <w:rsid w:val="00C374DE"/>
    <w:rsid w:val="00C47AD4"/>
    <w:rsid w:val="00C504CC"/>
    <w:rsid w:val="00C511CF"/>
    <w:rsid w:val="00C52D81"/>
    <w:rsid w:val="00C5319D"/>
    <w:rsid w:val="00C55198"/>
    <w:rsid w:val="00C64335"/>
    <w:rsid w:val="00C7150A"/>
    <w:rsid w:val="00C83DBE"/>
    <w:rsid w:val="00C9225F"/>
    <w:rsid w:val="00CA4185"/>
    <w:rsid w:val="00CA6393"/>
    <w:rsid w:val="00CA7CB8"/>
    <w:rsid w:val="00CB1152"/>
    <w:rsid w:val="00CB1566"/>
    <w:rsid w:val="00CB18FF"/>
    <w:rsid w:val="00CB41DA"/>
    <w:rsid w:val="00CC1EBC"/>
    <w:rsid w:val="00CC6C64"/>
    <w:rsid w:val="00CD0C08"/>
    <w:rsid w:val="00CD256C"/>
    <w:rsid w:val="00CD6051"/>
    <w:rsid w:val="00CE03FB"/>
    <w:rsid w:val="00CE0840"/>
    <w:rsid w:val="00CE433C"/>
    <w:rsid w:val="00CF0161"/>
    <w:rsid w:val="00CF32BB"/>
    <w:rsid w:val="00CF33F3"/>
    <w:rsid w:val="00CF7DE2"/>
    <w:rsid w:val="00D06183"/>
    <w:rsid w:val="00D150F1"/>
    <w:rsid w:val="00D1689D"/>
    <w:rsid w:val="00D20712"/>
    <w:rsid w:val="00D22C42"/>
    <w:rsid w:val="00D23026"/>
    <w:rsid w:val="00D27D52"/>
    <w:rsid w:val="00D408BC"/>
    <w:rsid w:val="00D42CE7"/>
    <w:rsid w:val="00D43CC7"/>
    <w:rsid w:val="00D449A5"/>
    <w:rsid w:val="00D44DA0"/>
    <w:rsid w:val="00D45F88"/>
    <w:rsid w:val="00D464CC"/>
    <w:rsid w:val="00D61E52"/>
    <w:rsid w:val="00D63C7F"/>
    <w:rsid w:val="00D64556"/>
    <w:rsid w:val="00D64E1B"/>
    <w:rsid w:val="00D65041"/>
    <w:rsid w:val="00D6688A"/>
    <w:rsid w:val="00D73555"/>
    <w:rsid w:val="00D73FB9"/>
    <w:rsid w:val="00D7423D"/>
    <w:rsid w:val="00D80D45"/>
    <w:rsid w:val="00D87C3B"/>
    <w:rsid w:val="00D90296"/>
    <w:rsid w:val="00D914BD"/>
    <w:rsid w:val="00D92C4E"/>
    <w:rsid w:val="00D93080"/>
    <w:rsid w:val="00D96E2E"/>
    <w:rsid w:val="00D97C7C"/>
    <w:rsid w:val="00DB00D5"/>
    <w:rsid w:val="00DB07B4"/>
    <w:rsid w:val="00DB0C99"/>
    <w:rsid w:val="00DB1936"/>
    <w:rsid w:val="00DB384B"/>
    <w:rsid w:val="00DB3AD7"/>
    <w:rsid w:val="00DB64AE"/>
    <w:rsid w:val="00DF0189"/>
    <w:rsid w:val="00DF71F8"/>
    <w:rsid w:val="00E03C3D"/>
    <w:rsid w:val="00E06FD5"/>
    <w:rsid w:val="00E10E80"/>
    <w:rsid w:val="00E111C1"/>
    <w:rsid w:val="00E11291"/>
    <w:rsid w:val="00E124F0"/>
    <w:rsid w:val="00E12D69"/>
    <w:rsid w:val="00E227F3"/>
    <w:rsid w:val="00E25F9D"/>
    <w:rsid w:val="00E26347"/>
    <w:rsid w:val="00E545C6"/>
    <w:rsid w:val="00E60E92"/>
    <w:rsid w:val="00E60F04"/>
    <w:rsid w:val="00E65B24"/>
    <w:rsid w:val="00E664B5"/>
    <w:rsid w:val="00E6747B"/>
    <w:rsid w:val="00E81995"/>
    <w:rsid w:val="00E81AF7"/>
    <w:rsid w:val="00E854E4"/>
    <w:rsid w:val="00E86DBF"/>
    <w:rsid w:val="00EB0D6F"/>
    <w:rsid w:val="00EB1BF8"/>
    <w:rsid w:val="00EB2232"/>
    <w:rsid w:val="00EB5790"/>
    <w:rsid w:val="00EB7628"/>
    <w:rsid w:val="00EB76FB"/>
    <w:rsid w:val="00EC44FC"/>
    <w:rsid w:val="00EC489A"/>
    <w:rsid w:val="00EC4AD1"/>
    <w:rsid w:val="00EC5337"/>
    <w:rsid w:val="00ED0BF0"/>
    <w:rsid w:val="00ED454D"/>
    <w:rsid w:val="00ED468C"/>
    <w:rsid w:val="00EE27FD"/>
    <w:rsid w:val="00EE49E8"/>
    <w:rsid w:val="00EF05A8"/>
    <w:rsid w:val="00EF3AB5"/>
    <w:rsid w:val="00F016A2"/>
    <w:rsid w:val="00F0183D"/>
    <w:rsid w:val="00F075C3"/>
    <w:rsid w:val="00F15277"/>
    <w:rsid w:val="00F16BAB"/>
    <w:rsid w:val="00F2150A"/>
    <w:rsid w:val="00F231D8"/>
    <w:rsid w:val="00F26BD4"/>
    <w:rsid w:val="00F26D7A"/>
    <w:rsid w:val="00F3420F"/>
    <w:rsid w:val="00F351E7"/>
    <w:rsid w:val="00F44C00"/>
    <w:rsid w:val="00F45D2C"/>
    <w:rsid w:val="00F46C5F"/>
    <w:rsid w:val="00F54251"/>
    <w:rsid w:val="00F632C0"/>
    <w:rsid w:val="00F74694"/>
    <w:rsid w:val="00F75A7F"/>
    <w:rsid w:val="00F87814"/>
    <w:rsid w:val="00F9037A"/>
    <w:rsid w:val="00F9328D"/>
    <w:rsid w:val="00F94A63"/>
    <w:rsid w:val="00F955D2"/>
    <w:rsid w:val="00FA1C28"/>
    <w:rsid w:val="00FA1DD9"/>
    <w:rsid w:val="00FA48F4"/>
    <w:rsid w:val="00FB0A0C"/>
    <w:rsid w:val="00FB1279"/>
    <w:rsid w:val="00FB6B76"/>
    <w:rsid w:val="00FB7596"/>
    <w:rsid w:val="00FC10CA"/>
    <w:rsid w:val="00FC15DD"/>
    <w:rsid w:val="00FC196D"/>
    <w:rsid w:val="00FC3250"/>
    <w:rsid w:val="00FD1A15"/>
    <w:rsid w:val="00FD2737"/>
    <w:rsid w:val="00FD7016"/>
    <w:rsid w:val="00FE1CDB"/>
    <w:rsid w:val="00FE4077"/>
    <w:rsid w:val="00FE500D"/>
    <w:rsid w:val="00FE77D2"/>
    <w:rsid w:val="00FF577F"/>
    <w:rsid w:val="08C51362"/>
    <w:rsid w:val="4BB89E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A9C6423E-C77F-43EC-B22D-8A3DADEF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0770"/>
    <w:pPr>
      <w:tabs>
        <w:tab w:val="clear" w:pos="567"/>
        <w:tab w:val="clear" w:pos="1134"/>
        <w:tab w:val="clear" w:pos="1701"/>
        <w:tab w:val="clear" w:pos="2268"/>
        <w:tab w:val="clear" w:pos="2835"/>
      </w:tabs>
      <w:spacing w:after="60"/>
    </w:pPr>
    <w:rPr>
      <w:szCs w:val="24"/>
      <w:lang w:val="en-US"/>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after="120"/>
      <w:jc w:val="center"/>
    </w:pPr>
    <w:rPr>
      <w:b/>
    </w:rPr>
  </w:style>
  <w:style w:type="paragraph" w:customStyle="1" w:styleId="Tablelegend">
    <w:name w:val="Table_legend"/>
    <w:basedOn w:val="Tabletext"/>
    <w:rsid w:val="00813E5E"/>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D7016"/>
    <w:rPr>
      <w:color w:val="605E5C"/>
      <w:shd w:val="clear" w:color="auto" w:fill="E1DFDD"/>
    </w:rPr>
  </w:style>
  <w:style w:type="paragraph" w:styleId="Signature">
    <w:name w:val="Signature"/>
    <w:basedOn w:val="Normal"/>
    <w:link w:val="SignatureChar"/>
    <w:unhideWhenUsed/>
    <w:rsid w:val="002E5587"/>
    <w:pPr>
      <w:tabs>
        <w:tab w:val="clear" w:pos="567"/>
        <w:tab w:val="clear" w:pos="1134"/>
        <w:tab w:val="clear" w:pos="1701"/>
        <w:tab w:val="clear" w:pos="2268"/>
        <w:tab w:val="clear" w:pos="2835"/>
        <w:tab w:val="center" w:pos="6804"/>
      </w:tabs>
      <w:spacing w:before="720"/>
    </w:pPr>
  </w:style>
  <w:style w:type="character" w:customStyle="1" w:styleId="SignatureChar">
    <w:name w:val="Signature Char"/>
    <w:basedOn w:val="DefaultParagraphFont"/>
    <w:link w:val="Signature"/>
    <w:rsid w:val="002E5587"/>
    <w:rPr>
      <w:rFonts w:ascii="Calibri" w:hAnsi="Calibri"/>
      <w:sz w:val="24"/>
      <w:lang w:val="en-GB" w:eastAsia="en-US"/>
    </w:rPr>
  </w:style>
  <w:style w:type="paragraph" w:customStyle="1" w:styleId="TitleAgenda">
    <w:name w:val="Title_Agenda"/>
    <w:basedOn w:val="Normal"/>
    <w:rsid w:val="002E5587"/>
    <w:pPr>
      <w:tabs>
        <w:tab w:val="clear" w:pos="567"/>
        <w:tab w:val="clear" w:pos="1134"/>
        <w:tab w:val="clear" w:pos="1701"/>
        <w:tab w:val="left" w:pos="794"/>
        <w:tab w:val="left" w:pos="1191"/>
        <w:tab w:val="left" w:pos="1588"/>
        <w:tab w:val="left" w:pos="1985"/>
      </w:tabs>
      <w:spacing w:before="720"/>
      <w:jc w:val="center"/>
    </w:pPr>
    <w:rPr>
      <w:rFonts w:cs="Calibri"/>
      <w:bCs/>
      <w:sz w:val="28"/>
      <w:szCs w:val="28"/>
    </w:rPr>
  </w:style>
  <w:style w:type="paragraph" w:customStyle="1" w:styleId="CWG-EGName">
    <w:name w:val="CWG-EG_Name"/>
    <w:basedOn w:val="Normal"/>
    <w:rsid w:val="002E5587"/>
    <w:pPr>
      <w:tabs>
        <w:tab w:val="clear" w:pos="567"/>
        <w:tab w:val="clear" w:pos="1134"/>
        <w:tab w:val="clear" w:pos="1701"/>
        <w:tab w:val="left" w:pos="794"/>
        <w:tab w:val="left" w:pos="1191"/>
        <w:tab w:val="left" w:pos="1588"/>
        <w:tab w:val="left" w:pos="1985"/>
      </w:tabs>
      <w:jc w:val="center"/>
    </w:pPr>
    <w:rPr>
      <w:rFonts w:cs="Calibri"/>
      <w:b/>
      <w:sz w:val="28"/>
      <w:szCs w:val="28"/>
    </w:rPr>
  </w:style>
  <w:style w:type="paragraph" w:customStyle="1" w:styleId="Meetingdate">
    <w:name w:val="Meeting date"/>
    <w:basedOn w:val="Normal"/>
    <w:rsid w:val="004A3552"/>
    <w:pPr>
      <w:tabs>
        <w:tab w:val="clear" w:pos="567"/>
        <w:tab w:val="clear" w:pos="1134"/>
        <w:tab w:val="clear" w:pos="1701"/>
        <w:tab w:val="left" w:pos="794"/>
        <w:tab w:val="left" w:pos="1191"/>
        <w:tab w:val="left" w:pos="1588"/>
        <w:tab w:val="left" w:pos="1985"/>
      </w:tabs>
      <w:jc w:val="center"/>
    </w:pPr>
    <w:rPr>
      <w:rFonts w:cs="Calibri"/>
      <w:bCs/>
    </w:rPr>
  </w:style>
  <w:style w:type="paragraph" w:customStyle="1" w:styleId="Meetingroom">
    <w:name w:val="Meeting room"/>
    <w:basedOn w:val="Normal"/>
    <w:rsid w:val="004A3552"/>
    <w:pPr>
      <w:tabs>
        <w:tab w:val="clear" w:pos="567"/>
        <w:tab w:val="clear" w:pos="1134"/>
        <w:tab w:val="clear" w:pos="1701"/>
        <w:tab w:val="left" w:pos="794"/>
        <w:tab w:val="left" w:pos="1191"/>
        <w:tab w:val="left" w:pos="1588"/>
        <w:tab w:val="left" w:pos="1985"/>
      </w:tabs>
      <w:spacing w:after="240"/>
      <w:jc w:val="center"/>
    </w:pPr>
    <w:rPr>
      <w:rFonts w:cs="Calibri"/>
      <w:b/>
    </w:rPr>
  </w:style>
  <w:style w:type="paragraph" w:styleId="Revision">
    <w:name w:val="Revision"/>
    <w:hidden/>
    <w:uiPriority w:val="99"/>
    <w:semiHidden/>
    <w:rsid w:val="00F15277"/>
    <w:rPr>
      <w:rFonts w:ascii="Calibri" w:hAnsi="Calibri"/>
      <w:sz w:val="24"/>
      <w:lang w:val="en-GB" w:eastAsia="en-US"/>
    </w:rPr>
  </w:style>
  <w:style w:type="paragraph" w:styleId="NormalWeb">
    <w:name w:val="Normal (Web)"/>
    <w:basedOn w:val="Normal"/>
    <w:uiPriority w:val="99"/>
    <w:unhideWhenUsed/>
    <w:rsid w:val="00AB59F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ListParagraph">
    <w:name w:val="List Paragraph"/>
    <w:aliases w:val="Recommendation,List Paragraph11,List Paragraph 1,List Paragraph1"/>
    <w:basedOn w:val="Normal"/>
    <w:link w:val="ListParagraphChar"/>
    <w:uiPriority w:val="34"/>
    <w:qFormat/>
    <w:rsid w:val="00262D52"/>
    <w:pPr>
      <w:tabs>
        <w:tab w:val="clear" w:pos="567"/>
        <w:tab w:val="clear" w:pos="1134"/>
        <w:tab w:val="clear" w:pos="1701"/>
        <w:tab w:val="clear" w:pos="2268"/>
        <w:tab w:val="clear" w:pos="2835"/>
      </w:tabs>
      <w:overflowPunct/>
      <w:autoSpaceDE/>
      <w:autoSpaceDN/>
      <w:adjustRightInd/>
      <w:spacing w:before="0"/>
      <w:ind w:left="720"/>
      <w:contextualSpacing/>
      <w:jc w:val="both"/>
      <w:textAlignment w:val="auto"/>
    </w:pPr>
    <w:rPr>
      <w:rFonts w:ascii="Times New Roman" w:hAnsi="Times New Roman"/>
      <w:sz w:val="22"/>
      <w:lang w:val="en-US"/>
    </w:rPr>
  </w:style>
  <w:style w:type="character" w:customStyle="1" w:styleId="ListParagraphChar">
    <w:name w:val="List Paragraph Char"/>
    <w:aliases w:val="Recommendation Char,List Paragraph11 Char,List Paragraph 1 Char,List Paragraph1 Char"/>
    <w:basedOn w:val="DefaultParagraphFont"/>
    <w:link w:val="ListParagraph"/>
    <w:uiPriority w:val="34"/>
    <w:rsid w:val="00262D52"/>
    <w:rPr>
      <w:rFonts w:ascii="Times New Roman" w:hAnsi="Times New Roman"/>
      <w:sz w:val="22"/>
      <w:lang w:eastAsia="en-US"/>
    </w:rPr>
  </w:style>
  <w:style w:type="paragraph" w:customStyle="1" w:styleId="elementtoproof">
    <w:name w:val="elementtoproof"/>
    <w:basedOn w:val="Normal"/>
    <w:uiPriority w:val="99"/>
    <w:semiHidden/>
    <w:rsid w:val="00262D52"/>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 w:val="22"/>
      <w:szCs w:val="22"/>
      <w:lang w:eastAsia="en-GB"/>
    </w:rPr>
  </w:style>
  <w:style w:type="paragraph" w:customStyle="1" w:styleId="Default">
    <w:name w:val="Default"/>
    <w:rsid w:val="00262D52"/>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al"/>
    <w:rsid w:val="0074250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74250C"/>
  </w:style>
  <w:style w:type="character" w:customStyle="1" w:styleId="eop">
    <w:name w:val="eop"/>
    <w:basedOn w:val="DefaultParagraphFont"/>
    <w:rsid w:val="0074250C"/>
  </w:style>
  <w:style w:type="character" w:styleId="CommentReference">
    <w:name w:val="annotation reference"/>
    <w:basedOn w:val="DefaultParagraphFont"/>
    <w:semiHidden/>
    <w:unhideWhenUsed/>
    <w:rsid w:val="00B9035D"/>
    <w:rPr>
      <w:sz w:val="16"/>
      <w:szCs w:val="16"/>
    </w:rPr>
  </w:style>
  <w:style w:type="paragraph" w:styleId="CommentText">
    <w:name w:val="annotation text"/>
    <w:basedOn w:val="Normal"/>
    <w:link w:val="CommentTextChar"/>
    <w:unhideWhenUsed/>
    <w:rsid w:val="00B9035D"/>
    <w:rPr>
      <w:sz w:val="20"/>
    </w:rPr>
  </w:style>
  <w:style w:type="character" w:customStyle="1" w:styleId="CommentTextChar">
    <w:name w:val="Comment Text Char"/>
    <w:basedOn w:val="DefaultParagraphFont"/>
    <w:link w:val="CommentText"/>
    <w:rsid w:val="00B9035D"/>
    <w:rPr>
      <w:rFonts w:ascii="Calibri" w:hAnsi="Calibri"/>
      <w:lang w:val="en-GB" w:eastAsia="en-US"/>
    </w:rPr>
  </w:style>
  <w:style w:type="paragraph" w:styleId="CommentSubject">
    <w:name w:val="annotation subject"/>
    <w:basedOn w:val="CommentText"/>
    <w:next w:val="CommentText"/>
    <w:link w:val="CommentSubjectChar"/>
    <w:semiHidden/>
    <w:unhideWhenUsed/>
    <w:rsid w:val="00B9035D"/>
    <w:rPr>
      <w:b/>
      <w:bCs/>
    </w:rPr>
  </w:style>
  <w:style w:type="character" w:customStyle="1" w:styleId="CommentSubjectChar">
    <w:name w:val="Comment Subject Char"/>
    <w:basedOn w:val="CommentTextChar"/>
    <w:link w:val="CommentSubject"/>
    <w:semiHidden/>
    <w:rsid w:val="00B9035D"/>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416901">
      <w:bodyDiv w:val="1"/>
      <w:marLeft w:val="0"/>
      <w:marRight w:val="0"/>
      <w:marTop w:val="0"/>
      <w:marBottom w:val="0"/>
      <w:divBdr>
        <w:top w:val="none" w:sz="0" w:space="0" w:color="auto"/>
        <w:left w:val="none" w:sz="0" w:space="0" w:color="auto"/>
        <w:bottom w:val="none" w:sz="0" w:space="0" w:color="auto"/>
        <w:right w:val="none" w:sz="0" w:space="0" w:color="auto"/>
      </w:divBdr>
    </w:div>
    <w:div w:id="901334319">
      <w:bodyDiv w:val="1"/>
      <w:marLeft w:val="0"/>
      <w:marRight w:val="0"/>
      <w:marTop w:val="0"/>
      <w:marBottom w:val="0"/>
      <w:divBdr>
        <w:top w:val="none" w:sz="0" w:space="0" w:color="auto"/>
        <w:left w:val="none" w:sz="0" w:space="0" w:color="auto"/>
        <w:bottom w:val="none" w:sz="0" w:space="0" w:color="auto"/>
        <w:right w:val="none" w:sz="0" w:space="0" w:color="auto"/>
      </w:divBdr>
    </w:div>
    <w:div w:id="932394644">
      <w:bodyDiv w:val="1"/>
      <w:marLeft w:val="0"/>
      <w:marRight w:val="0"/>
      <w:marTop w:val="0"/>
      <w:marBottom w:val="0"/>
      <w:divBdr>
        <w:top w:val="none" w:sz="0" w:space="0" w:color="auto"/>
        <w:left w:val="none" w:sz="0" w:space="0" w:color="auto"/>
        <w:bottom w:val="none" w:sz="0" w:space="0" w:color="auto"/>
        <w:right w:val="none" w:sz="0" w:space="0" w:color="auto"/>
      </w:divBdr>
    </w:div>
    <w:div w:id="1147891867">
      <w:bodyDiv w:val="1"/>
      <w:marLeft w:val="0"/>
      <w:marRight w:val="0"/>
      <w:marTop w:val="0"/>
      <w:marBottom w:val="0"/>
      <w:divBdr>
        <w:top w:val="none" w:sz="0" w:space="0" w:color="auto"/>
        <w:left w:val="none" w:sz="0" w:space="0" w:color="auto"/>
        <w:bottom w:val="none" w:sz="0" w:space="0" w:color="auto"/>
        <w:right w:val="none" w:sz="0" w:space="0" w:color="auto"/>
      </w:divBdr>
    </w:div>
    <w:div w:id="1253514265">
      <w:bodyDiv w:val="1"/>
      <w:marLeft w:val="0"/>
      <w:marRight w:val="0"/>
      <w:marTop w:val="0"/>
      <w:marBottom w:val="0"/>
      <w:divBdr>
        <w:top w:val="none" w:sz="0" w:space="0" w:color="auto"/>
        <w:left w:val="none" w:sz="0" w:space="0" w:color="auto"/>
        <w:bottom w:val="none" w:sz="0" w:space="0" w:color="auto"/>
        <w:right w:val="none" w:sz="0" w:space="0" w:color="auto"/>
      </w:divBdr>
    </w:div>
    <w:div w:id="1288314713">
      <w:bodyDiv w:val="1"/>
      <w:marLeft w:val="0"/>
      <w:marRight w:val="0"/>
      <w:marTop w:val="0"/>
      <w:marBottom w:val="0"/>
      <w:divBdr>
        <w:top w:val="none" w:sz="0" w:space="0" w:color="auto"/>
        <w:left w:val="none" w:sz="0" w:space="0" w:color="auto"/>
        <w:bottom w:val="none" w:sz="0" w:space="0" w:color="auto"/>
        <w:right w:val="none" w:sz="0" w:space="0" w:color="auto"/>
      </w:divBdr>
      <w:divsChild>
        <w:div w:id="317612770">
          <w:marLeft w:val="0"/>
          <w:marRight w:val="0"/>
          <w:marTop w:val="0"/>
          <w:marBottom w:val="0"/>
          <w:divBdr>
            <w:top w:val="none" w:sz="0" w:space="0" w:color="auto"/>
            <w:left w:val="none" w:sz="0" w:space="0" w:color="auto"/>
            <w:bottom w:val="none" w:sz="0" w:space="0" w:color="auto"/>
            <w:right w:val="none" w:sz="0" w:space="0" w:color="auto"/>
          </w:divBdr>
        </w:div>
        <w:div w:id="797065550">
          <w:marLeft w:val="0"/>
          <w:marRight w:val="0"/>
          <w:marTop w:val="0"/>
          <w:marBottom w:val="0"/>
          <w:divBdr>
            <w:top w:val="none" w:sz="0" w:space="0" w:color="auto"/>
            <w:left w:val="none" w:sz="0" w:space="0" w:color="auto"/>
            <w:bottom w:val="none" w:sz="0" w:space="0" w:color="auto"/>
            <w:right w:val="none" w:sz="0" w:space="0" w:color="auto"/>
          </w:divBdr>
        </w:div>
        <w:div w:id="1530484138">
          <w:marLeft w:val="0"/>
          <w:marRight w:val="0"/>
          <w:marTop w:val="0"/>
          <w:marBottom w:val="0"/>
          <w:divBdr>
            <w:top w:val="none" w:sz="0" w:space="0" w:color="auto"/>
            <w:left w:val="none" w:sz="0" w:space="0" w:color="auto"/>
            <w:bottom w:val="none" w:sz="0" w:space="0" w:color="auto"/>
            <w:right w:val="none" w:sz="0" w:space="0" w:color="auto"/>
          </w:divBdr>
        </w:div>
        <w:div w:id="222569064">
          <w:marLeft w:val="0"/>
          <w:marRight w:val="0"/>
          <w:marTop w:val="0"/>
          <w:marBottom w:val="0"/>
          <w:divBdr>
            <w:top w:val="none" w:sz="0" w:space="0" w:color="auto"/>
            <w:left w:val="none" w:sz="0" w:space="0" w:color="auto"/>
            <w:bottom w:val="none" w:sz="0" w:space="0" w:color="auto"/>
            <w:right w:val="none" w:sz="0" w:space="0" w:color="auto"/>
          </w:divBdr>
        </w:div>
        <w:div w:id="1879931069">
          <w:marLeft w:val="0"/>
          <w:marRight w:val="0"/>
          <w:marTop w:val="0"/>
          <w:marBottom w:val="0"/>
          <w:divBdr>
            <w:top w:val="none" w:sz="0" w:space="0" w:color="auto"/>
            <w:left w:val="none" w:sz="0" w:space="0" w:color="auto"/>
            <w:bottom w:val="none" w:sz="0" w:space="0" w:color="auto"/>
            <w:right w:val="none" w:sz="0" w:space="0" w:color="auto"/>
          </w:divBdr>
        </w:div>
        <w:div w:id="584149418">
          <w:marLeft w:val="0"/>
          <w:marRight w:val="0"/>
          <w:marTop w:val="0"/>
          <w:marBottom w:val="0"/>
          <w:divBdr>
            <w:top w:val="none" w:sz="0" w:space="0" w:color="auto"/>
            <w:left w:val="none" w:sz="0" w:space="0" w:color="auto"/>
            <w:bottom w:val="none" w:sz="0" w:space="0" w:color="auto"/>
            <w:right w:val="none" w:sz="0" w:space="0" w:color="auto"/>
          </w:divBdr>
        </w:div>
        <w:div w:id="1395469277">
          <w:marLeft w:val="0"/>
          <w:marRight w:val="0"/>
          <w:marTop w:val="0"/>
          <w:marBottom w:val="0"/>
          <w:divBdr>
            <w:top w:val="none" w:sz="0" w:space="0" w:color="auto"/>
            <w:left w:val="none" w:sz="0" w:space="0" w:color="auto"/>
            <w:bottom w:val="none" w:sz="0" w:space="0" w:color="auto"/>
            <w:right w:val="none" w:sz="0" w:space="0" w:color="auto"/>
          </w:divBdr>
        </w:div>
        <w:div w:id="1590580846">
          <w:marLeft w:val="0"/>
          <w:marRight w:val="0"/>
          <w:marTop w:val="0"/>
          <w:marBottom w:val="0"/>
          <w:divBdr>
            <w:top w:val="none" w:sz="0" w:space="0" w:color="auto"/>
            <w:left w:val="none" w:sz="0" w:space="0" w:color="auto"/>
            <w:bottom w:val="none" w:sz="0" w:space="0" w:color="auto"/>
            <w:right w:val="none" w:sz="0" w:space="0" w:color="auto"/>
          </w:divBdr>
        </w:div>
      </w:divsChild>
    </w:div>
    <w:div w:id="1640182735">
      <w:bodyDiv w:val="1"/>
      <w:marLeft w:val="0"/>
      <w:marRight w:val="0"/>
      <w:marTop w:val="0"/>
      <w:marBottom w:val="0"/>
      <w:divBdr>
        <w:top w:val="none" w:sz="0" w:space="0" w:color="auto"/>
        <w:left w:val="none" w:sz="0" w:space="0" w:color="auto"/>
        <w:bottom w:val="none" w:sz="0" w:space="0" w:color="auto"/>
        <w:right w:val="none" w:sz="0" w:space="0" w:color="auto"/>
      </w:divBdr>
    </w:div>
    <w:div w:id="1864126474">
      <w:bodyDiv w:val="1"/>
      <w:marLeft w:val="0"/>
      <w:marRight w:val="0"/>
      <w:marTop w:val="0"/>
      <w:marBottom w:val="0"/>
      <w:divBdr>
        <w:top w:val="none" w:sz="0" w:space="0" w:color="auto"/>
        <w:left w:val="none" w:sz="0" w:space="0" w:color="auto"/>
        <w:bottom w:val="none" w:sz="0" w:space="0" w:color="auto"/>
        <w:right w:val="none" w:sz="0" w:space="0" w:color="auto"/>
      </w:divBdr>
    </w:div>
    <w:div w:id="1921518295">
      <w:bodyDiv w:val="1"/>
      <w:marLeft w:val="0"/>
      <w:marRight w:val="0"/>
      <w:marTop w:val="0"/>
      <w:marBottom w:val="0"/>
      <w:divBdr>
        <w:top w:val="none" w:sz="0" w:space="0" w:color="auto"/>
        <w:left w:val="none" w:sz="0" w:space="0" w:color="auto"/>
        <w:bottom w:val="none" w:sz="0" w:space="0" w:color="auto"/>
        <w:right w:val="none" w:sz="0" w:space="0" w:color="auto"/>
      </w:divBdr>
    </w:div>
    <w:div w:id="204520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WGFHR19-C-0003/en" TargetMode="External"/><Relationship Id="rId18" Type="http://schemas.openxmlformats.org/officeDocument/2006/relationships/hyperlink" Target="https://www.itu.int/md/S24-CWGFHR19-241007-TD-0002/en" TargetMode="External"/><Relationship Id="rId26" Type="http://schemas.openxmlformats.org/officeDocument/2006/relationships/hyperlink" Target="https://www.itu.int/md/S24-CWGFHR17-C-0024/en" TargetMode="External"/><Relationship Id="rId39" Type="http://schemas.openxmlformats.org/officeDocument/2006/relationships/theme" Target="theme/theme1.xml"/><Relationship Id="rId21" Type="http://schemas.openxmlformats.org/officeDocument/2006/relationships/hyperlink" Target="https://www.itu.int/md/S24-CWGFHR19-241007-TD-0003/en" TargetMode="External"/><Relationship Id="rId34"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itu.int/md/S24-CWGFHR19-C-0014/en" TargetMode="External"/><Relationship Id="rId17" Type="http://schemas.openxmlformats.org/officeDocument/2006/relationships/hyperlink" Target="https://www.itu.int/md/S24-CL-C-0049/en" TargetMode="External"/><Relationship Id="rId25" Type="http://schemas.openxmlformats.org/officeDocument/2006/relationships/hyperlink" Target="https://www.itu.int/md/S24-CWGFHR19-INF-0001/en" TargetMode="External"/><Relationship Id="rId33" Type="http://schemas.openxmlformats.org/officeDocument/2006/relationships/hyperlink" Target="https://www.itu.int/en/council/Documents/basic-texts-2023/RES-025-E.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4-CWGFHR19-C-0004/en" TargetMode="External"/><Relationship Id="rId20" Type="http://schemas.openxmlformats.org/officeDocument/2006/relationships/hyperlink" Target="https://www.itu.int/md/S24-CWGFHR19-C-0005/en" TargetMode="External"/><Relationship Id="rId29" Type="http://schemas.openxmlformats.org/officeDocument/2006/relationships/hyperlink" Target="https://www.itu.int/md/S24-CWGFHR19-C-000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WGFHR19-241007-TD-0001/en" TargetMode="External"/><Relationship Id="rId24" Type="http://schemas.openxmlformats.org/officeDocument/2006/relationships/hyperlink" Target="https://www.itu.int/md/S24-CWGFHR19-C-0012/en" TargetMode="External"/><Relationship Id="rId32" Type="http://schemas.openxmlformats.org/officeDocument/2006/relationships/hyperlink" Target="https://www.itu.int/md/S24-CWGFHR19-INF-0002/en"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24-CWGFHR19-C-0004/en" TargetMode="External"/><Relationship Id="rId23" Type="http://schemas.openxmlformats.org/officeDocument/2006/relationships/hyperlink" Target="https://www.itu.int/md/S24-CWGFHR19-C-0005/en" TargetMode="External"/><Relationship Id="rId28" Type="http://schemas.openxmlformats.org/officeDocument/2006/relationships/hyperlink" Target="https://www.itu.int/md/S24-CWGFHR19-C-0011/en" TargetMode="External"/><Relationship Id="rId36" Type="http://schemas.openxmlformats.org/officeDocument/2006/relationships/header" Target="header1.xml"/><Relationship Id="rId10" Type="http://schemas.openxmlformats.org/officeDocument/2006/relationships/hyperlink" Target="https://www.itu.int/md/S24-CWGFHR19-C-0002/en" TargetMode="External"/><Relationship Id="rId19" Type="http://schemas.openxmlformats.org/officeDocument/2006/relationships/hyperlink" Target="https://www.itu.int/md/S24-CWGFHR19-C-0010/en" TargetMode="External"/><Relationship Id="rId31" Type="http://schemas.openxmlformats.org/officeDocument/2006/relationships/hyperlink" Target="https://www.itu.int/md/S24-CWGFHR19-C-0008/en" TargetMode="External"/><Relationship Id="rId4" Type="http://schemas.openxmlformats.org/officeDocument/2006/relationships/settings" Target="settings.xml"/><Relationship Id="rId9" Type="http://schemas.openxmlformats.org/officeDocument/2006/relationships/hyperlink" Target="https://www.itu.int/md/S24-CWGFHR19-INF-0003/en" TargetMode="External"/><Relationship Id="rId14" Type="http://schemas.openxmlformats.org/officeDocument/2006/relationships/hyperlink" Target="https://www.itu.int/md/S24-CWGFHR19-C-0013/en" TargetMode="External"/><Relationship Id="rId22" Type="http://schemas.openxmlformats.org/officeDocument/2006/relationships/hyperlink" Target="https://www.itu.int/md/S24-CWGFHR19-C-0012/en" TargetMode="External"/><Relationship Id="rId27" Type="http://schemas.openxmlformats.org/officeDocument/2006/relationships/hyperlink" Target="https://www.itu.int/md/S24-CWGFHR19-C-0007/en" TargetMode="External"/><Relationship Id="rId30" Type="http://schemas.openxmlformats.org/officeDocument/2006/relationships/hyperlink" Target="https://www.itu.int/md/S24-CWGFHR17-C-0015/en" TargetMode="External"/><Relationship Id="rId35" Type="http://schemas.openxmlformats.org/officeDocument/2006/relationships/footer" Target="footer1.xml"/><Relationship Id="rId8" Type="http://schemas.openxmlformats.org/officeDocument/2006/relationships/hyperlink" Target="https://www.itu.int/md/S24-CWGFHR19-C-0001/en"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5498</Words>
  <Characters>33019</Characters>
  <Application>Microsoft Office Word</Application>
  <DocSecurity>0</DocSecurity>
  <Lines>275</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38441</CharactersWithSpaces>
  <SharedDoc>false</SharedDoc>
  <HLinks>
    <vt:vector size="156" baseType="variant">
      <vt:variant>
        <vt:i4>7077987</vt:i4>
      </vt:variant>
      <vt:variant>
        <vt:i4>75</vt:i4>
      </vt:variant>
      <vt:variant>
        <vt:i4>0</vt:i4>
      </vt:variant>
      <vt:variant>
        <vt:i4>5</vt:i4>
      </vt:variant>
      <vt:variant>
        <vt:lpwstr>https://www.itu.int/en/council/Documents/basic-texts-2023/RES-025-E.pdf</vt:lpwstr>
      </vt:variant>
      <vt:variant>
        <vt:lpwstr/>
      </vt:variant>
      <vt:variant>
        <vt:i4>2359398</vt:i4>
      </vt:variant>
      <vt:variant>
        <vt:i4>72</vt:i4>
      </vt:variant>
      <vt:variant>
        <vt:i4>0</vt:i4>
      </vt:variant>
      <vt:variant>
        <vt:i4>5</vt:i4>
      </vt:variant>
      <vt:variant>
        <vt:lpwstr>https://www.itu.int/md/S24-CWGFHR19-INF-0002/en</vt:lpwstr>
      </vt:variant>
      <vt:variant>
        <vt:lpwstr/>
      </vt:variant>
      <vt:variant>
        <vt:i4>4194314</vt:i4>
      </vt:variant>
      <vt:variant>
        <vt:i4>69</vt:i4>
      </vt:variant>
      <vt:variant>
        <vt:i4>0</vt:i4>
      </vt:variant>
      <vt:variant>
        <vt:i4>5</vt:i4>
      </vt:variant>
      <vt:variant>
        <vt:lpwstr>https://www.itu.int/md/S24-CWGFHR19-C-0008/en</vt:lpwstr>
      </vt:variant>
      <vt:variant>
        <vt:lpwstr/>
      </vt:variant>
      <vt:variant>
        <vt:i4>5046277</vt:i4>
      </vt:variant>
      <vt:variant>
        <vt:i4>66</vt:i4>
      </vt:variant>
      <vt:variant>
        <vt:i4>0</vt:i4>
      </vt:variant>
      <vt:variant>
        <vt:i4>5</vt:i4>
      </vt:variant>
      <vt:variant>
        <vt:lpwstr>https://www.itu.int/md/S24-CWGFHR17-C-0015/en</vt:lpwstr>
      </vt:variant>
      <vt:variant>
        <vt:lpwstr/>
      </vt:variant>
      <vt:variant>
        <vt:i4>4259850</vt:i4>
      </vt:variant>
      <vt:variant>
        <vt:i4>63</vt:i4>
      </vt:variant>
      <vt:variant>
        <vt:i4>0</vt:i4>
      </vt:variant>
      <vt:variant>
        <vt:i4>5</vt:i4>
      </vt:variant>
      <vt:variant>
        <vt:lpwstr>https://www.itu.int/md/S24-CWGFHR19-C-0009/en</vt:lpwstr>
      </vt:variant>
      <vt:variant>
        <vt:lpwstr/>
      </vt:variant>
      <vt:variant>
        <vt:i4>4784139</vt:i4>
      </vt:variant>
      <vt:variant>
        <vt:i4>60</vt:i4>
      </vt:variant>
      <vt:variant>
        <vt:i4>0</vt:i4>
      </vt:variant>
      <vt:variant>
        <vt:i4>5</vt:i4>
      </vt:variant>
      <vt:variant>
        <vt:lpwstr>https://www.itu.int/md/S24-CWGFHR19-C-0011/en</vt:lpwstr>
      </vt:variant>
      <vt:variant>
        <vt:lpwstr/>
      </vt:variant>
      <vt:variant>
        <vt:i4>5177354</vt:i4>
      </vt:variant>
      <vt:variant>
        <vt:i4>57</vt:i4>
      </vt:variant>
      <vt:variant>
        <vt:i4>0</vt:i4>
      </vt:variant>
      <vt:variant>
        <vt:i4>5</vt:i4>
      </vt:variant>
      <vt:variant>
        <vt:lpwstr>https://www.itu.int/md/S24-CWGFHR19-C-0007/en</vt:lpwstr>
      </vt:variant>
      <vt:variant>
        <vt:lpwstr/>
      </vt:variant>
      <vt:variant>
        <vt:i4>4980742</vt:i4>
      </vt:variant>
      <vt:variant>
        <vt:i4>54</vt:i4>
      </vt:variant>
      <vt:variant>
        <vt:i4>0</vt:i4>
      </vt:variant>
      <vt:variant>
        <vt:i4>5</vt:i4>
      </vt:variant>
      <vt:variant>
        <vt:lpwstr>https://www.itu.int/md/S24-CWGFHR17-C-0024/en</vt:lpwstr>
      </vt:variant>
      <vt:variant>
        <vt:lpwstr/>
      </vt:variant>
      <vt:variant>
        <vt:i4>2556006</vt:i4>
      </vt:variant>
      <vt:variant>
        <vt:i4>51</vt:i4>
      </vt:variant>
      <vt:variant>
        <vt:i4>0</vt:i4>
      </vt:variant>
      <vt:variant>
        <vt:i4>5</vt:i4>
      </vt:variant>
      <vt:variant>
        <vt:lpwstr>https://www.itu.int/md/S24-CWGFHR19-INF-0001/en</vt:lpwstr>
      </vt:variant>
      <vt:variant>
        <vt:lpwstr/>
      </vt:variant>
      <vt:variant>
        <vt:i4>4849675</vt:i4>
      </vt:variant>
      <vt:variant>
        <vt:i4>48</vt:i4>
      </vt:variant>
      <vt:variant>
        <vt:i4>0</vt:i4>
      </vt:variant>
      <vt:variant>
        <vt:i4>5</vt:i4>
      </vt:variant>
      <vt:variant>
        <vt:lpwstr>https://www.itu.int/md/S24-CWGFHR19-C-0012/en</vt:lpwstr>
      </vt:variant>
      <vt:variant>
        <vt:lpwstr/>
      </vt:variant>
      <vt:variant>
        <vt:i4>5046282</vt:i4>
      </vt:variant>
      <vt:variant>
        <vt:i4>45</vt:i4>
      </vt:variant>
      <vt:variant>
        <vt:i4>0</vt:i4>
      </vt:variant>
      <vt:variant>
        <vt:i4>5</vt:i4>
      </vt:variant>
      <vt:variant>
        <vt:lpwstr>https://www.itu.int/md/S24-CWGFHR19-C-0005/en</vt:lpwstr>
      </vt:variant>
      <vt:variant>
        <vt:lpwstr/>
      </vt:variant>
      <vt:variant>
        <vt:i4>4849675</vt:i4>
      </vt:variant>
      <vt:variant>
        <vt:i4>42</vt:i4>
      </vt:variant>
      <vt:variant>
        <vt:i4>0</vt:i4>
      </vt:variant>
      <vt:variant>
        <vt:i4>5</vt:i4>
      </vt:variant>
      <vt:variant>
        <vt:lpwstr>https://www.itu.int/md/S24-CWGFHR19-C-0012/en</vt:lpwstr>
      </vt:variant>
      <vt:variant>
        <vt:lpwstr/>
      </vt:variant>
      <vt:variant>
        <vt:i4>786451</vt:i4>
      </vt:variant>
      <vt:variant>
        <vt:i4>39</vt:i4>
      </vt:variant>
      <vt:variant>
        <vt:i4>0</vt:i4>
      </vt:variant>
      <vt:variant>
        <vt:i4>5</vt:i4>
      </vt:variant>
      <vt:variant>
        <vt:lpwstr>https://www.itu.int/md/S24-CWGFHR19-241007-TD-0003/en</vt:lpwstr>
      </vt:variant>
      <vt:variant>
        <vt:lpwstr/>
      </vt:variant>
      <vt:variant>
        <vt:i4>5046282</vt:i4>
      </vt:variant>
      <vt:variant>
        <vt:i4>36</vt:i4>
      </vt:variant>
      <vt:variant>
        <vt:i4>0</vt:i4>
      </vt:variant>
      <vt:variant>
        <vt:i4>5</vt:i4>
      </vt:variant>
      <vt:variant>
        <vt:lpwstr>https://www.itu.int/md/S24-CWGFHR19-C-0005/en</vt:lpwstr>
      </vt:variant>
      <vt:variant>
        <vt:lpwstr/>
      </vt:variant>
      <vt:variant>
        <vt:i4>4718603</vt:i4>
      </vt:variant>
      <vt:variant>
        <vt:i4>33</vt:i4>
      </vt:variant>
      <vt:variant>
        <vt:i4>0</vt:i4>
      </vt:variant>
      <vt:variant>
        <vt:i4>5</vt:i4>
      </vt:variant>
      <vt:variant>
        <vt:lpwstr>https://www.itu.int/md/S24-CWGFHR19-C-0010/en</vt:lpwstr>
      </vt:variant>
      <vt:variant>
        <vt:lpwstr/>
      </vt:variant>
      <vt:variant>
        <vt:i4>851987</vt:i4>
      </vt:variant>
      <vt:variant>
        <vt:i4>30</vt:i4>
      </vt:variant>
      <vt:variant>
        <vt:i4>0</vt:i4>
      </vt:variant>
      <vt:variant>
        <vt:i4>5</vt:i4>
      </vt:variant>
      <vt:variant>
        <vt:lpwstr>https://www.itu.int/md/S24-CWGFHR19-241007-TD-0002/en</vt:lpwstr>
      </vt:variant>
      <vt:variant>
        <vt:lpwstr/>
      </vt:variant>
      <vt:variant>
        <vt:i4>8323128</vt:i4>
      </vt:variant>
      <vt:variant>
        <vt:i4>27</vt:i4>
      </vt:variant>
      <vt:variant>
        <vt:i4>0</vt:i4>
      </vt:variant>
      <vt:variant>
        <vt:i4>5</vt:i4>
      </vt:variant>
      <vt:variant>
        <vt:lpwstr>https://www.itu.int/md/S24-CL-C-0049/en</vt:lpwstr>
      </vt:variant>
      <vt:variant>
        <vt:lpwstr/>
      </vt:variant>
      <vt:variant>
        <vt:i4>4980746</vt:i4>
      </vt:variant>
      <vt:variant>
        <vt:i4>24</vt:i4>
      </vt:variant>
      <vt:variant>
        <vt:i4>0</vt:i4>
      </vt:variant>
      <vt:variant>
        <vt:i4>5</vt:i4>
      </vt:variant>
      <vt:variant>
        <vt:lpwstr>https://www.itu.int/md/S24-CWGFHR19-C-0004/en</vt:lpwstr>
      </vt:variant>
      <vt:variant>
        <vt:lpwstr/>
      </vt:variant>
      <vt:variant>
        <vt:i4>4980746</vt:i4>
      </vt:variant>
      <vt:variant>
        <vt:i4>21</vt:i4>
      </vt:variant>
      <vt:variant>
        <vt:i4>0</vt:i4>
      </vt:variant>
      <vt:variant>
        <vt:i4>5</vt:i4>
      </vt:variant>
      <vt:variant>
        <vt:lpwstr>https://www.itu.int/md/S24-CWGFHR19-C-0004/en</vt:lpwstr>
      </vt:variant>
      <vt:variant>
        <vt:lpwstr/>
      </vt:variant>
      <vt:variant>
        <vt:i4>4915211</vt:i4>
      </vt:variant>
      <vt:variant>
        <vt:i4>18</vt:i4>
      </vt:variant>
      <vt:variant>
        <vt:i4>0</vt:i4>
      </vt:variant>
      <vt:variant>
        <vt:i4>5</vt:i4>
      </vt:variant>
      <vt:variant>
        <vt:lpwstr>https://www.itu.int/md/S24-CWGFHR19-C-0013/en</vt:lpwstr>
      </vt:variant>
      <vt:variant>
        <vt:lpwstr/>
      </vt:variant>
      <vt:variant>
        <vt:i4>4915210</vt:i4>
      </vt:variant>
      <vt:variant>
        <vt:i4>15</vt:i4>
      </vt:variant>
      <vt:variant>
        <vt:i4>0</vt:i4>
      </vt:variant>
      <vt:variant>
        <vt:i4>5</vt:i4>
      </vt:variant>
      <vt:variant>
        <vt:lpwstr>https://www.itu.int/md/S24-CWGFHR19-C-0003/en</vt:lpwstr>
      </vt:variant>
      <vt:variant>
        <vt:lpwstr/>
      </vt:variant>
      <vt:variant>
        <vt:i4>4980747</vt:i4>
      </vt:variant>
      <vt:variant>
        <vt:i4>12</vt:i4>
      </vt:variant>
      <vt:variant>
        <vt:i4>0</vt:i4>
      </vt:variant>
      <vt:variant>
        <vt:i4>5</vt:i4>
      </vt:variant>
      <vt:variant>
        <vt:lpwstr>https://www.itu.int/md/S24-CWGFHR19-C-0014/en</vt:lpwstr>
      </vt:variant>
      <vt:variant>
        <vt:lpwstr/>
      </vt:variant>
      <vt:variant>
        <vt:i4>917523</vt:i4>
      </vt:variant>
      <vt:variant>
        <vt:i4>9</vt:i4>
      </vt:variant>
      <vt:variant>
        <vt:i4>0</vt:i4>
      </vt:variant>
      <vt:variant>
        <vt:i4>5</vt:i4>
      </vt:variant>
      <vt:variant>
        <vt:lpwstr>https://www.itu.int/md/S24-CWGFHR19-241007-TD-0001/en</vt:lpwstr>
      </vt:variant>
      <vt:variant>
        <vt:lpwstr/>
      </vt:variant>
      <vt:variant>
        <vt:i4>4849674</vt:i4>
      </vt:variant>
      <vt:variant>
        <vt:i4>6</vt:i4>
      </vt:variant>
      <vt:variant>
        <vt:i4>0</vt:i4>
      </vt:variant>
      <vt:variant>
        <vt:i4>5</vt:i4>
      </vt:variant>
      <vt:variant>
        <vt:lpwstr>https://www.itu.int/md/S24-CWGFHR19-C-0002/en</vt:lpwstr>
      </vt:variant>
      <vt:variant>
        <vt:lpwstr/>
      </vt:variant>
      <vt:variant>
        <vt:i4>2424934</vt:i4>
      </vt:variant>
      <vt:variant>
        <vt:i4>3</vt:i4>
      </vt:variant>
      <vt:variant>
        <vt:i4>0</vt:i4>
      </vt:variant>
      <vt:variant>
        <vt:i4>5</vt:i4>
      </vt:variant>
      <vt:variant>
        <vt:lpwstr>https://www.itu.int/md/S24-CWGFHR19-INF-0003/en</vt:lpwstr>
      </vt:variant>
      <vt:variant>
        <vt:lpwstr/>
      </vt:variant>
      <vt:variant>
        <vt:i4>4784138</vt:i4>
      </vt:variant>
      <vt:variant>
        <vt:i4>0</vt:i4>
      </vt:variant>
      <vt:variant>
        <vt:i4>0</vt:i4>
      </vt:variant>
      <vt:variant>
        <vt:i4>5</vt:i4>
      </vt:variant>
      <vt:variant>
        <vt:lpwstr>https://www.itu.int/md/S24-CWGFHR19-C-0001/en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of the 19th meeting of the Council Working Group on financial and human resources</dc:title>
  <dc:subject/>
  <dc:creator>GBS</dc:creator>
  <cp:keywords/>
  <dc:description/>
  <cp:lastModifiedBy>GBS</cp:lastModifiedBy>
  <cp:revision>3</cp:revision>
  <dcterms:created xsi:type="dcterms:W3CDTF">2024-10-24T11:41:00Z</dcterms:created>
  <dcterms:modified xsi:type="dcterms:W3CDTF">2024-10-24T11:41:00Z</dcterms:modified>
  <cp:category/>
</cp:coreProperties>
</file>