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5115" w14:paraId="0043AC80" w14:textId="77777777" w:rsidTr="00AD3606">
        <w:trPr>
          <w:cantSplit/>
          <w:trHeight w:val="23"/>
        </w:trPr>
        <w:tc>
          <w:tcPr>
            <w:tcW w:w="3969" w:type="dxa"/>
            <w:vMerge w:val="restart"/>
            <w:tcMar>
              <w:left w:w="0" w:type="dxa"/>
            </w:tcMar>
          </w:tcPr>
          <w:p w14:paraId="60A806D3" w14:textId="6316C87D" w:rsidR="00AD3606" w:rsidRPr="0039511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1E943C3" w:rsidR="00AD3606" w:rsidRPr="00395115" w:rsidRDefault="00AD3606" w:rsidP="00472BAD">
            <w:pPr>
              <w:tabs>
                <w:tab w:val="left" w:pos="851"/>
              </w:tabs>
              <w:spacing w:before="0" w:line="240" w:lineRule="atLeast"/>
              <w:jc w:val="right"/>
              <w:rPr>
                <w:b/>
              </w:rPr>
            </w:pPr>
            <w:r w:rsidRPr="00395115">
              <w:rPr>
                <w:b/>
              </w:rPr>
              <w:t>Document C</w:t>
            </w:r>
            <w:r w:rsidR="00A52C84" w:rsidRPr="00395115">
              <w:rPr>
                <w:b/>
              </w:rPr>
              <w:t>WG-</w:t>
            </w:r>
            <w:r w:rsidR="009F347C" w:rsidRPr="00395115">
              <w:rPr>
                <w:b/>
              </w:rPr>
              <w:t>FHR</w:t>
            </w:r>
            <w:r w:rsidR="00A52C84" w:rsidRPr="00395115">
              <w:rPr>
                <w:b/>
              </w:rPr>
              <w:t>-</w:t>
            </w:r>
            <w:r w:rsidR="002404ED" w:rsidRPr="00395115">
              <w:rPr>
                <w:b/>
              </w:rPr>
              <w:t>1</w:t>
            </w:r>
            <w:r w:rsidR="00E03C3D" w:rsidRPr="00395115">
              <w:rPr>
                <w:b/>
              </w:rPr>
              <w:t>9</w:t>
            </w:r>
            <w:r w:rsidRPr="00395115">
              <w:rPr>
                <w:b/>
              </w:rPr>
              <w:t>/</w:t>
            </w:r>
            <w:r w:rsidR="00395115" w:rsidRPr="00395115">
              <w:rPr>
                <w:b/>
              </w:rPr>
              <w:t>13</w:t>
            </w:r>
          </w:p>
        </w:tc>
      </w:tr>
      <w:tr w:rsidR="00AD3606" w:rsidRPr="00395115" w14:paraId="789B45BA" w14:textId="77777777" w:rsidTr="00AD3606">
        <w:trPr>
          <w:cantSplit/>
        </w:trPr>
        <w:tc>
          <w:tcPr>
            <w:tcW w:w="3969" w:type="dxa"/>
            <w:vMerge/>
          </w:tcPr>
          <w:p w14:paraId="3F3D4E17" w14:textId="77777777" w:rsidR="00AD3606" w:rsidRPr="0039511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57919B5" w:rsidR="00AD3606" w:rsidRPr="00395115" w:rsidRDefault="00395115" w:rsidP="00AD3606">
            <w:pPr>
              <w:tabs>
                <w:tab w:val="left" w:pos="851"/>
              </w:tabs>
              <w:spacing w:before="0"/>
              <w:jc w:val="right"/>
              <w:rPr>
                <w:b/>
              </w:rPr>
            </w:pPr>
            <w:r w:rsidRPr="00395115">
              <w:rPr>
                <w:b/>
              </w:rPr>
              <w:t>23</w:t>
            </w:r>
            <w:r w:rsidR="00AD3606" w:rsidRPr="00395115">
              <w:rPr>
                <w:b/>
              </w:rPr>
              <w:t xml:space="preserve"> </w:t>
            </w:r>
            <w:r w:rsidR="002B2746" w:rsidRPr="00395115">
              <w:rPr>
                <w:b/>
              </w:rPr>
              <w:t>September</w:t>
            </w:r>
            <w:r w:rsidR="00AD3606" w:rsidRPr="00395115">
              <w:rPr>
                <w:b/>
              </w:rPr>
              <w:t xml:space="preserve"> 202</w:t>
            </w:r>
            <w:r w:rsidR="00A94376" w:rsidRPr="00395115">
              <w:rPr>
                <w:b/>
              </w:rPr>
              <w:t>4</w:t>
            </w:r>
          </w:p>
        </w:tc>
      </w:tr>
      <w:tr w:rsidR="00AD3606" w:rsidRPr="00395115" w14:paraId="58A84C4A" w14:textId="77777777" w:rsidTr="00AD3606">
        <w:trPr>
          <w:cantSplit/>
          <w:trHeight w:val="23"/>
        </w:trPr>
        <w:tc>
          <w:tcPr>
            <w:tcW w:w="3969" w:type="dxa"/>
            <w:vMerge/>
          </w:tcPr>
          <w:p w14:paraId="77CEDDAA" w14:textId="77777777" w:rsidR="00AD3606" w:rsidRPr="00395115"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395115" w:rsidRDefault="00891503" w:rsidP="00AD3606">
            <w:pPr>
              <w:tabs>
                <w:tab w:val="left" w:pos="851"/>
              </w:tabs>
              <w:spacing w:before="0" w:line="240" w:lineRule="atLeast"/>
              <w:jc w:val="right"/>
              <w:rPr>
                <w:b/>
              </w:rPr>
            </w:pPr>
            <w:r w:rsidRPr="00395115">
              <w:rPr>
                <w:b/>
              </w:rPr>
              <w:t>English</w:t>
            </w:r>
            <w:r w:rsidR="009B2D4B" w:rsidRPr="00395115">
              <w:rPr>
                <w:b/>
              </w:rPr>
              <w:t xml:space="preserve"> only</w:t>
            </w:r>
          </w:p>
        </w:tc>
      </w:tr>
      <w:tr w:rsidR="00472BAD" w:rsidRPr="00395115" w14:paraId="12C5EF5F" w14:textId="77777777" w:rsidTr="00AD3606">
        <w:trPr>
          <w:cantSplit/>
          <w:trHeight w:val="23"/>
        </w:trPr>
        <w:tc>
          <w:tcPr>
            <w:tcW w:w="3969" w:type="dxa"/>
          </w:tcPr>
          <w:p w14:paraId="4B839BA2" w14:textId="77777777" w:rsidR="00472BAD" w:rsidRPr="00395115" w:rsidRDefault="00472BAD" w:rsidP="00AD3606">
            <w:pPr>
              <w:tabs>
                <w:tab w:val="left" w:pos="851"/>
              </w:tabs>
              <w:spacing w:line="240" w:lineRule="atLeast"/>
              <w:rPr>
                <w:b/>
              </w:rPr>
            </w:pPr>
          </w:p>
        </w:tc>
        <w:tc>
          <w:tcPr>
            <w:tcW w:w="5245" w:type="dxa"/>
          </w:tcPr>
          <w:p w14:paraId="12F66D25" w14:textId="77777777" w:rsidR="00472BAD" w:rsidRPr="00395115" w:rsidRDefault="00472BAD" w:rsidP="00AD3606">
            <w:pPr>
              <w:tabs>
                <w:tab w:val="left" w:pos="851"/>
              </w:tabs>
              <w:spacing w:before="0" w:line="240" w:lineRule="atLeast"/>
              <w:jc w:val="right"/>
              <w:rPr>
                <w:b/>
              </w:rPr>
            </w:pPr>
          </w:p>
        </w:tc>
      </w:tr>
      <w:tr w:rsidR="00AD3606" w:rsidRPr="00395115" w14:paraId="27000B2A" w14:textId="77777777" w:rsidTr="00AD3606">
        <w:trPr>
          <w:cantSplit/>
        </w:trPr>
        <w:tc>
          <w:tcPr>
            <w:tcW w:w="9214" w:type="dxa"/>
            <w:gridSpan w:val="2"/>
            <w:tcMar>
              <w:left w:w="0" w:type="dxa"/>
            </w:tcMar>
          </w:tcPr>
          <w:p w14:paraId="4E7CDB90" w14:textId="0DEFF03E" w:rsidR="00AD3606" w:rsidRPr="00395115" w:rsidRDefault="00B01BD6" w:rsidP="00676C7D">
            <w:pPr>
              <w:pStyle w:val="Source"/>
              <w:framePr w:hSpace="0" w:wrap="auto" w:vAnchor="margin" w:hAnchor="text" w:xAlign="left" w:yAlign="inline"/>
            </w:pPr>
            <w:bookmarkStart w:id="8" w:name="dsource" w:colFirst="0" w:colLast="0"/>
            <w:bookmarkEnd w:id="7"/>
            <w:r w:rsidRPr="00395115">
              <w:t xml:space="preserve">Contribution </w:t>
            </w:r>
            <w:r w:rsidR="002D5DBD" w:rsidRPr="00395115">
              <w:t>by</w:t>
            </w:r>
            <w:r w:rsidRPr="00395115">
              <w:t xml:space="preserve"> </w:t>
            </w:r>
            <w:r w:rsidR="00BA5C84" w:rsidRPr="00395115">
              <w:t>South Africa</w:t>
            </w:r>
            <w:r w:rsidR="00395115" w:rsidRPr="00395115">
              <w:t xml:space="preserve"> (Republic of)</w:t>
            </w:r>
            <w:r w:rsidR="00AA64B0">
              <w:t xml:space="preserve"> </w:t>
            </w:r>
            <w:r w:rsidR="00AA64B0" w:rsidRPr="00AA64B0">
              <w:t xml:space="preserve">and Saudi Arabia </w:t>
            </w:r>
            <w:r w:rsidR="00AA64B0">
              <w:t>(</w:t>
            </w:r>
            <w:r w:rsidR="00AA64B0" w:rsidRPr="00AA64B0">
              <w:t>Kingdom of</w:t>
            </w:r>
            <w:r w:rsidR="00AA64B0">
              <w:t>)</w:t>
            </w:r>
          </w:p>
        </w:tc>
      </w:tr>
      <w:tr w:rsidR="00AD3606" w:rsidRPr="00395115" w14:paraId="2340750D" w14:textId="77777777" w:rsidTr="00AD3606">
        <w:trPr>
          <w:cantSplit/>
        </w:trPr>
        <w:tc>
          <w:tcPr>
            <w:tcW w:w="9214" w:type="dxa"/>
            <w:gridSpan w:val="2"/>
            <w:tcMar>
              <w:left w:w="0" w:type="dxa"/>
            </w:tcMar>
          </w:tcPr>
          <w:p w14:paraId="47B91AA8" w14:textId="4995198F" w:rsidR="00AD3606" w:rsidRPr="00395115" w:rsidRDefault="00395115" w:rsidP="00676C7D">
            <w:pPr>
              <w:pStyle w:val="Subtitle"/>
              <w:framePr w:hSpace="0" w:wrap="auto" w:xAlign="left" w:yAlign="inline"/>
            </w:pPr>
            <w:bookmarkStart w:id="9" w:name="dtitle1" w:colFirst="0" w:colLast="0"/>
            <w:bookmarkEnd w:id="8"/>
            <w:r w:rsidRPr="00395115">
              <w:t>ASSESSMENT OF THE FINANCIAL IMPLICATIONS OF CONFERENCE PROPOSALS</w:t>
            </w:r>
          </w:p>
        </w:tc>
      </w:tr>
      <w:tr w:rsidR="00AD3606" w:rsidRPr="00395115"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395115" w:rsidRDefault="00F16BAB" w:rsidP="00F16BAB">
            <w:pPr>
              <w:spacing w:before="160"/>
              <w:rPr>
                <w:b/>
                <w:bCs/>
                <w:sz w:val="26"/>
                <w:szCs w:val="26"/>
              </w:rPr>
            </w:pPr>
            <w:r w:rsidRPr="00395115">
              <w:rPr>
                <w:b/>
                <w:bCs/>
                <w:sz w:val="26"/>
                <w:szCs w:val="26"/>
              </w:rPr>
              <w:t>Purpose</w:t>
            </w:r>
          </w:p>
          <w:p w14:paraId="0D75509C" w14:textId="31DC059A" w:rsidR="00231B2E" w:rsidRPr="00395115" w:rsidRDefault="00231B2E" w:rsidP="00395115">
            <w:r w:rsidRPr="00395115">
              <w:t>The purpose of this contribution is to present the proposed</w:t>
            </w:r>
            <w:r w:rsidR="00FB6768" w:rsidRPr="00395115">
              <w:t xml:space="preserve"> considerations for </w:t>
            </w:r>
            <w:r w:rsidR="00F033DA" w:rsidRPr="00395115">
              <w:t xml:space="preserve">the </w:t>
            </w:r>
            <w:r w:rsidR="00FB6768" w:rsidRPr="00395115">
              <w:t>assessment of the financial implications of conference proposals.</w:t>
            </w:r>
            <w:r w:rsidRPr="00395115">
              <w:t xml:space="preserve"> </w:t>
            </w:r>
          </w:p>
          <w:p w14:paraId="5076D5C4" w14:textId="28F00572" w:rsidR="00AD3606" w:rsidRPr="00395115" w:rsidRDefault="00AD3606" w:rsidP="00F16BAB">
            <w:pPr>
              <w:spacing w:before="160"/>
              <w:rPr>
                <w:b/>
                <w:bCs/>
                <w:sz w:val="26"/>
                <w:szCs w:val="26"/>
              </w:rPr>
            </w:pPr>
            <w:r w:rsidRPr="00395115">
              <w:rPr>
                <w:b/>
                <w:bCs/>
                <w:sz w:val="26"/>
                <w:szCs w:val="26"/>
              </w:rPr>
              <w:t>Action required</w:t>
            </w:r>
          </w:p>
          <w:p w14:paraId="53A776F1" w14:textId="251D0751" w:rsidR="00891503" w:rsidRPr="00395115" w:rsidRDefault="002D5DBD" w:rsidP="00F16BAB">
            <w:pPr>
              <w:spacing w:before="160"/>
            </w:pPr>
            <w:r w:rsidRPr="00395115">
              <w:t xml:space="preserve">The Council Working Group on financial and human resources is invited to </w:t>
            </w:r>
            <w:r w:rsidR="00BA5C84" w:rsidRPr="00395115">
              <w:rPr>
                <w:b/>
                <w:bCs/>
              </w:rPr>
              <w:t>consider</w:t>
            </w:r>
            <w:r w:rsidR="00BA5C84" w:rsidRPr="00395115">
              <w:t xml:space="preserve"> </w:t>
            </w:r>
            <w:r w:rsidR="00E9087A" w:rsidRPr="00395115">
              <w:t>this document.</w:t>
            </w:r>
          </w:p>
          <w:p w14:paraId="339636BB" w14:textId="77777777" w:rsidR="00AA64B0" w:rsidRDefault="00AA64B0">
            <w:r>
              <w:t>_______________</w:t>
            </w:r>
          </w:p>
          <w:p w14:paraId="09E0CF6F" w14:textId="77777777" w:rsidR="00BA5C84" w:rsidRPr="00395115" w:rsidRDefault="00AD3606" w:rsidP="00BA5C84">
            <w:pPr>
              <w:spacing w:before="160"/>
              <w:rPr>
                <w:b/>
                <w:bCs/>
                <w:sz w:val="26"/>
                <w:szCs w:val="26"/>
              </w:rPr>
            </w:pPr>
            <w:r w:rsidRPr="00395115">
              <w:rPr>
                <w:b/>
                <w:bCs/>
                <w:sz w:val="26"/>
                <w:szCs w:val="26"/>
              </w:rPr>
              <w:t>References</w:t>
            </w:r>
            <w:r w:rsidR="002D5DBD" w:rsidRPr="00395115">
              <w:rPr>
                <w:b/>
                <w:bCs/>
                <w:sz w:val="26"/>
                <w:szCs w:val="26"/>
              </w:rPr>
              <w:t xml:space="preserve"> </w:t>
            </w:r>
          </w:p>
          <w:p w14:paraId="7CA6FC8B" w14:textId="75E72EB7" w:rsidR="00AD3606" w:rsidRPr="00AA64B0" w:rsidRDefault="00AA64B0" w:rsidP="00BA5C84">
            <w:pPr>
              <w:spacing w:before="160"/>
              <w:rPr>
                <w:i/>
                <w:iCs/>
                <w:sz w:val="22"/>
                <w:szCs w:val="22"/>
              </w:rPr>
            </w:pPr>
            <w:r w:rsidRPr="00AA64B0">
              <w:rPr>
                <w:i/>
                <w:iCs/>
                <w:sz w:val="22"/>
                <w:szCs w:val="22"/>
              </w:rPr>
              <w:t xml:space="preserve">Document </w:t>
            </w:r>
            <w:hyperlink r:id="rId11" w:history="1">
              <w:r w:rsidR="00BA5C84" w:rsidRPr="00AA64B0">
                <w:rPr>
                  <w:rStyle w:val="Hyperlink"/>
                  <w:i/>
                  <w:iCs/>
                  <w:sz w:val="22"/>
                  <w:szCs w:val="22"/>
                </w:rPr>
                <w:t>CWG-FHR-19/3</w:t>
              </w:r>
            </w:hyperlink>
          </w:p>
          <w:p w14:paraId="0175CD6C" w14:textId="43CC2629" w:rsidR="00BA5C84" w:rsidRPr="00395115" w:rsidRDefault="00BA5C84" w:rsidP="00BA5C84">
            <w:pPr>
              <w:spacing w:before="160"/>
              <w:rPr>
                <w:i/>
                <w:iCs/>
                <w:sz w:val="22"/>
                <w:szCs w:val="22"/>
              </w:rPr>
            </w:pPr>
          </w:p>
        </w:tc>
      </w:tr>
    </w:tbl>
    <w:p w14:paraId="4CDB8B60" w14:textId="77777777" w:rsidR="00E227F3" w:rsidRPr="0039511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9511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95115">
        <w:br w:type="page"/>
      </w:r>
    </w:p>
    <w:bookmarkEnd w:id="5"/>
    <w:bookmarkEnd w:id="10"/>
    <w:p w14:paraId="4E226136" w14:textId="77777777" w:rsidR="00BA5C84" w:rsidRPr="00395115" w:rsidRDefault="00BA5C84" w:rsidP="00AA64B0">
      <w:pPr>
        <w:pStyle w:val="Headingb"/>
      </w:pPr>
      <w:r w:rsidRPr="00395115">
        <w:lastRenderedPageBreak/>
        <w:t>Background </w:t>
      </w:r>
    </w:p>
    <w:p w14:paraId="267177CF" w14:textId="03EA5B2F" w:rsidR="00BA5C84" w:rsidRPr="00395115" w:rsidRDefault="00BA5C84" w:rsidP="00AA64B0">
      <w:pPr>
        <w:jc w:val="both"/>
      </w:pPr>
      <w:r w:rsidRPr="00395115">
        <w:t xml:space="preserve">We extend our gratitude to the General Secretariat for designing the template to facilitate the identification of the financial implications of the conference proposal outlined in </w:t>
      </w:r>
      <w:r w:rsidR="00F033DA" w:rsidRPr="00395115">
        <w:t>Document</w:t>
      </w:r>
      <w:r w:rsidR="00395115" w:rsidRPr="00395115">
        <w:t> </w:t>
      </w:r>
      <w:r w:rsidRPr="00395115">
        <w:t>19/3.</w:t>
      </w:r>
    </w:p>
    <w:p w14:paraId="362A0FEC" w14:textId="77777777" w:rsidR="00BA5C84" w:rsidRPr="00395115" w:rsidRDefault="00BA5C84" w:rsidP="00AA64B0">
      <w:pPr>
        <w:jc w:val="both"/>
      </w:pPr>
      <w:r w:rsidRPr="00395115">
        <w:t>We acknowledge the importance of managing Union expenses in accordance with the approved budgetary constraints specified in Article 34 of the ITU Convention. Adhering to this principle is essential for ensuring the Union's financial sustainability as it strives to accomplish its strategic goals, promote universal connectivity, and drive sustainable digital transformation.</w:t>
      </w:r>
    </w:p>
    <w:p w14:paraId="693177D7" w14:textId="51DD5E00" w:rsidR="00BA5C84" w:rsidRPr="00395115" w:rsidRDefault="00BA5C84" w:rsidP="00AA64B0">
      <w:pPr>
        <w:jc w:val="both"/>
      </w:pPr>
      <w:r w:rsidRPr="00395115">
        <w:t xml:space="preserve">The proposal to conduct initial assessments of the financial implications of </w:t>
      </w:r>
      <w:r w:rsidR="00395115" w:rsidRPr="00395115">
        <w:t xml:space="preserve">Member States' </w:t>
      </w:r>
      <w:r w:rsidRPr="00395115">
        <w:t xml:space="preserve">contributions is </w:t>
      </w:r>
      <w:r w:rsidR="00F033DA" w:rsidRPr="00395115">
        <w:t>emphasised</w:t>
      </w:r>
      <w:r w:rsidRPr="00395115">
        <w:t xml:space="preserve"> in ITU Decision 5 of the PP</w:t>
      </w:r>
      <w:r w:rsidR="00395115" w:rsidRPr="00395115">
        <w:t>-</w:t>
      </w:r>
      <w:r w:rsidRPr="00395115">
        <w:t xml:space="preserve">22. However, it is crucial to recognize the feasibility of conducting such assessments with the assistance of the ITU secretariat before the Conference's Budget Committee </w:t>
      </w:r>
      <w:proofErr w:type="spellStart"/>
      <w:r w:rsidRPr="00395115">
        <w:t>fulfills</w:t>
      </w:r>
      <w:proofErr w:type="spellEnd"/>
      <w:r w:rsidRPr="00395115">
        <w:t xml:space="preserve"> its obligation to determine the financial implications of contributions to the Conferences.</w:t>
      </w:r>
    </w:p>
    <w:p w14:paraId="71CEC761" w14:textId="625DAA55" w:rsidR="00BA5C84" w:rsidRPr="00395115" w:rsidRDefault="00246F47" w:rsidP="00AA64B0">
      <w:pPr>
        <w:pStyle w:val="Headingb"/>
      </w:pPr>
      <w:r w:rsidRPr="00395115">
        <w:t xml:space="preserve">Proposal </w:t>
      </w:r>
    </w:p>
    <w:p w14:paraId="37CC82D4" w14:textId="5B27B445" w:rsidR="00246F47" w:rsidRPr="00395115" w:rsidRDefault="00246F47" w:rsidP="00AA64B0">
      <w:pPr>
        <w:jc w:val="both"/>
        <w:rPr>
          <w:b/>
        </w:rPr>
      </w:pPr>
      <w:r w:rsidRPr="00395115">
        <w:t>Although the issue of financial implications from the outcomes of conferences and Assemblies is an important matter to be considered, it is premature to move forward for the time being with proposal contained in</w:t>
      </w:r>
      <w:r w:rsidR="00AA64B0">
        <w:t xml:space="preserve"> Document</w:t>
      </w:r>
      <w:r w:rsidRPr="00395115">
        <w:t xml:space="preserve"> </w:t>
      </w:r>
      <w:hyperlink r:id="rId12" w:history="1">
        <w:r w:rsidRPr="00AA64B0">
          <w:rPr>
            <w:rStyle w:val="Hyperlink"/>
          </w:rPr>
          <w:t>CWG-FHR-19/3</w:t>
        </w:r>
      </w:hyperlink>
      <w:r w:rsidRPr="00395115">
        <w:rPr>
          <w:bCs/>
        </w:rPr>
        <w:t xml:space="preserve">. </w:t>
      </w:r>
    </w:p>
    <w:p w14:paraId="3BC3C779" w14:textId="259996C9" w:rsidR="00246F47" w:rsidRDefault="00246F47" w:rsidP="00AA64B0">
      <w:pPr>
        <w:jc w:val="both"/>
      </w:pPr>
      <w:r w:rsidRPr="00395115">
        <w:t>We suggest that the discussions should continue on exploring various mechanisms in dealing with financial implications from the outcomes of conferences and Assemblies (including on unforeseen budgeted activities, Unfunded mandatory activities (UMACs), etc</w:t>
      </w:r>
      <w:r w:rsidR="00395115" w:rsidRPr="00395115">
        <w:t>.</w:t>
      </w:r>
      <w:r w:rsidRPr="00395115">
        <w:t xml:space="preserve">), in particular the new Regulations introduced in recent amendment of the Financial Regulations and financial rules, such as the contingency funds, the reserve account. </w:t>
      </w:r>
    </w:p>
    <w:p w14:paraId="7B242C4E" w14:textId="77777777" w:rsidR="00AA64B0" w:rsidRDefault="00AA64B0" w:rsidP="00AA64B0">
      <w:pPr>
        <w:jc w:val="both"/>
      </w:pPr>
    </w:p>
    <w:p w14:paraId="55DF7316" w14:textId="77777777" w:rsidR="00AA64B0" w:rsidRPr="00395115" w:rsidRDefault="00AA64B0" w:rsidP="00AA64B0">
      <w:pPr>
        <w:jc w:val="both"/>
      </w:pPr>
    </w:p>
    <w:p w14:paraId="02B5CC5E" w14:textId="784EE7A8" w:rsidR="00AA64B0" w:rsidRDefault="00AA64B0" w:rsidP="00AA64B0">
      <w:pPr>
        <w:jc w:val="center"/>
      </w:pPr>
      <w:r>
        <w:t>______________</w:t>
      </w:r>
    </w:p>
    <w:sectPr w:rsidR="00AA64B0"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B369" w14:textId="77777777" w:rsidR="00E17364" w:rsidRDefault="00E17364">
      <w:r>
        <w:separator/>
      </w:r>
    </w:p>
  </w:endnote>
  <w:endnote w:type="continuationSeparator" w:id="0">
    <w:p w14:paraId="3A1F128D" w14:textId="77777777" w:rsidR="00E17364" w:rsidRDefault="00E1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5A2BEAD0"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E03C3D">
            <w:rPr>
              <w:bCs/>
            </w:rPr>
            <w:t>9</w:t>
          </w:r>
          <w:r w:rsidR="00A52C84" w:rsidRPr="00623AE3">
            <w:rPr>
              <w:bCs/>
            </w:rPr>
            <w:t>/</w:t>
          </w:r>
          <w:r w:rsidR="00395115">
            <w:rPr>
              <w:bCs/>
            </w:rPr>
            <w:t>13</w:t>
          </w:r>
          <w:r w:rsidR="00A52C84" w:rsidRPr="00623AE3">
            <w:rPr>
              <w:bCs/>
            </w:rPr>
            <w:t>-E</w:t>
          </w:r>
          <w:r>
            <w:rPr>
              <w:bCs/>
            </w:rPr>
            <w:tab/>
          </w:r>
          <w:r>
            <w:fldChar w:fldCharType="begin"/>
          </w:r>
          <w:r>
            <w:instrText>PAGE</w:instrText>
          </w:r>
          <w:r>
            <w:fldChar w:fldCharType="separate"/>
          </w:r>
          <w:r w:rsidR="00246F47">
            <w:rPr>
              <w:noProof/>
            </w:rPr>
            <w:t>3</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4ABBDBD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03C3D">
            <w:rPr>
              <w:bCs/>
            </w:rPr>
            <w:t>9</w:t>
          </w:r>
          <w:r w:rsidRPr="00623AE3">
            <w:rPr>
              <w:bCs/>
            </w:rPr>
            <w:t>/</w:t>
          </w:r>
          <w:r w:rsidR="00395115">
            <w:rPr>
              <w:bCs/>
            </w:rPr>
            <w:t>13</w:t>
          </w:r>
          <w:r w:rsidRPr="00623AE3">
            <w:rPr>
              <w:bCs/>
            </w:rPr>
            <w:t>-E</w:t>
          </w:r>
          <w:r>
            <w:rPr>
              <w:bCs/>
            </w:rPr>
            <w:tab/>
          </w:r>
          <w:r>
            <w:fldChar w:fldCharType="begin"/>
          </w:r>
          <w:r>
            <w:instrText>PAGE</w:instrText>
          </w:r>
          <w:r>
            <w:fldChar w:fldCharType="separate"/>
          </w:r>
          <w:r w:rsidR="00246F47">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8AFA" w14:textId="77777777" w:rsidR="00E17364" w:rsidRDefault="00E17364">
      <w:r>
        <w:t>____________________</w:t>
      </w:r>
    </w:p>
  </w:footnote>
  <w:footnote w:type="continuationSeparator" w:id="0">
    <w:p w14:paraId="1F2F8FFE" w14:textId="77777777" w:rsidR="00E17364" w:rsidRDefault="00E1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fr-FR" w:eastAsia="fr-FR"/>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A41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fr-FR" w:eastAsia="fr-FR"/>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fr-FR" w:eastAsia="fr-FR"/>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D85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fr-FR" w:eastAsia="fr-FR"/>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39D8D4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058DA">
                      <w:rPr>
                        <w:b/>
                        <w:bCs/>
                        <w:szCs w:val="24"/>
                      </w:rPr>
                      <w:t xml:space="preserve">financial </w:t>
                    </w:r>
                    <w:r w:rsidR="009F347C">
                      <w:rPr>
                        <w:b/>
                        <w:bCs/>
                        <w:szCs w:val="24"/>
                      </w:rPr>
                      <w:t xml:space="preserve">and </w:t>
                    </w:r>
                    <w:r w:rsidR="003058DA">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74032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001E"/>
    <w:rsid w:val="000210D4"/>
    <w:rsid w:val="00022A8E"/>
    <w:rsid w:val="00063016"/>
    <w:rsid w:val="00066795"/>
    <w:rsid w:val="00076AF6"/>
    <w:rsid w:val="00085CF2"/>
    <w:rsid w:val="000B1705"/>
    <w:rsid w:val="000D75B2"/>
    <w:rsid w:val="000F2FD1"/>
    <w:rsid w:val="0010599B"/>
    <w:rsid w:val="001121F5"/>
    <w:rsid w:val="00130599"/>
    <w:rsid w:val="001400DC"/>
    <w:rsid w:val="00140CE1"/>
    <w:rsid w:val="001751FF"/>
    <w:rsid w:val="0017539C"/>
    <w:rsid w:val="00175AC2"/>
    <w:rsid w:val="0017609F"/>
    <w:rsid w:val="0019628A"/>
    <w:rsid w:val="001A7D1D"/>
    <w:rsid w:val="001B4570"/>
    <w:rsid w:val="001B51DD"/>
    <w:rsid w:val="001C628E"/>
    <w:rsid w:val="001D5E99"/>
    <w:rsid w:val="001E0F7B"/>
    <w:rsid w:val="001E0FBE"/>
    <w:rsid w:val="002119FD"/>
    <w:rsid w:val="002130E0"/>
    <w:rsid w:val="00215A2C"/>
    <w:rsid w:val="00231B2E"/>
    <w:rsid w:val="002404ED"/>
    <w:rsid w:val="00244F7F"/>
    <w:rsid w:val="00246F47"/>
    <w:rsid w:val="00260ACE"/>
    <w:rsid w:val="00264425"/>
    <w:rsid w:val="00265875"/>
    <w:rsid w:val="00265AB4"/>
    <w:rsid w:val="0027303B"/>
    <w:rsid w:val="0028109B"/>
    <w:rsid w:val="002A2188"/>
    <w:rsid w:val="002A442D"/>
    <w:rsid w:val="002A6EF1"/>
    <w:rsid w:val="002B1F58"/>
    <w:rsid w:val="002B2746"/>
    <w:rsid w:val="002C1C7A"/>
    <w:rsid w:val="002C54E2"/>
    <w:rsid w:val="002D5DBD"/>
    <w:rsid w:val="0030160F"/>
    <w:rsid w:val="003058DA"/>
    <w:rsid w:val="00320223"/>
    <w:rsid w:val="00322D0D"/>
    <w:rsid w:val="003515F5"/>
    <w:rsid w:val="00361465"/>
    <w:rsid w:val="003877F5"/>
    <w:rsid w:val="00390D2E"/>
    <w:rsid w:val="003942D4"/>
    <w:rsid w:val="00395115"/>
    <w:rsid w:val="003958A8"/>
    <w:rsid w:val="003B6D23"/>
    <w:rsid w:val="003C2533"/>
    <w:rsid w:val="003D55B9"/>
    <w:rsid w:val="003D5A7F"/>
    <w:rsid w:val="004016E2"/>
    <w:rsid w:val="0040435A"/>
    <w:rsid w:val="00410EA1"/>
    <w:rsid w:val="00416A24"/>
    <w:rsid w:val="00431D9E"/>
    <w:rsid w:val="00433CE8"/>
    <w:rsid w:val="00434A5C"/>
    <w:rsid w:val="004544D9"/>
    <w:rsid w:val="00472BAD"/>
    <w:rsid w:val="004753A8"/>
    <w:rsid w:val="00484009"/>
    <w:rsid w:val="00490E72"/>
    <w:rsid w:val="00491157"/>
    <w:rsid w:val="004921C8"/>
    <w:rsid w:val="00495B0B"/>
    <w:rsid w:val="004A1B8B"/>
    <w:rsid w:val="004D1851"/>
    <w:rsid w:val="004D599D"/>
    <w:rsid w:val="004E2037"/>
    <w:rsid w:val="004E2EA5"/>
    <w:rsid w:val="004E3AEB"/>
    <w:rsid w:val="004F5EC4"/>
    <w:rsid w:val="0050223C"/>
    <w:rsid w:val="0051712B"/>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927D1"/>
    <w:rsid w:val="00696075"/>
    <w:rsid w:val="00697E82"/>
    <w:rsid w:val="006B1859"/>
    <w:rsid w:val="006B6680"/>
    <w:rsid w:val="006B6DCC"/>
    <w:rsid w:val="00702DEF"/>
    <w:rsid w:val="00706861"/>
    <w:rsid w:val="0075051B"/>
    <w:rsid w:val="00773849"/>
    <w:rsid w:val="00775655"/>
    <w:rsid w:val="00793188"/>
    <w:rsid w:val="00794D34"/>
    <w:rsid w:val="00795DF1"/>
    <w:rsid w:val="00813E5E"/>
    <w:rsid w:val="00833D8E"/>
    <w:rsid w:val="0083581B"/>
    <w:rsid w:val="00863874"/>
    <w:rsid w:val="00864AFF"/>
    <w:rsid w:val="00865925"/>
    <w:rsid w:val="00891503"/>
    <w:rsid w:val="008A4C6B"/>
    <w:rsid w:val="008B4A6A"/>
    <w:rsid w:val="008C7E27"/>
    <w:rsid w:val="008F7448"/>
    <w:rsid w:val="0090147A"/>
    <w:rsid w:val="009015C6"/>
    <w:rsid w:val="009173EF"/>
    <w:rsid w:val="00930A4A"/>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94376"/>
    <w:rsid w:val="00A945E9"/>
    <w:rsid w:val="00AA64B0"/>
    <w:rsid w:val="00AD15B3"/>
    <w:rsid w:val="00AD3606"/>
    <w:rsid w:val="00AD4A3D"/>
    <w:rsid w:val="00AF6E49"/>
    <w:rsid w:val="00B01BD6"/>
    <w:rsid w:val="00B04A67"/>
    <w:rsid w:val="00B0583C"/>
    <w:rsid w:val="00B167A6"/>
    <w:rsid w:val="00B358B2"/>
    <w:rsid w:val="00B40A81"/>
    <w:rsid w:val="00B44910"/>
    <w:rsid w:val="00B72267"/>
    <w:rsid w:val="00B76EB6"/>
    <w:rsid w:val="00B7737B"/>
    <w:rsid w:val="00B824C8"/>
    <w:rsid w:val="00B84B9D"/>
    <w:rsid w:val="00BA5C84"/>
    <w:rsid w:val="00BC251A"/>
    <w:rsid w:val="00BD032B"/>
    <w:rsid w:val="00BD1693"/>
    <w:rsid w:val="00BE2640"/>
    <w:rsid w:val="00C01189"/>
    <w:rsid w:val="00C374DE"/>
    <w:rsid w:val="00C47AD4"/>
    <w:rsid w:val="00C52D81"/>
    <w:rsid w:val="00C55198"/>
    <w:rsid w:val="00CA6393"/>
    <w:rsid w:val="00CA7CB8"/>
    <w:rsid w:val="00CB0B54"/>
    <w:rsid w:val="00CB18FF"/>
    <w:rsid w:val="00CD0C08"/>
    <w:rsid w:val="00CD66FF"/>
    <w:rsid w:val="00CE03FB"/>
    <w:rsid w:val="00CE433C"/>
    <w:rsid w:val="00CE6FF8"/>
    <w:rsid w:val="00CF0161"/>
    <w:rsid w:val="00CF33F3"/>
    <w:rsid w:val="00D06183"/>
    <w:rsid w:val="00D22C42"/>
    <w:rsid w:val="00D464CC"/>
    <w:rsid w:val="00D65041"/>
    <w:rsid w:val="00DB00D5"/>
    <w:rsid w:val="00DB1936"/>
    <w:rsid w:val="00DB384B"/>
    <w:rsid w:val="00DF0189"/>
    <w:rsid w:val="00E03C3D"/>
    <w:rsid w:val="00E06FD5"/>
    <w:rsid w:val="00E10E80"/>
    <w:rsid w:val="00E124F0"/>
    <w:rsid w:val="00E17364"/>
    <w:rsid w:val="00E227F3"/>
    <w:rsid w:val="00E321E1"/>
    <w:rsid w:val="00E545C6"/>
    <w:rsid w:val="00E60F04"/>
    <w:rsid w:val="00E65B24"/>
    <w:rsid w:val="00E854E4"/>
    <w:rsid w:val="00E86DBF"/>
    <w:rsid w:val="00E9087A"/>
    <w:rsid w:val="00EB0D6F"/>
    <w:rsid w:val="00EB2232"/>
    <w:rsid w:val="00EC5337"/>
    <w:rsid w:val="00ED0FE0"/>
    <w:rsid w:val="00ED454D"/>
    <w:rsid w:val="00EE49E8"/>
    <w:rsid w:val="00F033DA"/>
    <w:rsid w:val="00F16BAB"/>
    <w:rsid w:val="00F2150A"/>
    <w:rsid w:val="00F231D8"/>
    <w:rsid w:val="00F44C00"/>
    <w:rsid w:val="00F45D2C"/>
    <w:rsid w:val="00F46C5F"/>
    <w:rsid w:val="00F632C0"/>
    <w:rsid w:val="00F74694"/>
    <w:rsid w:val="00F94A63"/>
    <w:rsid w:val="00FA1C28"/>
    <w:rsid w:val="00FB1279"/>
    <w:rsid w:val="00FB6768"/>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FB067565-59A4-4C1C-97F4-FF8DCEB3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FD7016"/>
    <w:rPr>
      <w:color w:val="605E5C"/>
      <w:shd w:val="clear" w:color="auto" w:fill="E1DFDD"/>
    </w:rPr>
  </w:style>
  <w:style w:type="paragraph" w:styleId="Revision">
    <w:name w:val="Revision"/>
    <w:hidden/>
    <w:uiPriority w:val="99"/>
    <w:semiHidden/>
    <w:rsid w:val="00CD66FF"/>
    <w:rPr>
      <w:rFonts w:ascii="Calibri" w:hAnsi="Calibri"/>
      <w:sz w:val="24"/>
      <w:lang w:val="en-GB" w:eastAsia="en-US"/>
    </w:rPr>
  </w:style>
  <w:style w:type="paragraph" w:styleId="BalloonText">
    <w:name w:val="Balloon Text"/>
    <w:basedOn w:val="Normal"/>
    <w:link w:val="BalloonTextChar"/>
    <w:semiHidden/>
    <w:unhideWhenUsed/>
    <w:rsid w:val="00246F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6F47"/>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95115"/>
    <w:rPr>
      <w:color w:val="605E5C"/>
      <w:shd w:val="clear" w:color="auto" w:fill="E1DFDD"/>
    </w:rPr>
  </w:style>
  <w:style w:type="paragraph" w:customStyle="1" w:styleId="Reasons">
    <w:name w:val="Reasons"/>
    <w:basedOn w:val="Normal"/>
    <w:qFormat/>
    <w:rsid w:val="00AA64B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73087">
      <w:bodyDiv w:val="1"/>
      <w:marLeft w:val="0"/>
      <w:marRight w:val="0"/>
      <w:marTop w:val="0"/>
      <w:marBottom w:val="0"/>
      <w:divBdr>
        <w:top w:val="none" w:sz="0" w:space="0" w:color="auto"/>
        <w:left w:val="none" w:sz="0" w:space="0" w:color="auto"/>
        <w:bottom w:val="none" w:sz="0" w:space="0" w:color="auto"/>
        <w:right w:val="none" w:sz="0" w:space="0" w:color="auto"/>
      </w:divBdr>
    </w:div>
    <w:div w:id="14199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WGFHR19-C-0003/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WGFHR19-C-0003/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EEFA6-F5F4-47F4-9BB1-E9F299B53320}">
  <ds:schemaRefs>
    <ds:schemaRef ds:uri="http://purl.org/dc/elements/1.1/"/>
    <ds:schemaRef ds:uri="http://schemas.microsoft.com/sharepoint/v3"/>
    <ds:schemaRef ds:uri="1aaea1ea-72e4-4374-b05e-72e2f16fb7a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4C2179-BB61-4F18-BC0E-C4C02BADF8EB}">
  <ds:schemaRefs>
    <ds:schemaRef ds:uri="http://schemas.openxmlformats.org/officeDocument/2006/bibliography"/>
  </ds:schemaRefs>
</ds:datastoreItem>
</file>

<file path=customXml/itemProps3.xml><?xml version="1.0" encoding="utf-8"?>
<ds:datastoreItem xmlns:ds="http://schemas.openxmlformats.org/officeDocument/2006/customXml" ds:itemID="{B8D47C4F-DE56-439E-ADCF-80C72DBF2367}">
  <ds:schemaRefs>
    <ds:schemaRef ds:uri="http://schemas.microsoft.com/sharepoint/v3/contenttype/forms"/>
  </ds:schemaRefs>
</ds:datastoreItem>
</file>

<file path=customXml/itemProps4.xml><?xml version="1.0" encoding="utf-8"?>
<ds:datastoreItem xmlns:ds="http://schemas.openxmlformats.org/officeDocument/2006/customXml" ds:itemID="{DFF5BAC3-5856-4808-B3B0-8DC53F13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by South Africa - Assessment of the financial implications of conference proposals</vt:lpstr>
      <vt:lpstr/>
    </vt:vector>
  </TitlesOfParts>
  <Manager/>
  <Company/>
  <LinksUpToDate>false</LinksUpToDate>
  <CharactersWithSpaces>2339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South Africa - Assessment of the financial implications of conference proposals</dc:title>
  <dc:subject>ITU Council Working Group on Financial and Human Resources</dc:subject>
  <cp:keywords>CWG-FHR, C24, Council-24</cp:keywords>
  <dc:description/>
  <cp:revision>2</cp:revision>
  <dcterms:created xsi:type="dcterms:W3CDTF">2024-09-26T06:16:00Z</dcterms:created>
  <dcterms:modified xsi:type="dcterms:W3CDTF">2024-09-26T06:16:00Z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GrammarlyDocumentId">
    <vt:lpwstr>30370165ba18f91717acd6ca82de3ae710ad9bd537994e49775c4a7e5fb34494</vt:lpwstr>
  </property>
</Properties>
</file>