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D105E" w14:paraId="0043AC80" w14:textId="77777777" w:rsidTr="3102011C">
        <w:trPr>
          <w:cantSplit/>
          <w:trHeight w:val="23"/>
        </w:trPr>
        <w:tc>
          <w:tcPr>
            <w:tcW w:w="3969" w:type="dxa"/>
            <w:vMerge w:val="restart"/>
            <w:tcMar>
              <w:left w:w="0" w:type="dxa"/>
            </w:tcMar>
          </w:tcPr>
          <w:p w14:paraId="60A806D3" w14:textId="6316C87D" w:rsidR="00AD3606" w:rsidRPr="00791D9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4F352441" w:rsidR="00AD3606" w:rsidRPr="00C84BF9" w:rsidRDefault="00AD3606" w:rsidP="00472BAD">
            <w:pPr>
              <w:tabs>
                <w:tab w:val="left" w:pos="851"/>
              </w:tabs>
              <w:spacing w:before="0" w:line="240" w:lineRule="atLeast"/>
              <w:jc w:val="right"/>
              <w:rPr>
                <w:b/>
                <w:lang w:val="fr-FR"/>
              </w:rPr>
            </w:pPr>
            <w:r w:rsidRPr="00C84BF9">
              <w:rPr>
                <w:b/>
                <w:lang w:val="fr-FR"/>
              </w:rPr>
              <w:t>Document C</w:t>
            </w:r>
            <w:r w:rsidR="00A52C84" w:rsidRPr="00C84BF9">
              <w:rPr>
                <w:b/>
                <w:lang w:val="fr-FR"/>
              </w:rPr>
              <w:t>WG-</w:t>
            </w:r>
            <w:r w:rsidR="009F347C" w:rsidRPr="00C84BF9">
              <w:rPr>
                <w:b/>
                <w:lang w:val="fr-FR"/>
              </w:rPr>
              <w:t>FHR</w:t>
            </w:r>
            <w:r w:rsidR="00A52C84" w:rsidRPr="00C84BF9">
              <w:rPr>
                <w:b/>
                <w:lang w:val="fr-FR"/>
              </w:rPr>
              <w:t>-</w:t>
            </w:r>
            <w:r w:rsidR="002404ED" w:rsidRPr="00C84BF9">
              <w:rPr>
                <w:b/>
                <w:lang w:val="fr-FR"/>
              </w:rPr>
              <w:t>1</w:t>
            </w:r>
            <w:r w:rsidR="00E03C3D" w:rsidRPr="00C84BF9">
              <w:rPr>
                <w:b/>
                <w:lang w:val="fr-FR"/>
              </w:rPr>
              <w:t>9</w:t>
            </w:r>
            <w:r w:rsidRPr="00C84BF9">
              <w:rPr>
                <w:b/>
                <w:lang w:val="fr-FR"/>
              </w:rPr>
              <w:t>/</w:t>
            </w:r>
            <w:r w:rsidR="00B75E29">
              <w:rPr>
                <w:b/>
                <w:lang w:val="fr-FR"/>
              </w:rPr>
              <w:t>4</w:t>
            </w:r>
            <w:r w:rsidR="00221E4D" w:rsidRPr="00C84BF9">
              <w:rPr>
                <w:b/>
                <w:lang w:val="fr-FR"/>
              </w:rPr>
              <w:t>-E</w:t>
            </w:r>
          </w:p>
        </w:tc>
      </w:tr>
      <w:tr w:rsidR="00AD3606" w:rsidRPr="00791D94" w14:paraId="789B45BA" w14:textId="77777777" w:rsidTr="3102011C">
        <w:trPr>
          <w:cantSplit/>
        </w:trPr>
        <w:tc>
          <w:tcPr>
            <w:tcW w:w="3969" w:type="dxa"/>
            <w:vMerge/>
          </w:tcPr>
          <w:p w14:paraId="3F3D4E17" w14:textId="77777777" w:rsidR="00AD3606" w:rsidRPr="00C84BF9"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DE9ACEA" w14:textId="1A39FB67" w:rsidR="00AD3606" w:rsidRPr="00791D94" w:rsidRDefault="00B75E29" w:rsidP="00AD3606">
            <w:pPr>
              <w:tabs>
                <w:tab w:val="left" w:pos="851"/>
              </w:tabs>
              <w:spacing w:before="0"/>
              <w:jc w:val="right"/>
              <w:rPr>
                <w:b/>
              </w:rPr>
            </w:pPr>
            <w:r>
              <w:rPr>
                <w:b/>
              </w:rPr>
              <w:t>7 September</w:t>
            </w:r>
            <w:r w:rsidR="00AD3606" w:rsidRPr="00791D94">
              <w:rPr>
                <w:b/>
              </w:rPr>
              <w:t xml:space="preserve"> 202</w:t>
            </w:r>
            <w:r w:rsidR="00A94376" w:rsidRPr="00791D94">
              <w:rPr>
                <w:b/>
              </w:rPr>
              <w:t>4</w:t>
            </w:r>
          </w:p>
        </w:tc>
      </w:tr>
      <w:tr w:rsidR="00AD3606" w:rsidRPr="00791D94" w14:paraId="58A84C4A" w14:textId="77777777" w:rsidTr="3102011C">
        <w:trPr>
          <w:cantSplit/>
          <w:trHeight w:val="23"/>
        </w:trPr>
        <w:tc>
          <w:tcPr>
            <w:tcW w:w="3969" w:type="dxa"/>
            <w:vMerge/>
          </w:tcPr>
          <w:p w14:paraId="77CEDDAA" w14:textId="77777777" w:rsidR="00AD3606" w:rsidRPr="00791D94"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791D94" w:rsidRDefault="00891503" w:rsidP="00AD3606">
            <w:pPr>
              <w:tabs>
                <w:tab w:val="left" w:pos="851"/>
              </w:tabs>
              <w:spacing w:before="0" w:line="240" w:lineRule="atLeast"/>
              <w:jc w:val="right"/>
              <w:rPr>
                <w:b/>
              </w:rPr>
            </w:pPr>
            <w:r w:rsidRPr="00791D94">
              <w:rPr>
                <w:b/>
              </w:rPr>
              <w:t>English</w:t>
            </w:r>
            <w:r w:rsidR="009B2D4B" w:rsidRPr="00791D94">
              <w:rPr>
                <w:b/>
              </w:rPr>
              <w:t xml:space="preserve"> only</w:t>
            </w:r>
          </w:p>
        </w:tc>
      </w:tr>
      <w:tr w:rsidR="00472BAD" w:rsidRPr="00791D94" w14:paraId="12C5EF5F" w14:textId="77777777" w:rsidTr="3102011C">
        <w:trPr>
          <w:cantSplit/>
          <w:trHeight w:val="23"/>
        </w:trPr>
        <w:tc>
          <w:tcPr>
            <w:tcW w:w="3969" w:type="dxa"/>
          </w:tcPr>
          <w:p w14:paraId="4B839BA2" w14:textId="77777777" w:rsidR="00472BAD" w:rsidRPr="00791D94" w:rsidRDefault="00472BAD" w:rsidP="00AD3606">
            <w:pPr>
              <w:tabs>
                <w:tab w:val="left" w:pos="851"/>
              </w:tabs>
              <w:spacing w:line="240" w:lineRule="atLeast"/>
              <w:rPr>
                <w:b/>
              </w:rPr>
            </w:pPr>
          </w:p>
        </w:tc>
        <w:tc>
          <w:tcPr>
            <w:tcW w:w="5245" w:type="dxa"/>
          </w:tcPr>
          <w:p w14:paraId="12F66D25" w14:textId="77777777" w:rsidR="00472BAD" w:rsidRPr="00791D94" w:rsidRDefault="00472BAD" w:rsidP="00AD3606">
            <w:pPr>
              <w:tabs>
                <w:tab w:val="left" w:pos="851"/>
              </w:tabs>
              <w:spacing w:before="0" w:line="240" w:lineRule="atLeast"/>
              <w:jc w:val="right"/>
              <w:rPr>
                <w:b/>
              </w:rPr>
            </w:pPr>
          </w:p>
        </w:tc>
      </w:tr>
      <w:tr w:rsidR="00AD3606" w:rsidRPr="00791D94" w14:paraId="27000B2A" w14:textId="77777777" w:rsidTr="3102011C">
        <w:trPr>
          <w:cantSplit/>
        </w:trPr>
        <w:tc>
          <w:tcPr>
            <w:tcW w:w="9214" w:type="dxa"/>
            <w:gridSpan w:val="2"/>
            <w:tcMar>
              <w:left w:w="0" w:type="dxa"/>
            </w:tcMar>
          </w:tcPr>
          <w:p w14:paraId="4E7CDB90" w14:textId="4678E0AB" w:rsidR="00AD3606" w:rsidRPr="00791D94" w:rsidRDefault="00905532" w:rsidP="00676C7D">
            <w:pPr>
              <w:pStyle w:val="Source"/>
              <w:framePr w:hSpace="0" w:wrap="auto" w:vAnchor="margin" w:hAnchor="text" w:xAlign="left" w:yAlign="inline"/>
            </w:pPr>
            <w:bookmarkStart w:id="8" w:name="dsource" w:colFirst="0" w:colLast="0"/>
            <w:bookmarkEnd w:id="7"/>
            <w:r>
              <w:t>Report by the Secretary-General</w:t>
            </w:r>
          </w:p>
        </w:tc>
      </w:tr>
      <w:tr w:rsidR="00AD3606" w:rsidRPr="00791D94" w14:paraId="2340750D" w14:textId="77777777" w:rsidTr="3102011C">
        <w:trPr>
          <w:cantSplit/>
        </w:trPr>
        <w:tc>
          <w:tcPr>
            <w:tcW w:w="9214" w:type="dxa"/>
            <w:gridSpan w:val="2"/>
            <w:tcMar>
              <w:left w:w="0" w:type="dxa"/>
            </w:tcMar>
          </w:tcPr>
          <w:p w14:paraId="47B91AA8" w14:textId="5ECB96A9" w:rsidR="00AD3606" w:rsidRPr="00791D94" w:rsidRDefault="00905532" w:rsidP="00EC68FE">
            <w:pPr>
              <w:pStyle w:val="Subtitle1"/>
              <w:framePr w:hSpace="0" w:wrap="auto" w:xAlign="left" w:yAlign="inline"/>
            </w:pPr>
            <w:bookmarkStart w:id="9" w:name="dtitle1" w:colFirst="0" w:colLast="0"/>
            <w:bookmarkStart w:id="10" w:name="_Hlk176627905"/>
            <w:bookmarkEnd w:id="8"/>
            <w:r w:rsidRPr="00791D94">
              <w:t>CODE OF CONDUCT AT ITU EVENTS – WORKING TOGETHER FOR A</w:t>
            </w:r>
            <w:r>
              <w:t> </w:t>
            </w:r>
            <w:r w:rsidRPr="00791D94">
              <w:t>CULTURE OF RESPECT</w:t>
            </w:r>
            <w:bookmarkEnd w:id="10"/>
          </w:p>
        </w:tc>
      </w:tr>
      <w:tr w:rsidR="00AD3606" w:rsidRPr="00791D94" w14:paraId="1F564D2D" w14:textId="77777777" w:rsidTr="3102011C">
        <w:trPr>
          <w:cantSplit/>
        </w:trPr>
        <w:tc>
          <w:tcPr>
            <w:tcW w:w="9214" w:type="dxa"/>
            <w:gridSpan w:val="2"/>
            <w:tcBorders>
              <w:top w:val="single" w:sz="4" w:space="0" w:color="auto"/>
              <w:bottom w:val="single" w:sz="4" w:space="0" w:color="auto"/>
            </w:tcBorders>
            <w:tcMar>
              <w:left w:w="0" w:type="dxa"/>
            </w:tcMar>
          </w:tcPr>
          <w:p w14:paraId="7AD73B47" w14:textId="3A59D05A" w:rsidR="00AD3606" w:rsidRPr="00791D94" w:rsidRDefault="5E623739" w:rsidP="00F16BAB">
            <w:pPr>
              <w:spacing w:before="160"/>
              <w:rPr>
                <w:b/>
                <w:bCs/>
                <w:sz w:val="26"/>
                <w:szCs w:val="26"/>
              </w:rPr>
            </w:pPr>
            <w:r w:rsidRPr="3102011C">
              <w:rPr>
                <w:b/>
                <w:bCs/>
                <w:sz w:val="26"/>
                <w:szCs w:val="26"/>
              </w:rPr>
              <w:t>Purpose</w:t>
            </w:r>
          </w:p>
          <w:p w14:paraId="623E2D62" w14:textId="177E1567" w:rsidR="00C84BF9" w:rsidRPr="00C84BF9" w:rsidRDefault="00905532" w:rsidP="3102011C">
            <w:r>
              <w:t xml:space="preserve">The </w:t>
            </w:r>
            <w:r w:rsidR="2D7256EF" w:rsidRPr="3102011C">
              <w:t xml:space="preserve">Council at its 2024 session, endorsed the concept of a Code of Conduct for ITU Events and instructed the </w:t>
            </w:r>
            <w:r>
              <w:t>s</w:t>
            </w:r>
            <w:r w:rsidR="2D7256EF" w:rsidRPr="3102011C">
              <w:t xml:space="preserve">ecretariat to develop a </w:t>
            </w:r>
            <w:r w:rsidR="014B881B" w:rsidRPr="3102011C">
              <w:t xml:space="preserve">preliminary </w:t>
            </w:r>
            <w:r w:rsidR="2D7256EF" w:rsidRPr="3102011C">
              <w:t>draft Code of Conduct for ITU meetings and events to promote a professional, inclusive, respectful and safe environment for all delegates and other participants</w:t>
            </w:r>
            <w:r w:rsidR="401A45B6" w:rsidRPr="3102011C">
              <w:t>, for further development by the CWG-FHR</w:t>
            </w:r>
            <w:r w:rsidR="2D7256EF" w:rsidRPr="3102011C">
              <w:t>.</w:t>
            </w:r>
            <w:r w:rsidR="2A84F787" w:rsidRPr="3102011C">
              <w:t xml:space="preserve"> </w:t>
            </w:r>
            <w:r w:rsidR="26FD5C60" w:rsidRPr="3102011C">
              <w:t>The proposed Code is ba</w:t>
            </w:r>
            <w:r w:rsidR="469DE0A4" w:rsidRPr="3102011C">
              <w:t>sed on the Code of Conduct for UN System events, similar codes from other UN organizations, the APT Code of Conduct, an</w:t>
            </w:r>
            <w:r w:rsidR="7E1BD621" w:rsidRPr="3102011C">
              <w:t>d the proposal from Australia.</w:t>
            </w:r>
          </w:p>
          <w:p w14:paraId="5076D5C4" w14:textId="28F00572" w:rsidR="00AD3606" w:rsidRPr="00791D94" w:rsidRDefault="00AD3606" w:rsidP="00F16BAB">
            <w:pPr>
              <w:spacing w:before="160"/>
              <w:rPr>
                <w:b/>
                <w:bCs/>
                <w:sz w:val="26"/>
                <w:szCs w:val="26"/>
              </w:rPr>
            </w:pPr>
            <w:r w:rsidRPr="00791D94">
              <w:rPr>
                <w:b/>
                <w:bCs/>
                <w:sz w:val="26"/>
                <w:szCs w:val="26"/>
              </w:rPr>
              <w:t>Action required</w:t>
            </w:r>
          </w:p>
          <w:p w14:paraId="53A776F1" w14:textId="2ACB755E" w:rsidR="00891503" w:rsidRDefault="00FD7016" w:rsidP="00F16BAB">
            <w:pPr>
              <w:spacing w:before="160"/>
            </w:pPr>
            <w:r>
              <w:t xml:space="preserve">The Council Working Group on </w:t>
            </w:r>
            <w:r w:rsidR="00AF5235">
              <w:t xml:space="preserve">financial </w:t>
            </w:r>
            <w:r>
              <w:t xml:space="preserve">and </w:t>
            </w:r>
            <w:r w:rsidR="00AF5235">
              <w:t xml:space="preserve">human </w:t>
            </w:r>
            <w:r>
              <w:t>resources is invited to</w:t>
            </w:r>
            <w:r w:rsidR="003D55B9">
              <w:t xml:space="preserve"> </w:t>
            </w:r>
            <w:r w:rsidR="35C36147" w:rsidRPr="00905532">
              <w:rPr>
                <w:b/>
                <w:bCs/>
              </w:rPr>
              <w:t>consider</w:t>
            </w:r>
            <w:r w:rsidR="0058738C">
              <w:t xml:space="preserve"> this</w:t>
            </w:r>
            <w:r w:rsidR="42C7256E">
              <w:t xml:space="preserve"> preliminary draft </w:t>
            </w:r>
            <w:r w:rsidR="0058738C">
              <w:t xml:space="preserve">code </w:t>
            </w:r>
            <w:r w:rsidR="00AF398D">
              <w:t>to be</w:t>
            </w:r>
            <w:r w:rsidR="0058738C">
              <w:t xml:space="preserve"> submit</w:t>
            </w:r>
            <w:r w:rsidR="00AF398D">
              <w:t xml:space="preserve">ted </w:t>
            </w:r>
            <w:r w:rsidR="2A92DF32">
              <w:t xml:space="preserve">to </w:t>
            </w:r>
            <w:r w:rsidR="00AF398D">
              <w:t xml:space="preserve">the </w:t>
            </w:r>
            <w:r w:rsidR="0058738C">
              <w:t>2025 session of the Council.</w:t>
            </w:r>
          </w:p>
          <w:p w14:paraId="2AAB18B0" w14:textId="53B34B54" w:rsidR="00AD3606" w:rsidRPr="00791D94" w:rsidRDefault="00891503" w:rsidP="00891503">
            <w:pPr>
              <w:spacing w:before="160"/>
              <w:rPr>
                <w:caps/>
                <w:sz w:val="22"/>
              </w:rPr>
            </w:pPr>
            <w:r w:rsidRPr="00791D94">
              <w:rPr>
                <w:sz w:val="22"/>
              </w:rPr>
              <w:t>__________________</w:t>
            </w:r>
            <w:r w:rsidR="00AD3606" w:rsidRPr="00791D94">
              <w:rPr>
                <w:sz w:val="22"/>
              </w:rPr>
              <w:t>__________________</w:t>
            </w:r>
          </w:p>
          <w:p w14:paraId="00DEE14C" w14:textId="77777777" w:rsidR="00AD3606" w:rsidRPr="00791D94" w:rsidRDefault="00AD3606" w:rsidP="00F16BAB">
            <w:pPr>
              <w:spacing w:before="160"/>
              <w:rPr>
                <w:b/>
                <w:bCs/>
                <w:sz w:val="26"/>
                <w:szCs w:val="26"/>
              </w:rPr>
            </w:pPr>
            <w:r w:rsidRPr="00791D94">
              <w:rPr>
                <w:b/>
                <w:bCs/>
                <w:sz w:val="26"/>
                <w:szCs w:val="26"/>
              </w:rPr>
              <w:t>References</w:t>
            </w:r>
          </w:p>
          <w:p w14:paraId="0175CD6C" w14:textId="16866A7E" w:rsidR="00AD3606" w:rsidRPr="00905532" w:rsidRDefault="00221E4D" w:rsidP="00F16BAB">
            <w:pPr>
              <w:spacing w:after="160"/>
              <w:rPr>
                <w:i/>
                <w:iCs/>
                <w:sz w:val="22"/>
                <w:szCs w:val="22"/>
              </w:rPr>
            </w:pPr>
            <w:r w:rsidRPr="00905532">
              <w:rPr>
                <w:i/>
                <w:iCs/>
                <w:sz w:val="22"/>
                <w:szCs w:val="22"/>
              </w:rPr>
              <w:t xml:space="preserve">Document </w:t>
            </w:r>
            <w:hyperlink r:id="rId11" w:history="1">
              <w:r w:rsidRPr="00905532">
                <w:rPr>
                  <w:rStyle w:val="Hyperlink"/>
                  <w:i/>
                  <w:iCs/>
                  <w:sz w:val="22"/>
                  <w:szCs w:val="22"/>
                </w:rPr>
                <w:t>C24/78</w:t>
              </w:r>
            </w:hyperlink>
            <w:r w:rsidRPr="00905532">
              <w:rPr>
                <w:i/>
                <w:iCs/>
                <w:sz w:val="22"/>
                <w:szCs w:val="22"/>
              </w:rPr>
              <w:t xml:space="preserve"> </w:t>
            </w:r>
          </w:p>
        </w:tc>
      </w:tr>
    </w:tbl>
    <w:p w14:paraId="4CDB8B60" w14:textId="77777777" w:rsidR="00E227F3" w:rsidRPr="00791D9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1D7ED322" w14:textId="5EAF2BFB" w:rsidR="0090147A" w:rsidRPr="00791D94" w:rsidRDefault="0090147A" w:rsidP="0A960572">
      <w:pPr>
        <w:tabs>
          <w:tab w:val="clear" w:pos="567"/>
          <w:tab w:val="clear" w:pos="1134"/>
          <w:tab w:val="clear" w:pos="1701"/>
          <w:tab w:val="clear" w:pos="2268"/>
          <w:tab w:val="clear" w:pos="2835"/>
        </w:tabs>
        <w:overflowPunct/>
        <w:autoSpaceDE/>
        <w:autoSpaceDN/>
        <w:adjustRightInd/>
        <w:spacing w:before="0"/>
        <w:textAlignment w:val="auto"/>
        <w:rPr>
          <w:rFonts w:eastAsia="Calibri" w:cs="Calibri"/>
          <w:sz w:val="20"/>
          <w:lang w:val="en-US"/>
        </w:rPr>
      </w:pPr>
      <w:r>
        <w:br w:type="page"/>
      </w:r>
    </w:p>
    <w:bookmarkEnd w:id="5"/>
    <w:bookmarkEnd w:id="11"/>
    <w:p w14:paraId="1F0B827E" w14:textId="77777777" w:rsidR="00EC68FE" w:rsidRPr="00791D94" w:rsidRDefault="3E0FDEB8" w:rsidP="00791D94">
      <w:pPr>
        <w:pStyle w:val="Headingb"/>
      </w:pPr>
      <w:r>
        <w:lastRenderedPageBreak/>
        <w:t>Purpose</w:t>
      </w:r>
    </w:p>
    <w:p w14:paraId="026B9F08" w14:textId="01305CDD" w:rsidR="00EC68FE" w:rsidRPr="00791D94" w:rsidRDefault="00EC68FE" w:rsidP="00221E4D">
      <w:r w:rsidRPr="00791D94">
        <w:t>1</w:t>
      </w:r>
      <w:r w:rsidRPr="00791D94">
        <w:tab/>
        <w:t>The ITU is committed to ensuring a culture of mutual respect, a working environment free from any form of violence, discrimination and harassment, including sexual harassment, and to enabling events at which everyone can participate in an inclusive, respectful, and safe environment.</w:t>
      </w:r>
    </w:p>
    <w:p w14:paraId="78B0C2FC" w14:textId="376745EE" w:rsidR="00EC68FE" w:rsidRPr="00791D94" w:rsidRDefault="00EC68FE" w:rsidP="00221E4D">
      <w:r w:rsidRPr="00791D94">
        <w:t>2</w:t>
      </w:r>
      <w:r w:rsidRPr="00791D94">
        <w:tab/>
        <w:t>ITU events are guided by the highest ethical and professional standards, and all participants are expected to behave with integrity and respect towards all participants attending or involved with any ITU event.</w:t>
      </w:r>
    </w:p>
    <w:p w14:paraId="0252E5BF" w14:textId="77777777" w:rsidR="00EC68FE" w:rsidRPr="00791D94" w:rsidRDefault="00EC68FE" w:rsidP="00791D94">
      <w:pPr>
        <w:pStyle w:val="Headingb"/>
      </w:pPr>
      <w:r w:rsidRPr="00791D94">
        <w:t>Applicability</w:t>
      </w:r>
    </w:p>
    <w:p w14:paraId="13CE4C50" w14:textId="77777777" w:rsidR="00905532" w:rsidRDefault="3E0FDEB8" w:rsidP="00221E4D">
      <w:r>
        <w:t>3</w:t>
      </w:r>
      <w:r w:rsidR="00EC68FE">
        <w:tab/>
      </w:r>
      <w:r>
        <w:t>The Code of Conduct applies to any ITU event, whether virtual, hybrid or physical, which is defined to include meetings, conferences and symposia, assemblies, receptions, governing bodies sessions, seminars, consultations, scientific and technical events, expert meetings, workshops, exhibits, side events and any other forum organized</w:t>
      </w:r>
      <w:r w:rsidR="3FBC23F0">
        <w:t xml:space="preserve"> or</w:t>
      </w:r>
      <w:r>
        <w:t xml:space="preserve"> hosted in whole or in part by the ITU, wherever it takes place, whether ITU is organizing</w:t>
      </w:r>
      <w:r w:rsidR="34DAA075">
        <w:t xml:space="preserve"> or</w:t>
      </w:r>
      <w:r>
        <w:t xml:space="preserve"> hosting.</w:t>
      </w:r>
      <w:r w:rsidR="1758B9B5">
        <w:t xml:space="preserve"> </w:t>
      </w:r>
      <w:r>
        <w:t>The Code of Conduct applies to any formal or informal function, event or gathering that takes place on ITU premises.</w:t>
      </w:r>
    </w:p>
    <w:p w14:paraId="67872A70" w14:textId="7257225D" w:rsidR="00EC68FE" w:rsidRPr="00791D94" w:rsidRDefault="3E0FDEB8" w:rsidP="00221E4D">
      <w:r>
        <w:t>4</w:t>
      </w:r>
      <w:r w:rsidR="00EC68FE">
        <w:tab/>
      </w:r>
      <w:r>
        <w:t>The Code of Conduct applies to all participants at ITU events, including all persons attending or involved in any capacity in an ITU event. The ITU or other entity responsible for an ITU event commits to implementing the Code of Conduct.</w:t>
      </w:r>
    </w:p>
    <w:p w14:paraId="48994C99" w14:textId="545EDB44" w:rsidR="00EC68FE" w:rsidRPr="00791D94" w:rsidRDefault="00EC68FE" w:rsidP="00221E4D">
      <w:r w:rsidRPr="00791D94">
        <w:t>5</w:t>
      </w:r>
      <w:r w:rsidRPr="00791D94">
        <w:tab/>
        <w:t>The Code of Conduct is not legal or prescriptive in nature. It supplements, and does not affect, the application of other relevant policies, regulations, rules, and laws, including laws regulating the premises in which the ITU event takes place and any applicable host country agreements.</w:t>
      </w:r>
      <w:r w:rsidR="007513B9">
        <w:t xml:space="preserve"> </w:t>
      </w:r>
      <w:r w:rsidRPr="00791D94">
        <w:t>Participants have a duty to respect local laws.</w:t>
      </w:r>
    </w:p>
    <w:p w14:paraId="3C1C57CF" w14:textId="169BE164" w:rsidR="00EC68FE" w:rsidRPr="00791D94" w:rsidRDefault="00EC68FE" w:rsidP="00791D94">
      <w:pPr>
        <w:pStyle w:val="Headingb"/>
      </w:pPr>
      <w:r w:rsidRPr="00791D94">
        <w:t xml:space="preserve">Prohibited </w:t>
      </w:r>
      <w:r w:rsidR="00791D94" w:rsidRPr="00791D94">
        <w:t>conduct</w:t>
      </w:r>
    </w:p>
    <w:p w14:paraId="02773B9F" w14:textId="01E82C65" w:rsidR="00EC68FE" w:rsidRPr="00791D94" w:rsidRDefault="00EC68FE" w:rsidP="00221E4D">
      <w:r w:rsidRPr="00791D94">
        <w:t>6</w:t>
      </w:r>
      <w:r w:rsidRPr="00791D94">
        <w:tab/>
        <w:t xml:space="preserve">The term “violence, discrimination and harassment, including sexual harassment” in the world of work refers to a range of unacceptable </w:t>
      </w:r>
      <w:proofErr w:type="spellStart"/>
      <w:r w:rsidRPr="00791D94">
        <w:t>behaviors</w:t>
      </w:r>
      <w:proofErr w:type="spellEnd"/>
      <w:r w:rsidRPr="00791D94">
        <w:t xml:space="preserve"> and practices, or threats thereof, whether a single occurrence or repeated, that aim at, result in, or are likely to result in physical, psychological, sexual or economic harm, and includes gender-based violence and sexual exploitation or abuse. </w:t>
      </w:r>
    </w:p>
    <w:p w14:paraId="5F9F87AD" w14:textId="42FBC25C" w:rsidR="00EC68FE" w:rsidRPr="00791D94" w:rsidRDefault="00EC68FE" w:rsidP="00221E4D">
      <w:r w:rsidRPr="00791D94">
        <w:t>7</w:t>
      </w:r>
      <w:r w:rsidRPr="00791D94">
        <w:tab/>
        <w:t xml:space="preserve">Participants requested to stop unacceptable </w:t>
      </w:r>
      <w:proofErr w:type="spellStart"/>
      <w:r w:rsidRPr="00791D94">
        <w:t>behaviors</w:t>
      </w:r>
      <w:proofErr w:type="spellEnd"/>
      <w:r w:rsidRPr="00791D94">
        <w:t xml:space="preserve"> are expected to comply immediately.</w:t>
      </w:r>
    </w:p>
    <w:p w14:paraId="0624E47F" w14:textId="77777777" w:rsidR="00EC68FE" w:rsidRPr="00791D94" w:rsidRDefault="3E0FDEB8" w:rsidP="00791D94">
      <w:pPr>
        <w:pStyle w:val="Headingb"/>
      </w:pPr>
      <w:r>
        <w:t>Definitions</w:t>
      </w:r>
    </w:p>
    <w:p w14:paraId="58E5F29E" w14:textId="0C0AD9CE" w:rsidR="00EC68FE" w:rsidRPr="00791D94" w:rsidRDefault="00EC68FE" w:rsidP="00221E4D">
      <w:r w:rsidRPr="00791D94">
        <w:t>8</w:t>
      </w:r>
      <w:r w:rsidRPr="00791D94">
        <w:tab/>
        <w:t xml:space="preserve">Harassment is defined as any unwelcome conduct that might reasonably be expected or be perceived to cause offence or humiliation to another person when such </w:t>
      </w:r>
      <w:proofErr w:type="spellStart"/>
      <w:r w:rsidRPr="00791D94">
        <w:t>behavior</w:t>
      </w:r>
      <w:proofErr w:type="spellEnd"/>
      <w:r w:rsidRPr="00791D94">
        <w:t xml:space="preserve"> interferes with work or creates an intimidating, hostile, or offensive work environment.</w:t>
      </w:r>
      <w:r w:rsidR="007513B9">
        <w:t xml:space="preserve"> </w:t>
      </w:r>
      <w:r w:rsidRPr="00791D94">
        <w:t>Harassment may take the form of words, gestures, or actions that annoy, alarm, abuse, demean, intimidate, belittle, humiliate, or embarrass another.</w:t>
      </w:r>
    </w:p>
    <w:p w14:paraId="02747902" w14:textId="50E4A7A1" w:rsidR="00EC68FE" w:rsidRPr="00791D94" w:rsidRDefault="00EC68FE" w:rsidP="00221E4D">
      <w:r w:rsidRPr="00791D94">
        <w:t>9</w:t>
      </w:r>
      <w:r w:rsidRPr="00791D94">
        <w:tab/>
        <w:t xml:space="preserve">Sexual harassment is defined as any unwelcome conduct of a sexual nature that might reasonably be expected or perceived to cause offence or humiliation, especially when such </w:t>
      </w:r>
      <w:proofErr w:type="spellStart"/>
      <w:r w:rsidRPr="00791D94">
        <w:t>behavior</w:t>
      </w:r>
      <w:proofErr w:type="spellEnd"/>
      <w:r w:rsidRPr="00791D94">
        <w:t xml:space="preserve"> interferes with work, it is made a condition of employment or creates an intimidating, hostile, or offensive work environment. Sexual harassment may occur in the </w:t>
      </w:r>
      <w:r w:rsidRPr="00791D94">
        <w:lastRenderedPageBreak/>
        <w:t>workplace or in connection with work.</w:t>
      </w:r>
      <w:r w:rsidR="007513B9">
        <w:t xml:space="preserve"> </w:t>
      </w:r>
      <w:r w:rsidRPr="00791D94">
        <w:t xml:space="preserve">Although it typically involves a pattern of conduct, sexual harassment may take the form of a single incident. </w:t>
      </w:r>
    </w:p>
    <w:p w14:paraId="0D92E935" w14:textId="2D2E9A0B" w:rsidR="00EC68FE" w:rsidRPr="00791D94" w:rsidRDefault="00EC68FE" w:rsidP="00221E4D">
      <w:r w:rsidRPr="00791D94">
        <w:t>10</w:t>
      </w:r>
      <w:r w:rsidRPr="00791D94">
        <w:tab/>
        <w:t>Discrimination is defined as is any unfair treatment or arbitrary distinction based on a person’s race, sex, gender, sexual orientation, gender identity, gender expression, religion, nationality, ethnic origin, disability, age, language, social origin, or other similar shared characteristics or trait.</w:t>
      </w:r>
    </w:p>
    <w:p w14:paraId="5809538B" w14:textId="77777777" w:rsidR="00EC68FE" w:rsidRPr="00791D94" w:rsidRDefault="00EC68FE" w:rsidP="00221E4D">
      <w:r w:rsidRPr="00791D94">
        <w:t xml:space="preserve">Examples of physical, verbal, and psychological violence in an event setting, include but are not limited to: </w:t>
      </w:r>
    </w:p>
    <w:p w14:paraId="78D6EBA9" w14:textId="7BAA656F" w:rsidR="00EC68FE" w:rsidRPr="00791D94" w:rsidRDefault="00221E4D" w:rsidP="00221E4D">
      <w:pPr>
        <w:pStyle w:val="enumlev1"/>
      </w:pPr>
      <w:r>
        <w:t>–</w:t>
      </w:r>
      <w:r>
        <w:tab/>
      </w:r>
      <w:r w:rsidR="00EC68FE">
        <w:t xml:space="preserve">pushing and </w:t>
      </w:r>
      <w:proofErr w:type="gramStart"/>
      <w:r w:rsidR="00EC68FE">
        <w:t>shoving;</w:t>
      </w:r>
      <w:proofErr w:type="gramEnd"/>
    </w:p>
    <w:p w14:paraId="681BAF5F" w14:textId="6C525CB8" w:rsidR="00EC68FE" w:rsidRPr="00791D94" w:rsidRDefault="00221E4D" w:rsidP="00221E4D">
      <w:pPr>
        <w:pStyle w:val="enumlev1"/>
      </w:pPr>
      <w:r w:rsidRPr="00791D94">
        <w:t>–</w:t>
      </w:r>
      <w:r w:rsidR="00EC68FE" w:rsidRPr="00791D94">
        <w:tab/>
        <w:t xml:space="preserve">intentional abuse of power relations, such as offensive </w:t>
      </w:r>
      <w:proofErr w:type="spellStart"/>
      <w:r w:rsidR="00EC68FE" w:rsidRPr="00791D94">
        <w:t>behavior</w:t>
      </w:r>
      <w:proofErr w:type="spellEnd"/>
      <w:r w:rsidR="00EC68FE" w:rsidRPr="00791D94">
        <w:t xml:space="preserve"> to humiliate or undermine an individual or </w:t>
      </w:r>
      <w:proofErr w:type="gramStart"/>
      <w:r w:rsidR="00EC68FE" w:rsidRPr="00791D94">
        <w:t>groups;</w:t>
      </w:r>
      <w:proofErr w:type="gramEnd"/>
    </w:p>
    <w:p w14:paraId="0923CED2" w14:textId="2EBBFFDF" w:rsidR="00EC68FE" w:rsidRPr="00791D94" w:rsidRDefault="00221E4D" w:rsidP="00221E4D">
      <w:pPr>
        <w:pStyle w:val="enumlev1"/>
      </w:pPr>
      <w:r w:rsidRPr="00791D94">
        <w:t>–</w:t>
      </w:r>
      <w:r w:rsidR="00EC68FE" w:rsidRPr="00791D94">
        <w:tab/>
        <w:t>aggressive language, profanity, shouting and threats.</w:t>
      </w:r>
    </w:p>
    <w:p w14:paraId="3DC1F2B4" w14:textId="7D53DFC1" w:rsidR="00EC68FE" w:rsidRPr="00791D94" w:rsidRDefault="00EC68FE" w:rsidP="00221E4D">
      <w:r w:rsidRPr="00791D94">
        <w:t>Examples of harassment in an event setting, include but are not limited to:</w:t>
      </w:r>
    </w:p>
    <w:p w14:paraId="5488C7DE" w14:textId="5E28DBA9" w:rsidR="00EC68FE" w:rsidRPr="00791D94" w:rsidRDefault="00221E4D" w:rsidP="00221E4D">
      <w:pPr>
        <w:pStyle w:val="enumlev1"/>
      </w:pPr>
      <w:r w:rsidRPr="00791D94">
        <w:t>–</w:t>
      </w:r>
      <w:r w:rsidR="00EC68FE" w:rsidRPr="00791D94">
        <w:tab/>
        <w:t xml:space="preserve">excluding or isolating a person from professional activities without reason or legitimate </w:t>
      </w:r>
      <w:proofErr w:type="gramStart"/>
      <w:r w:rsidR="00EC68FE" w:rsidRPr="00791D94">
        <w:t>authority;</w:t>
      </w:r>
      <w:proofErr w:type="gramEnd"/>
      <w:r w:rsidR="00EC68FE" w:rsidRPr="00791D94">
        <w:t xml:space="preserve"> </w:t>
      </w:r>
    </w:p>
    <w:p w14:paraId="1E687FBE" w14:textId="2161E495" w:rsidR="00EC68FE" w:rsidRPr="00791D94" w:rsidRDefault="00221E4D" w:rsidP="00221E4D">
      <w:pPr>
        <w:pStyle w:val="enumlev1"/>
      </w:pPr>
      <w:r w:rsidRPr="00791D94">
        <w:t>–</w:t>
      </w:r>
      <w:r w:rsidR="00EC68FE" w:rsidRPr="00791D94">
        <w:tab/>
        <w:t xml:space="preserve">inappropriate, such as unwelcome or repeated, comments to or disruption of interventions and </w:t>
      </w:r>
      <w:proofErr w:type="gramStart"/>
      <w:r w:rsidR="00EC68FE" w:rsidRPr="00791D94">
        <w:t>speeches;</w:t>
      </w:r>
      <w:proofErr w:type="gramEnd"/>
    </w:p>
    <w:p w14:paraId="29F96BAD" w14:textId="40F23CA9" w:rsidR="00EC68FE" w:rsidRPr="00791D94" w:rsidRDefault="00221E4D" w:rsidP="00221E4D">
      <w:pPr>
        <w:pStyle w:val="enumlev1"/>
      </w:pPr>
      <w:r w:rsidRPr="00791D94">
        <w:t>–</w:t>
      </w:r>
      <w:r w:rsidR="00EC68FE" w:rsidRPr="00791D94">
        <w:tab/>
        <w:t xml:space="preserve">stalking or </w:t>
      </w:r>
      <w:proofErr w:type="gramStart"/>
      <w:r w:rsidR="00EC68FE" w:rsidRPr="00791D94">
        <w:t>following;</w:t>
      </w:r>
      <w:proofErr w:type="gramEnd"/>
    </w:p>
    <w:p w14:paraId="60A4828B" w14:textId="0ECD3E20" w:rsidR="00EC68FE" w:rsidRPr="00791D94" w:rsidRDefault="00221E4D" w:rsidP="00221E4D">
      <w:pPr>
        <w:pStyle w:val="enumlev1"/>
      </w:pPr>
      <w:r w:rsidRPr="00791D94">
        <w:t>–</w:t>
      </w:r>
      <w:r w:rsidR="00EC68FE" w:rsidRPr="00791D94">
        <w:tab/>
        <w:t xml:space="preserve">sending inappropriate emails or materials to another </w:t>
      </w:r>
      <w:proofErr w:type="gramStart"/>
      <w:r w:rsidR="00EC68FE" w:rsidRPr="00791D94">
        <w:t>participant;</w:t>
      </w:r>
      <w:proofErr w:type="gramEnd"/>
    </w:p>
    <w:p w14:paraId="2230FF44" w14:textId="7012150C" w:rsidR="00EC68FE" w:rsidRPr="00791D94" w:rsidRDefault="00221E4D" w:rsidP="00221E4D">
      <w:pPr>
        <w:pStyle w:val="enumlev1"/>
      </w:pPr>
      <w:r w:rsidRPr="00791D94">
        <w:t>–</w:t>
      </w:r>
      <w:r w:rsidR="00EC68FE" w:rsidRPr="00791D94">
        <w:tab/>
        <w:t xml:space="preserve">posting inappropriate </w:t>
      </w:r>
      <w:proofErr w:type="gramStart"/>
      <w:r w:rsidR="00EC68FE" w:rsidRPr="00791D94">
        <w:t>content;</w:t>
      </w:r>
      <w:proofErr w:type="gramEnd"/>
    </w:p>
    <w:p w14:paraId="4CBD9557" w14:textId="22F710A6" w:rsidR="00EC68FE" w:rsidRPr="00791D94" w:rsidRDefault="00221E4D" w:rsidP="00221E4D">
      <w:pPr>
        <w:pStyle w:val="enumlev1"/>
      </w:pPr>
      <w:r w:rsidRPr="00791D94">
        <w:t>–</w:t>
      </w:r>
      <w:r w:rsidR="00EC68FE" w:rsidRPr="00791D94">
        <w:tab/>
        <w:t xml:space="preserve">aggressive facial expressions towards a </w:t>
      </w:r>
      <w:proofErr w:type="gramStart"/>
      <w:r w:rsidR="00EC68FE" w:rsidRPr="00791D94">
        <w:t>participant;</w:t>
      </w:r>
      <w:proofErr w:type="gramEnd"/>
    </w:p>
    <w:p w14:paraId="201708F1" w14:textId="66D2DCFE" w:rsidR="00EC68FE" w:rsidRPr="00791D94" w:rsidRDefault="00221E4D" w:rsidP="00221E4D">
      <w:pPr>
        <w:pStyle w:val="enumlev1"/>
      </w:pPr>
      <w:r>
        <w:t>–</w:t>
      </w:r>
      <w:r>
        <w:tab/>
      </w:r>
      <w:r w:rsidR="00EC68FE">
        <w:t xml:space="preserve">persistent negative comments to a person or group, including </w:t>
      </w:r>
      <w:r w:rsidR="00AD105E">
        <w:t>rumour</w:t>
      </w:r>
      <w:r w:rsidR="00EC68FE">
        <w:t>, gossip and ridicule</w:t>
      </w:r>
      <w:r w:rsidR="00EC68FE">
        <w:t>.</w:t>
      </w:r>
    </w:p>
    <w:p w14:paraId="2EBED354" w14:textId="77777777" w:rsidR="00EC68FE" w:rsidRPr="00791D94" w:rsidRDefault="00EC68FE" w:rsidP="00221E4D">
      <w:r w:rsidRPr="00791D94">
        <w:t xml:space="preserve">Examples of sexual harassment, exploitation, or abuse in an event setting, include but are not limited to: </w:t>
      </w:r>
    </w:p>
    <w:p w14:paraId="69BE05D2" w14:textId="3E804E13" w:rsidR="00EC68FE" w:rsidRPr="00791D94" w:rsidRDefault="00821FB4" w:rsidP="00821FB4">
      <w:pPr>
        <w:pStyle w:val="enumlev1"/>
      </w:pPr>
      <w:r w:rsidRPr="00791D94">
        <w:t>–</w:t>
      </w:r>
      <w:r w:rsidR="00EC68FE" w:rsidRPr="00791D94">
        <w:tab/>
        <w:t xml:space="preserve">making derogatory or demeaning comments about someone’s sexual orientation or gender </w:t>
      </w:r>
      <w:proofErr w:type="gramStart"/>
      <w:r w:rsidR="00EC68FE" w:rsidRPr="00791D94">
        <w:t>identity;</w:t>
      </w:r>
      <w:proofErr w:type="gramEnd"/>
    </w:p>
    <w:p w14:paraId="39F22DFE" w14:textId="3FB69410" w:rsidR="00EC68FE" w:rsidRPr="00791D94" w:rsidRDefault="00821FB4" w:rsidP="00821FB4">
      <w:pPr>
        <w:pStyle w:val="enumlev1"/>
      </w:pPr>
      <w:r w:rsidRPr="00791D94">
        <w:t>–</w:t>
      </w:r>
      <w:r w:rsidR="00EC68FE" w:rsidRPr="00791D94">
        <w:tab/>
        <w:t xml:space="preserve">name-calling or using slurs with a gender/sexual </w:t>
      </w:r>
      <w:proofErr w:type="gramStart"/>
      <w:r w:rsidR="00EC68FE" w:rsidRPr="00791D94">
        <w:t>connotation;</w:t>
      </w:r>
      <w:proofErr w:type="gramEnd"/>
    </w:p>
    <w:p w14:paraId="1ADB47E9" w14:textId="6EF302FF" w:rsidR="00EC68FE" w:rsidRPr="00791D94" w:rsidRDefault="00821FB4" w:rsidP="00821FB4">
      <w:pPr>
        <w:pStyle w:val="enumlev1"/>
      </w:pPr>
      <w:r w:rsidRPr="00791D94">
        <w:t>–</w:t>
      </w:r>
      <w:r w:rsidR="00EC68FE" w:rsidRPr="00791D94">
        <w:tab/>
        <w:t xml:space="preserve">making sexual comments about appearance, clothing or body </w:t>
      </w:r>
      <w:proofErr w:type="gramStart"/>
      <w:r w:rsidR="00EC68FE" w:rsidRPr="00791D94">
        <w:t>parts;</w:t>
      </w:r>
      <w:proofErr w:type="gramEnd"/>
      <w:r w:rsidR="00EC68FE" w:rsidRPr="00791D94">
        <w:t xml:space="preserve"> </w:t>
      </w:r>
    </w:p>
    <w:p w14:paraId="696278EE" w14:textId="1624271F" w:rsidR="00EC68FE" w:rsidRPr="00791D94" w:rsidRDefault="00821FB4" w:rsidP="00821FB4">
      <w:pPr>
        <w:pStyle w:val="enumlev1"/>
      </w:pPr>
      <w:r w:rsidRPr="00791D94">
        <w:t>–</w:t>
      </w:r>
      <w:r w:rsidR="00EC68FE" w:rsidRPr="00791D94">
        <w:tab/>
        <w:t xml:space="preserve">rating a person’s sexuality or physical </w:t>
      </w:r>
      <w:proofErr w:type="gramStart"/>
      <w:r w:rsidR="00EC68FE" w:rsidRPr="00791D94">
        <w:t>appearance;</w:t>
      </w:r>
      <w:proofErr w:type="gramEnd"/>
    </w:p>
    <w:p w14:paraId="01C620A6" w14:textId="2E608A98" w:rsidR="00EC68FE" w:rsidRPr="00791D94" w:rsidRDefault="00821FB4" w:rsidP="00821FB4">
      <w:pPr>
        <w:pStyle w:val="enumlev1"/>
      </w:pPr>
      <w:r>
        <w:t>–</w:t>
      </w:r>
      <w:r>
        <w:tab/>
      </w:r>
      <w:r w:rsidR="00EC68FE">
        <w:t xml:space="preserve">repeated and unwelcome requests for social activities or dates or sex after the person made it clear they are not </w:t>
      </w:r>
      <w:proofErr w:type="gramStart"/>
      <w:r w:rsidR="00EC68FE">
        <w:t>welcome;</w:t>
      </w:r>
      <w:proofErr w:type="gramEnd"/>
    </w:p>
    <w:p w14:paraId="2B376237" w14:textId="6848964D" w:rsidR="14D61744" w:rsidRDefault="14D61744" w:rsidP="6ABB4E4D">
      <w:pPr>
        <w:pStyle w:val="enumlev1"/>
      </w:pPr>
      <w:r>
        <w:t>-</w:t>
      </w:r>
      <w:r>
        <w:tab/>
        <w:t>quid pro quo</w:t>
      </w:r>
      <w:r w:rsidR="7A11FB6A">
        <w:t xml:space="preserve">, such as seeking </w:t>
      </w:r>
      <w:proofErr w:type="spellStart"/>
      <w:r w:rsidR="7A11FB6A">
        <w:t>favors</w:t>
      </w:r>
      <w:proofErr w:type="spellEnd"/>
      <w:r w:rsidR="7A11FB6A">
        <w:t xml:space="preserve"> in exchange for a benefit</w:t>
      </w:r>
      <w:r w:rsidR="14C2C557">
        <w:t xml:space="preserve"> or action</w:t>
      </w:r>
    </w:p>
    <w:p w14:paraId="28DF4025" w14:textId="23258245" w:rsidR="00EC68FE" w:rsidRPr="00791D94" w:rsidRDefault="00821FB4" w:rsidP="00821FB4">
      <w:pPr>
        <w:pStyle w:val="enumlev1"/>
      </w:pPr>
      <w:r>
        <w:t>–</w:t>
      </w:r>
      <w:r>
        <w:tab/>
      </w:r>
      <w:r w:rsidR="00EC68FE">
        <w:t xml:space="preserve">staring in a sexually suggestive </w:t>
      </w:r>
      <w:proofErr w:type="gramStart"/>
      <w:r w:rsidR="00EC68FE">
        <w:t>manner;</w:t>
      </w:r>
      <w:proofErr w:type="gramEnd"/>
    </w:p>
    <w:p w14:paraId="17AC9BFF" w14:textId="6420E004" w:rsidR="00EC68FE" w:rsidRPr="00791D94" w:rsidRDefault="00821FB4" w:rsidP="00821FB4">
      <w:pPr>
        <w:pStyle w:val="enumlev1"/>
      </w:pPr>
      <w:r w:rsidRPr="00791D94">
        <w:t>–</w:t>
      </w:r>
      <w:r w:rsidR="00EC68FE" w:rsidRPr="00791D94">
        <w:tab/>
        <w:t xml:space="preserve">deliberate and unsolicited physical contact, such as pinching, patting, rubbing or purposefully brushing up against a person, or unnecessarily close physical </w:t>
      </w:r>
      <w:proofErr w:type="gramStart"/>
      <w:r w:rsidR="00EC68FE" w:rsidRPr="00791D94">
        <w:t>proximity;</w:t>
      </w:r>
      <w:proofErr w:type="gramEnd"/>
    </w:p>
    <w:p w14:paraId="53E933DE" w14:textId="73A999FB" w:rsidR="00EC68FE" w:rsidRPr="00791D94" w:rsidRDefault="00821FB4" w:rsidP="00821FB4">
      <w:pPr>
        <w:pStyle w:val="enumlev1"/>
      </w:pPr>
      <w:r w:rsidRPr="00791D94">
        <w:t>–</w:t>
      </w:r>
      <w:r w:rsidR="00EC68FE" w:rsidRPr="00791D94">
        <w:tab/>
        <w:t xml:space="preserve">making inappropriate sexual gestures, such as pelvic </w:t>
      </w:r>
      <w:proofErr w:type="gramStart"/>
      <w:r w:rsidR="00EC68FE" w:rsidRPr="00791D94">
        <w:t>thrusts;</w:t>
      </w:r>
      <w:proofErr w:type="gramEnd"/>
      <w:r w:rsidR="00EC68FE" w:rsidRPr="00791D94">
        <w:t xml:space="preserve"> </w:t>
      </w:r>
    </w:p>
    <w:p w14:paraId="3477A843" w14:textId="2BAE9FF0" w:rsidR="00EC68FE" w:rsidRPr="00791D94" w:rsidRDefault="00821FB4" w:rsidP="00821FB4">
      <w:pPr>
        <w:pStyle w:val="enumlev1"/>
      </w:pPr>
      <w:r w:rsidRPr="00791D94">
        <w:t>–</w:t>
      </w:r>
      <w:r w:rsidR="00EC68FE" w:rsidRPr="00791D94">
        <w:tab/>
        <w:t xml:space="preserve">sharing sexual or lewd anecdotes or </w:t>
      </w:r>
      <w:proofErr w:type="gramStart"/>
      <w:r w:rsidR="00EC68FE" w:rsidRPr="00791D94">
        <w:t>jokes;</w:t>
      </w:r>
      <w:proofErr w:type="gramEnd"/>
      <w:r w:rsidR="00EC68FE" w:rsidRPr="00791D94">
        <w:t xml:space="preserve"> </w:t>
      </w:r>
    </w:p>
    <w:p w14:paraId="6D7ED94B" w14:textId="13398320" w:rsidR="00EC68FE" w:rsidRPr="00791D94" w:rsidRDefault="00821FB4" w:rsidP="00821FB4">
      <w:pPr>
        <w:pStyle w:val="enumlev1"/>
      </w:pPr>
      <w:r w:rsidRPr="00791D94">
        <w:t>–</w:t>
      </w:r>
      <w:r w:rsidR="00EC68FE" w:rsidRPr="00791D94">
        <w:tab/>
        <w:t xml:space="preserve">sending sexually suggestive communications in any </w:t>
      </w:r>
      <w:proofErr w:type="gramStart"/>
      <w:r w:rsidR="00EC68FE" w:rsidRPr="00791D94">
        <w:t>format;</w:t>
      </w:r>
      <w:proofErr w:type="gramEnd"/>
      <w:r w:rsidR="00EC68FE" w:rsidRPr="00791D94">
        <w:t xml:space="preserve"> </w:t>
      </w:r>
    </w:p>
    <w:p w14:paraId="366312F9" w14:textId="52A66651" w:rsidR="00EC68FE" w:rsidRPr="00791D94" w:rsidRDefault="00821FB4" w:rsidP="00821FB4">
      <w:pPr>
        <w:pStyle w:val="enumlev1"/>
      </w:pPr>
      <w:r w:rsidRPr="00791D94">
        <w:lastRenderedPageBreak/>
        <w:t>–</w:t>
      </w:r>
      <w:r w:rsidR="00EC68FE" w:rsidRPr="00791D94">
        <w:tab/>
        <w:t xml:space="preserve">sharing or displaying sexually inappropriate images or videos in any </w:t>
      </w:r>
      <w:proofErr w:type="gramStart"/>
      <w:r w:rsidR="00EC68FE" w:rsidRPr="00791D94">
        <w:t>format;</w:t>
      </w:r>
      <w:proofErr w:type="gramEnd"/>
      <w:r w:rsidR="00EC68FE" w:rsidRPr="00791D94">
        <w:t xml:space="preserve"> </w:t>
      </w:r>
    </w:p>
    <w:p w14:paraId="11DBB6B2" w14:textId="02424F25" w:rsidR="00EC68FE" w:rsidRPr="00791D94" w:rsidRDefault="00821FB4" w:rsidP="00821FB4">
      <w:pPr>
        <w:pStyle w:val="enumlev1"/>
      </w:pPr>
      <w:r w:rsidRPr="00791D94">
        <w:t>–</w:t>
      </w:r>
      <w:r w:rsidR="00EC68FE" w:rsidRPr="00791D94">
        <w:tab/>
        <w:t xml:space="preserve">any actual or attempted abuse of a position of vulnerability, differential power, or trust, for sexual purposes, including, but not limited to, profiting monetarily, socially, or politically from the sexual exploitation of </w:t>
      </w:r>
      <w:proofErr w:type="gramStart"/>
      <w:r w:rsidR="00EC68FE" w:rsidRPr="00791D94">
        <w:t>another;</w:t>
      </w:r>
      <w:proofErr w:type="gramEnd"/>
    </w:p>
    <w:p w14:paraId="34FC9525" w14:textId="507EC085" w:rsidR="00EC68FE" w:rsidRPr="00791D94" w:rsidRDefault="00821FB4" w:rsidP="00821FB4">
      <w:pPr>
        <w:pStyle w:val="enumlev1"/>
      </w:pPr>
      <w:r w:rsidRPr="00791D94">
        <w:t>–</w:t>
      </w:r>
      <w:r w:rsidR="00EC68FE" w:rsidRPr="00791D94">
        <w:tab/>
        <w:t>threatened, attempted, or actual sexual assault, including rape, whether by force or under unequal or coercive conditions.</w:t>
      </w:r>
    </w:p>
    <w:p w14:paraId="58F2750C" w14:textId="77777777" w:rsidR="00EC68FE" w:rsidRPr="00791D94" w:rsidRDefault="00EC68FE" w:rsidP="00821FB4">
      <w:r w:rsidRPr="00791D94">
        <w:t xml:space="preserve">Examples of discriminatory conduct in an event setting, include but are not limited to: </w:t>
      </w:r>
    </w:p>
    <w:p w14:paraId="68812792" w14:textId="5C99A510" w:rsidR="00EC68FE" w:rsidRPr="00791D94" w:rsidRDefault="00821FB4" w:rsidP="00821FB4">
      <w:pPr>
        <w:pStyle w:val="enumlev1"/>
      </w:pPr>
      <w:r w:rsidRPr="00791D94">
        <w:t>–</w:t>
      </w:r>
      <w:r w:rsidR="00EC68FE" w:rsidRPr="00791D94">
        <w:tab/>
        <w:t xml:space="preserve">unwarranted, intrusive or persistent questioning about a participant’s characteristic or </w:t>
      </w:r>
      <w:proofErr w:type="gramStart"/>
      <w:r w:rsidR="00EC68FE" w:rsidRPr="00791D94">
        <w:t>trait;</w:t>
      </w:r>
      <w:proofErr w:type="gramEnd"/>
    </w:p>
    <w:p w14:paraId="3DD8008E" w14:textId="34621044" w:rsidR="00EC68FE" w:rsidRPr="00791D94" w:rsidRDefault="00821FB4" w:rsidP="00821FB4">
      <w:pPr>
        <w:pStyle w:val="enumlev1"/>
      </w:pPr>
      <w:r w:rsidRPr="00791D94">
        <w:t>–</w:t>
      </w:r>
      <w:r w:rsidR="00EC68FE" w:rsidRPr="00791D94">
        <w:tab/>
        <w:t xml:space="preserve">social exclusion or isolation of, or refusal to cooperate with, a participant due to his or her characteristic or </w:t>
      </w:r>
      <w:proofErr w:type="gramStart"/>
      <w:r w:rsidR="00EC68FE" w:rsidRPr="00791D94">
        <w:t>trait;</w:t>
      </w:r>
      <w:proofErr w:type="gramEnd"/>
    </w:p>
    <w:p w14:paraId="229A0C5F" w14:textId="52721332" w:rsidR="00EC68FE" w:rsidRPr="00791D94" w:rsidRDefault="00821FB4" w:rsidP="00821FB4">
      <w:pPr>
        <w:pStyle w:val="enumlev1"/>
      </w:pPr>
      <w:r w:rsidRPr="00791D94">
        <w:t>–</w:t>
      </w:r>
      <w:r w:rsidR="00EC68FE" w:rsidRPr="00791D94">
        <w:tab/>
        <w:t>derogatory or demeaning gestures or comments, such as verbally or in writing.</w:t>
      </w:r>
    </w:p>
    <w:p w14:paraId="0AD9689D" w14:textId="4D09D1C8" w:rsidR="00EC68FE" w:rsidRPr="00791D94" w:rsidRDefault="00EC68FE" w:rsidP="00791D94">
      <w:pPr>
        <w:pStyle w:val="Headingb"/>
      </w:pPr>
      <w:r w:rsidRPr="00791D94">
        <w:t xml:space="preserve">Complaint </w:t>
      </w:r>
      <w:r w:rsidR="00791D94" w:rsidRPr="00791D94">
        <w:t>process</w:t>
      </w:r>
    </w:p>
    <w:p w14:paraId="776001C0" w14:textId="7D574FDC" w:rsidR="00EC68FE" w:rsidRPr="00791D94" w:rsidRDefault="00EC68FE" w:rsidP="00221E4D">
      <w:r w:rsidRPr="00791D94">
        <w:t>11</w:t>
      </w:r>
      <w:r w:rsidRPr="00791D94">
        <w:tab/>
        <w:t>A participant who feels they have been subjected to violence, harassment, sexual harassment and/or discrimination by any participant, including ITU staff, stakeholders and all persons attending or involved in any capacity in an ITU event, or who witnesses such conduct, may take any of the following actions:</w:t>
      </w:r>
    </w:p>
    <w:p w14:paraId="036F825C" w14:textId="492BD96E" w:rsidR="00EC68FE" w:rsidRPr="00791D94" w:rsidRDefault="00821FB4" w:rsidP="00821FB4">
      <w:pPr>
        <w:pStyle w:val="enumlev1"/>
      </w:pPr>
      <w:r w:rsidRPr="00791D94">
        <w:t>–</w:t>
      </w:r>
      <w:r w:rsidR="00EC68FE" w:rsidRPr="00791D94">
        <w:tab/>
        <w:t xml:space="preserve">if they feel comfortable and safe, request that the individual immediately stop the inappropriate </w:t>
      </w:r>
      <w:proofErr w:type="gramStart"/>
      <w:r w:rsidR="00EC68FE" w:rsidRPr="00791D94">
        <w:t>conduct;</w:t>
      </w:r>
      <w:proofErr w:type="gramEnd"/>
    </w:p>
    <w:p w14:paraId="67E8B03A" w14:textId="07EBB978" w:rsidR="00EC68FE" w:rsidRPr="00791D94" w:rsidRDefault="00821FB4" w:rsidP="00821FB4">
      <w:pPr>
        <w:pStyle w:val="enumlev1"/>
      </w:pPr>
      <w:r w:rsidRPr="00791D94">
        <w:t>–</w:t>
      </w:r>
      <w:r w:rsidR="00EC68FE" w:rsidRPr="00791D94">
        <w:tab/>
        <w:t xml:space="preserve">if there is a security issue, such as harm to oneself or others, contact on-site </w:t>
      </w:r>
      <w:proofErr w:type="gramStart"/>
      <w:r w:rsidR="00EC68FE" w:rsidRPr="00791D94">
        <w:t>security;</w:t>
      </w:r>
      <w:proofErr w:type="gramEnd"/>
    </w:p>
    <w:p w14:paraId="64BD92BC" w14:textId="4A25F4B8" w:rsidR="00EC68FE" w:rsidRPr="00791D94" w:rsidRDefault="00821FB4" w:rsidP="00821FB4">
      <w:pPr>
        <w:pStyle w:val="enumlev1"/>
      </w:pPr>
      <w:r w:rsidRPr="00791D94">
        <w:t>–</w:t>
      </w:r>
      <w:r w:rsidR="00EC68FE" w:rsidRPr="00791D94">
        <w:tab/>
        <w:t>report the matter to the organizer of the event, security, or the ITU Oversight Unit, to take appropriate action.</w:t>
      </w:r>
    </w:p>
    <w:p w14:paraId="57B32531" w14:textId="602B9C8C" w:rsidR="00EC68FE" w:rsidRPr="00791D94" w:rsidRDefault="00EC68FE" w:rsidP="00221E4D">
      <w:r>
        <w:t>12</w:t>
      </w:r>
      <w:r>
        <w:tab/>
        <w:t>Such reporting shall have no effect on any applicable rules and procedures that may apply in the ITU or to other personnel.</w:t>
      </w:r>
      <w:r w:rsidR="007513B9">
        <w:t xml:space="preserve"> </w:t>
      </w:r>
      <w:r>
        <w:t xml:space="preserve">The organizer of the ITU event, security, and the ITU Oversight Unit shall maintain the confidentiality of all communications received from participants reporting violence, harassment, sexual harassment or discrimination grievances and will be expected to take appropriate action in accordance with the applicable policies, regulations and rules. </w:t>
      </w:r>
    </w:p>
    <w:p w14:paraId="28BD4AA2" w14:textId="4253154C" w:rsidR="00EC68FE" w:rsidRPr="00791D94" w:rsidRDefault="00EC68FE" w:rsidP="00221E4D">
      <w:r w:rsidRPr="00791D94">
        <w:t>13</w:t>
      </w:r>
      <w:r w:rsidRPr="00791D94">
        <w:tab/>
        <w:t>Examples of appropriate action may include, but are not limited to:</w:t>
      </w:r>
    </w:p>
    <w:p w14:paraId="696EF6F5" w14:textId="59DFF0B6" w:rsidR="00EC68FE" w:rsidRPr="00791D94" w:rsidRDefault="00821FB4" w:rsidP="00821FB4">
      <w:pPr>
        <w:pStyle w:val="enumlev1"/>
      </w:pPr>
      <w:r w:rsidRPr="00791D94">
        <w:t>–</w:t>
      </w:r>
      <w:r w:rsidR="00EC68FE" w:rsidRPr="00791D94">
        <w:tab/>
        <w:t xml:space="preserve">undertaking a fact-finding exercise by the ITU Oversight </w:t>
      </w:r>
      <w:proofErr w:type="gramStart"/>
      <w:r w:rsidR="00EC68FE" w:rsidRPr="00791D94">
        <w:t>Unit;</w:t>
      </w:r>
      <w:proofErr w:type="gramEnd"/>
    </w:p>
    <w:p w14:paraId="61050A1E" w14:textId="57729A24" w:rsidR="00EC68FE" w:rsidRPr="00791D94" w:rsidRDefault="00821FB4" w:rsidP="00821FB4">
      <w:pPr>
        <w:pStyle w:val="enumlev1"/>
      </w:pPr>
      <w:r>
        <w:t>–</w:t>
      </w:r>
      <w:r>
        <w:tab/>
      </w:r>
      <w:r w:rsidR="00EC68FE">
        <w:t xml:space="preserve">requesting </w:t>
      </w:r>
      <w:r w:rsidR="00EC68FE">
        <w:t xml:space="preserve">the perpetrator to immediately stop the inappropriate </w:t>
      </w:r>
      <w:proofErr w:type="gramStart"/>
      <w:r w:rsidR="00EC68FE">
        <w:t>behaviour;</w:t>
      </w:r>
      <w:proofErr w:type="gramEnd"/>
      <w:r w:rsidR="00EC68FE">
        <w:t xml:space="preserve"> </w:t>
      </w:r>
    </w:p>
    <w:p w14:paraId="19620288" w14:textId="58D9DFBC" w:rsidR="00EC68FE" w:rsidRPr="00791D94" w:rsidRDefault="00821FB4" w:rsidP="00821FB4">
      <w:pPr>
        <w:pStyle w:val="enumlev1"/>
      </w:pPr>
      <w:r w:rsidRPr="00791D94">
        <w:t>–</w:t>
      </w:r>
      <w:r w:rsidR="00EC68FE" w:rsidRPr="00791D94">
        <w:tab/>
        <w:t xml:space="preserve">suspending or terminating the perpetrator’s access to the ITU event or refusing registration at future ITU events, or </w:t>
      </w:r>
      <w:proofErr w:type="gramStart"/>
      <w:r w:rsidR="00EC68FE" w:rsidRPr="00791D94">
        <w:t>both;</w:t>
      </w:r>
      <w:proofErr w:type="gramEnd"/>
      <w:r w:rsidR="00EC68FE" w:rsidRPr="00791D94">
        <w:t xml:space="preserve"> </w:t>
      </w:r>
    </w:p>
    <w:p w14:paraId="6007E8E1" w14:textId="0ED806A6" w:rsidR="00EC68FE" w:rsidRPr="00791D94" w:rsidRDefault="00821FB4" w:rsidP="00821FB4">
      <w:pPr>
        <w:pStyle w:val="enumlev1"/>
      </w:pPr>
      <w:r w:rsidRPr="00791D94">
        <w:t>–</w:t>
      </w:r>
      <w:r w:rsidR="00EC68FE" w:rsidRPr="00791D94">
        <w:tab/>
        <w:t xml:space="preserve">conveying the complaint to any investigative or disciplinary authority with jurisdiction over the person accused of </w:t>
      </w:r>
      <w:proofErr w:type="gramStart"/>
      <w:r w:rsidR="00EC68FE" w:rsidRPr="00791D94">
        <w:t>harassment;</w:t>
      </w:r>
      <w:proofErr w:type="gramEnd"/>
    </w:p>
    <w:p w14:paraId="2A7DF8E6" w14:textId="28327867" w:rsidR="00EC68FE" w:rsidRPr="00791D94" w:rsidRDefault="00821FB4" w:rsidP="00821FB4">
      <w:pPr>
        <w:pStyle w:val="enumlev1"/>
      </w:pPr>
      <w:r w:rsidRPr="00791D94">
        <w:t>–</w:t>
      </w:r>
      <w:r w:rsidR="00EC68FE" w:rsidRPr="00791D94">
        <w:tab/>
        <w:t>conveying a report to the employer or entity with jurisdiction over the person accused of violence, harassment or discrimination for appropriate follow-up action, including national authorities where appropriate.</w:t>
      </w:r>
    </w:p>
    <w:p w14:paraId="64AB8C5F" w14:textId="3341C157" w:rsidR="00EC68FE" w:rsidRPr="00791D94" w:rsidRDefault="00EC68FE" w:rsidP="00385C9E">
      <w:pPr>
        <w:keepNext/>
        <w:keepLines/>
      </w:pPr>
      <w:r>
        <w:lastRenderedPageBreak/>
        <w:t>14</w:t>
      </w:r>
      <w:r>
        <w:tab/>
        <w:t>The following general services may be contacted for confidential guidance or support:</w:t>
      </w:r>
    </w:p>
    <w:p w14:paraId="22BD24C5" w14:textId="56E69EFE" w:rsidR="00EC68FE" w:rsidRPr="00791D94" w:rsidRDefault="00821FB4" w:rsidP="00385C9E">
      <w:pPr>
        <w:pStyle w:val="enumlev1"/>
        <w:keepNext/>
        <w:keepLines/>
      </w:pPr>
      <w:r w:rsidRPr="00791D94">
        <w:t>–</w:t>
      </w:r>
      <w:r w:rsidR="00EC68FE" w:rsidRPr="00791D94">
        <w:tab/>
        <w:t xml:space="preserve">ITU Mediators: </w:t>
      </w:r>
      <w:hyperlink r:id="rId12" w:history="1">
        <w:r w:rsidR="00791D94" w:rsidRPr="00791D94">
          <w:rPr>
            <w:rStyle w:val="Hyperlink"/>
          </w:rPr>
          <w:t>mediators@itu.int</w:t>
        </w:r>
      </w:hyperlink>
      <w:r w:rsidR="00791D94" w:rsidRPr="00791D94">
        <w:t xml:space="preserve"> </w:t>
      </w:r>
    </w:p>
    <w:p w14:paraId="4D3851E9" w14:textId="0D7964CA" w:rsidR="00EC68FE" w:rsidRPr="00791D94" w:rsidRDefault="00821FB4" w:rsidP="00385C9E">
      <w:pPr>
        <w:pStyle w:val="enumlev1"/>
        <w:keepNext/>
        <w:keepLines/>
      </w:pPr>
      <w:r w:rsidRPr="00791D94">
        <w:t>–</w:t>
      </w:r>
      <w:r w:rsidR="00EC68FE" w:rsidRPr="00791D94">
        <w:tab/>
        <w:t xml:space="preserve">Staff Counsellor: </w:t>
      </w:r>
      <w:hyperlink r:id="rId13" w:history="1">
        <w:r w:rsidR="00791D94" w:rsidRPr="00791D94">
          <w:rPr>
            <w:rStyle w:val="Hyperlink"/>
          </w:rPr>
          <w:t>staffcounsellor@itu.int</w:t>
        </w:r>
      </w:hyperlink>
      <w:r w:rsidR="00791D94" w:rsidRPr="00791D94">
        <w:t xml:space="preserve"> </w:t>
      </w:r>
    </w:p>
    <w:p w14:paraId="04AB4844" w14:textId="1C4F3952" w:rsidR="00EC68FE" w:rsidRPr="00791D94" w:rsidRDefault="00821FB4" w:rsidP="00821FB4">
      <w:pPr>
        <w:pStyle w:val="enumlev1"/>
      </w:pPr>
      <w:r w:rsidRPr="00791D94">
        <w:t>–</w:t>
      </w:r>
      <w:r w:rsidR="00EC68FE" w:rsidRPr="00791D94">
        <w:tab/>
        <w:t xml:space="preserve">ITU Medical Service: </w:t>
      </w:r>
      <w:hyperlink r:id="rId14" w:history="1">
        <w:r w:rsidR="00791D94" w:rsidRPr="00791D94">
          <w:rPr>
            <w:rStyle w:val="Hyperlink"/>
          </w:rPr>
          <w:t>medical@itu.int</w:t>
        </w:r>
      </w:hyperlink>
      <w:r w:rsidR="00791D94" w:rsidRPr="00791D94">
        <w:t xml:space="preserve"> </w:t>
      </w:r>
    </w:p>
    <w:p w14:paraId="3A000C68" w14:textId="64EAC391" w:rsidR="00EC68FE" w:rsidRPr="00791D94" w:rsidRDefault="00821FB4" w:rsidP="00821FB4">
      <w:pPr>
        <w:pStyle w:val="enumlev1"/>
      </w:pPr>
      <w:r w:rsidRPr="00791D94">
        <w:t>–</w:t>
      </w:r>
      <w:r w:rsidR="00EC68FE" w:rsidRPr="00791D94">
        <w:tab/>
        <w:t xml:space="preserve">Ethics Office: </w:t>
      </w:r>
      <w:hyperlink r:id="rId15" w:history="1">
        <w:r w:rsidR="00791D94" w:rsidRPr="00791D94">
          <w:rPr>
            <w:rStyle w:val="Hyperlink"/>
          </w:rPr>
          <w:t>ethicsoffice@itu.int</w:t>
        </w:r>
      </w:hyperlink>
      <w:r w:rsidR="00791D94" w:rsidRPr="00791D94">
        <w:t xml:space="preserve"> </w:t>
      </w:r>
    </w:p>
    <w:p w14:paraId="2EE8B1FF" w14:textId="1B880B72" w:rsidR="00EC68FE" w:rsidRPr="00791D94" w:rsidRDefault="00821FB4" w:rsidP="00821FB4">
      <w:pPr>
        <w:pStyle w:val="enumlev1"/>
      </w:pPr>
      <w:r w:rsidRPr="00791D94">
        <w:t>–</w:t>
      </w:r>
      <w:r w:rsidR="00EC68FE" w:rsidRPr="00791D94">
        <w:tab/>
        <w:t xml:space="preserve">Security and Safety Division: </w:t>
      </w:r>
      <w:hyperlink r:id="rId16" w:history="1">
        <w:r w:rsidR="00791D94" w:rsidRPr="00791D94">
          <w:rPr>
            <w:rStyle w:val="Hyperlink"/>
          </w:rPr>
          <w:t>security@itu.int</w:t>
        </w:r>
      </w:hyperlink>
      <w:r w:rsidR="00791D94" w:rsidRPr="00791D94">
        <w:t xml:space="preserve">. </w:t>
      </w:r>
    </w:p>
    <w:p w14:paraId="3D80591B" w14:textId="1334E473" w:rsidR="00EC68FE" w:rsidRPr="00791D94" w:rsidRDefault="00EC68FE" w:rsidP="00221E4D">
      <w:r w:rsidRPr="00791D94">
        <w:t>15</w:t>
      </w:r>
      <w:r w:rsidRPr="00791D94">
        <w:tab/>
        <w:t>The victim of alleged violence, harassment, sexual harassment, or discrimination may also seek help from other relevant authority, such as the police, bearing in mind the applicable legal framework.</w:t>
      </w:r>
    </w:p>
    <w:p w14:paraId="66CFCC4F" w14:textId="6F2CD635" w:rsidR="00EC68FE" w:rsidRPr="00791D94" w:rsidRDefault="00EC68FE" w:rsidP="00221E4D">
      <w:r w:rsidRPr="00791D94">
        <w:t>16</w:t>
      </w:r>
      <w:r w:rsidRPr="00791D94">
        <w:tab/>
        <w:t>A participant should never knowingly make a false or misleading claim about prohibited conduct.</w:t>
      </w:r>
    </w:p>
    <w:p w14:paraId="75E545D1" w14:textId="1E285EA5" w:rsidR="00EC68FE" w:rsidRPr="00791D94" w:rsidRDefault="00EC68FE" w:rsidP="00821FB4">
      <w:pPr>
        <w:pStyle w:val="Headingb"/>
      </w:pPr>
      <w:r w:rsidRPr="00791D94">
        <w:t xml:space="preserve">Prohibition of </w:t>
      </w:r>
      <w:r w:rsidR="00821FB4" w:rsidRPr="00791D94">
        <w:t>retaliation</w:t>
      </w:r>
    </w:p>
    <w:p w14:paraId="5CB94CD7" w14:textId="2622A591" w:rsidR="00EC68FE" w:rsidRPr="00791D94" w:rsidRDefault="00EC68FE" w:rsidP="00221E4D">
      <w:r w:rsidRPr="00791D94">
        <w:t>17</w:t>
      </w:r>
      <w:r w:rsidRPr="00791D94">
        <w:tab/>
        <w:t>Threats, intimidation, or any other form of retaliation against a participant who has made a complaint or provided information in support of a complaint are prohibited. ITU will take any reasonable appropriate action needed to prevent and respond to retaliation, in accordance with its applicable policy, regulations and rules.</w:t>
      </w:r>
    </w:p>
    <w:p w14:paraId="7AE5609E" w14:textId="77777777" w:rsidR="00EC68FE" w:rsidRPr="00791D94" w:rsidRDefault="00EC68FE" w:rsidP="00821FB4">
      <w:pPr>
        <w:pStyle w:val="Headingb"/>
      </w:pPr>
      <w:r w:rsidRPr="00791D94">
        <w:t>Communication</w:t>
      </w:r>
    </w:p>
    <w:p w14:paraId="5B96874D" w14:textId="18D0F0F9" w:rsidR="00EC68FE" w:rsidRPr="00791D94" w:rsidRDefault="00EC68FE" w:rsidP="00221E4D">
      <w:r w:rsidRPr="00791D94">
        <w:t>18</w:t>
      </w:r>
      <w:r w:rsidRPr="00791D94">
        <w:tab/>
        <w:t>The Code of Conduct will be made available on the ITU website in the six official languages of the ITU.</w:t>
      </w:r>
      <w:r w:rsidR="007513B9">
        <w:t xml:space="preserve"> </w:t>
      </w:r>
      <w:r w:rsidRPr="00791D94">
        <w:t>Information materials will be publicized at ITU premises such as at building entrances and in and around meeting and event spaces.</w:t>
      </w:r>
    </w:p>
    <w:p w14:paraId="550259D4" w14:textId="5756194B" w:rsidR="00EC68FE" w:rsidRPr="00791D94" w:rsidRDefault="00EC68FE" w:rsidP="00221E4D">
      <w:r w:rsidRPr="00791D94">
        <w:t>19</w:t>
      </w:r>
      <w:r w:rsidRPr="00791D94">
        <w:tab/>
        <w:t>The Code of Conduct will be communicated to all participants in advance of each ITU event. At the time of registration for each ITU event, participants will be informed of and provided access to the Code of Conduct.</w:t>
      </w:r>
      <w:r w:rsidR="007513B9">
        <w:t xml:space="preserve"> </w:t>
      </w:r>
      <w:r w:rsidRPr="00791D94">
        <w:t>Any person who registers for an ITU event will be required to acknowledge and agree to abide by the Code of Conduct.</w:t>
      </w:r>
      <w:r w:rsidR="007513B9">
        <w:t xml:space="preserve"> </w:t>
      </w:r>
      <w:r w:rsidRPr="00791D94">
        <w:t>The Code of Conduct may also be made available on the event’s website and at the event.</w:t>
      </w:r>
    </w:p>
    <w:p w14:paraId="7E12EB51" w14:textId="53E5E1CB" w:rsidR="00EC68FE" w:rsidRPr="00791D94" w:rsidRDefault="3E0FDEB8" w:rsidP="00221E4D">
      <w:r>
        <w:t>20</w:t>
      </w:r>
      <w:r w:rsidR="00EC68FE">
        <w:tab/>
      </w:r>
      <w:r w:rsidRPr="00385C9E">
        <w:rPr>
          <w:spacing w:val="4"/>
        </w:rPr>
        <w:t>For ITU events that take place outside of ITU premises, for which ITU may not</w:t>
      </w:r>
      <w:r w:rsidRPr="00385C9E">
        <w:rPr>
          <w:spacing w:val="2"/>
        </w:rPr>
        <w:t xml:space="preserve"> be</w:t>
      </w:r>
      <w:r>
        <w:t xml:space="preserve"> </w:t>
      </w:r>
      <w:r w:rsidRPr="00385C9E">
        <w:rPr>
          <w:spacing w:val="4"/>
        </w:rPr>
        <w:t>the main organizer, ITU will ensure that the Code of Conduct is forwarded to the entity</w:t>
      </w:r>
      <w:r>
        <w:t xml:space="preserve"> co-organizing the event and coordinate with the other organizers with a view to ensuring the distribution and adherence to the Code of Conduct.</w:t>
      </w:r>
    </w:p>
    <w:p w14:paraId="257674B4" w14:textId="70BAE3B6" w:rsidR="00A514A4" w:rsidRPr="00791D94" w:rsidRDefault="00EC68FE" w:rsidP="00221E4D">
      <w:r w:rsidRPr="00791D94">
        <w:t>21</w:t>
      </w:r>
      <w:r w:rsidRPr="00791D94">
        <w:tab/>
        <w:t>At each ITU event, in addition to the contacts listed above, information will be provided to participants concerning the contact details of the responsible ITU staff and security who receive such complaints and take action in response.</w:t>
      </w:r>
    </w:p>
    <w:p w14:paraId="6831018A" w14:textId="17E0CEF2" w:rsidR="00EC68FE" w:rsidRPr="00791D94" w:rsidRDefault="00EC68FE" w:rsidP="00385C9E">
      <w:pPr>
        <w:spacing w:before="840"/>
        <w:jc w:val="center"/>
      </w:pPr>
      <w:r w:rsidRPr="00791D94">
        <w:t>______________</w:t>
      </w:r>
    </w:p>
    <w:sectPr w:rsidR="00EC68FE" w:rsidRPr="00791D94" w:rsidSect="00AD360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0BD7B" w14:textId="77777777" w:rsidR="00026DD3" w:rsidRDefault="00026DD3">
      <w:r>
        <w:separator/>
      </w:r>
    </w:p>
  </w:endnote>
  <w:endnote w:type="continuationSeparator" w:id="0">
    <w:p w14:paraId="0FB07040" w14:textId="77777777" w:rsidR="00026DD3" w:rsidRDefault="00026DD3">
      <w:r>
        <w:continuationSeparator/>
      </w:r>
    </w:p>
  </w:endnote>
  <w:endnote w:type="continuationNotice" w:id="1">
    <w:p w14:paraId="67D12815" w14:textId="77777777" w:rsidR="00026DD3" w:rsidRDefault="00026DD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D2497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30354FA2" w:rsidR="00EE49E8" w:rsidRPr="00E06FD5" w:rsidRDefault="00EE49E8" w:rsidP="00221E4D">
          <w:pPr>
            <w:pStyle w:val="Header"/>
            <w:tabs>
              <w:tab w:val="left" w:pos="6310"/>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2404ED">
            <w:rPr>
              <w:bCs/>
            </w:rPr>
            <w:t>1</w:t>
          </w:r>
          <w:r w:rsidR="00E03C3D">
            <w:rPr>
              <w:bCs/>
            </w:rPr>
            <w:t>9</w:t>
          </w:r>
          <w:r w:rsidR="00A52C84" w:rsidRPr="00623AE3">
            <w:rPr>
              <w:bCs/>
            </w:rPr>
            <w:t>/</w:t>
          </w:r>
          <w:r w:rsidR="00905532">
            <w:rPr>
              <w:bCs/>
            </w:rPr>
            <w:t>4</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https://council.itu.int/working-groups</w:t>
          </w:r>
        </w:p>
      </w:tc>
      <w:tc>
        <w:tcPr>
          <w:tcW w:w="6957" w:type="dxa"/>
        </w:tcPr>
        <w:p w14:paraId="3F62E0D8" w14:textId="7D6E3A1F" w:rsidR="00EE49E8" w:rsidRPr="00E06FD5" w:rsidRDefault="00EE49E8" w:rsidP="00221E4D">
          <w:pPr>
            <w:pStyle w:val="Header"/>
            <w:tabs>
              <w:tab w:val="left" w:pos="5009"/>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2404ED">
            <w:rPr>
              <w:bCs/>
            </w:rPr>
            <w:t>1</w:t>
          </w:r>
          <w:r w:rsidR="00E03C3D">
            <w:rPr>
              <w:bCs/>
            </w:rPr>
            <w:t>9</w:t>
          </w:r>
          <w:r w:rsidRPr="00623AE3">
            <w:rPr>
              <w:bCs/>
            </w:rPr>
            <w:t>/</w:t>
          </w:r>
          <w:r w:rsidR="00905532">
            <w:rPr>
              <w:bCs/>
            </w:rPr>
            <w:t>4</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AE3B2" w14:textId="77777777" w:rsidR="00026DD3" w:rsidRDefault="00026DD3">
      <w:r>
        <w:t>____________________</w:t>
      </w:r>
    </w:p>
  </w:footnote>
  <w:footnote w:type="continuationSeparator" w:id="0">
    <w:p w14:paraId="637056EC" w14:textId="77777777" w:rsidR="00026DD3" w:rsidRDefault="00026DD3">
      <w:r>
        <w:continuationSeparator/>
      </w:r>
    </w:p>
  </w:footnote>
  <w:footnote w:type="continuationNotice" w:id="1">
    <w:p w14:paraId="522BC6EF" w14:textId="77777777" w:rsidR="00026DD3" w:rsidRDefault="00026DD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2"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B6D79"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CD4D4"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5B8E296B"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E03C3D">
                            <w:rPr>
                              <w:sz w:val="20"/>
                            </w:rPr>
                            <w:t>Nine</w:t>
                          </w:r>
                          <w:r w:rsidR="00A94376">
                            <w:rPr>
                              <w:sz w:val="20"/>
                            </w:rPr>
                            <w:t>teenth</w:t>
                          </w:r>
                          <w:r w:rsidRPr="00130599">
                            <w:rPr>
                              <w:sz w:val="20"/>
                            </w:rPr>
                            <w:t xml:space="preserve"> meeting </w:t>
                          </w:r>
                          <w:r w:rsidR="00A94376">
                            <w:rPr>
                              <w:sz w:val="20"/>
                            </w:rPr>
                            <w:t>–</w:t>
                          </w:r>
                          <w:r w:rsidR="00B358B2">
                            <w:rPr>
                              <w:sz w:val="20"/>
                            </w:rPr>
                            <w:t xml:space="preserve"> </w:t>
                          </w:r>
                          <w:r w:rsidR="00E03C3D">
                            <w:rPr>
                              <w:sz w:val="20"/>
                            </w:rPr>
                            <w:t>From 7 to 9 October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5B8E296B"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E03C3D">
                      <w:rPr>
                        <w:sz w:val="20"/>
                      </w:rPr>
                      <w:t>Nine</w:t>
                    </w:r>
                    <w:r w:rsidR="00A94376">
                      <w:rPr>
                        <w:sz w:val="20"/>
                      </w:rPr>
                      <w:t>teenth</w:t>
                    </w:r>
                    <w:r w:rsidRPr="00130599">
                      <w:rPr>
                        <w:sz w:val="20"/>
                      </w:rPr>
                      <w:t xml:space="preserve"> meeting </w:t>
                    </w:r>
                    <w:r w:rsidR="00A94376">
                      <w:rPr>
                        <w:sz w:val="20"/>
                      </w:rPr>
                      <w:t>–</w:t>
                    </w:r>
                    <w:r w:rsidR="00B358B2">
                      <w:rPr>
                        <w:sz w:val="20"/>
                      </w:rPr>
                      <w:t xml:space="preserve"> </w:t>
                    </w:r>
                    <w:r w:rsidR="00E03C3D">
                      <w:rPr>
                        <w:sz w:val="20"/>
                      </w:rPr>
                      <w:t>From 7 to 9 October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7732"/>
    <w:rsid w:val="000210D4"/>
    <w:rsid w:val="00026DD3"/>
    <w:rsid w:val="00063016"/>
    <w:rsid w:val="00066795"/>
    <w:rsid w:val="00076AF6"/>
    <w:rsid w:val="00085CF2"/>
    <w:rsid w:val="000B1705"/>
    <w:rsid w:val="000D75B2"/>
    <w:rsid w:val="001121F5"/>
    <w:rsid w:val="00130599"/>
    <w:rsid w:val="001361A4"/>
    <w:rsid w:val="00136C01"/>
    <w:rsid w:val="001400DC"/>
    <w:rsid w:val="00140CE1"/>
    <w:rsid w:val="00140E4F"/>
    <w:rsid w:val="001751FF"/>
    <w:rsid w:val="0017539C"/>
    <w:rsid w:val="00175AC2"/>
    <w:rsid w:val="0017609F"/>
    <w:rsid w:val="0019628A"/>
    <w:rsid w:val="001A7D1D"/>
    <w:rsid w:val="001B51DD"/>
    <w:rsid w:val="001C628E"/>
    <w:rsid w:val="001E0F7B"/>
    <w:rsid w:val="001E0FBE"/>
    <w:rsid w:val="001F05D5"/>
    <w:rsid w:val="001F7068"/>
    <w:rsid w:val="002119FD"/>
    <w:rsid w:val="002130E0"/>
    <w:rsid w:val="00215A2C"/>
    <w:rsid w:val="00221E4D"/>
    <w:rsid w:val="002404ED"/>
    <w:rsid w:val="00244F7F"/>
    <w:rsid w:val="00250828"/>
    <w:rsid w:val="00260ACE"/>
    <w:rsid w:val="00264425"/>
    <w:rsid w:val="00265875"/>
    <w:rsid w:val="0027303B"/>
    <w:rsid w:val="0028109B"/>
    <w:rsid w:val="002A2188"/>
    <w:rsid w:val="002B1F58"/>
    <w:rsid w:val="002C1C7A"/>
    <w:rsid w:val="002C54E2"/>
    <w:rsid w:val="0030160F"/>
    <w:rsid w:val="00320223"/>
    <w:rsid w:val="00322D0D"/>
    <w:rsid w:val="00325F7A"/>
    <w:rsid w:val="00361465"/>
    <w:rsid w:val="00385C9E"/>
    <w:rsid w:val="003877F5"/>
    <w:rsid w:val="003942D4"/>
    <w:rsid w:val="003958A8"/>
    <w:rsid w:val="003C2533"/>
    <w:rsid w:val="003C4DC6"/>
    <w:rsid w:val="003D55B9"/>
    <w:rsid w:val="003D5A7F"/>
    <w:rsid w:val="004016E2"/>
    <w:rsid w:val="0040435A"/>
    <w:rsid w:val="00416A24"/>
    <w:rsid w:val="00431D9E"/>
    <w:rsid w:val="00433CE8"/>
    <w:rsid w:val="00434A5C"/>
    <w:rsid w:val="004544D9"/>
    <w:rsid w:val="00472BAD"/>
    <w:rsid w:val="00484009"/>
    <w:rsid w:val="00490D31"/>
    <w:rsid w:val="00490E72"/>
    <w:rsid w:val="00491157"/>
    <w:rsid w:val="004921C8"/>
    <w:rsid w:val="00495B0B"/>
    <w:rsid w:val="004A01AC"/>
    <w:rsid w:val="004A1B8B"/>
    <w:rsid w:val="004D1851"/>
    <w:rsid w:val="004D599D"/>
    <w:rsid w:val="004E2037"/>
    <w:rsid w:val="004E2EA5"/>
    <w:rsid w:val="004E3AEB"/>
    <w:rsid w:val="004F187E"/>
    <w:rsid w:val="0050223C"/>
    <w:rsid w:val="005243FF"/>
    <w:rsid w:val="00564FBC"/>
    <w:rsid w:val="0057383A"/>
    <w:rsid w:val="005800BC"/>
    <w:rsid w:val="00582442"/>
    <w:rsid w:val="0058738C"/>
    <w:rsid w:val="005A335D"/>
    <w:rsid w:val="005A700A"/>
    <w:rsid w:val="005E2BD5"/>
    <w:rsid w:val="005F3269"/>
    <w:rsid w:val="00623AE3"/>
    <w:rsid w:val="00646D38"/>
    <w:rsid w:val="0064737F"/>
    <w:rsid w:val="006535F1"/>
    <w:rsid w:val="0065557D"/>
    <w:rsid w:val="00660D50"/>
    <w:rsid w:val="00662984"/>
    <w:rsid w:val="006716BB"/>
    <w:rsid w:val="00676C7D"/>
    <w:rsid w:val="006B1859"/>
    <w:rsid w:val="006B6680"/>
    <w:rsid w:val="006B6DCC"/>
    <w:rsid w:val="00702DEF"/>
    <w:rsid w:val="00706861"/>
    <w:rsid w:val="0075051B"/>
    <w:rsid w:val="007513B9"/>
    <w:rsid w:val="00775655"/>
    <w:rsid w:val="00791D94"/>
    <w:rsid w:val="00793188"/>
    <w:rsid w:val="00794D34"/>
    <w:rsid w:val="00813E5E"/>
    <w:rsid w:val="00821FB4"/>
    <w:rsid w:val="0083581B"/>
    <w:rsid w:val="00851406"/>
    <w:rsid w:val="008571A0"/>
    <w:rsid w:val="00863874"/>
    <w:rsid w:val="00864AFF"/>
    <w:rsid w:val="00865925"/>
    <w:rsid w:val="008662C2"/>
    <w:rsid w:val="00881577"/>
    <w:rsid w:val="008837E2"/>
    <w:rsid w:val="00891503"/>
    <w:rsid w:val="008B4A6A"/>
    <w:rsid w:val="008C7E27"/>
    <w:rsid w:val="008F7448"/>
    <w:rsid w:val="0090147A"/>
    <w:rsid w:val="00905532"/>
    <w:rsid w:val="009173EF"/>
    <w:rsid w:val="00932906"/>
    <w:rsid w:val="00961B0B"/>
    <w:rsid w:val="00962D33"/>
    <w:rsid w:val="00971C28"/>
    <w:rsid w:val="009B2D4B"/>
    <w:rsid w:val="009B38C3"/>
    <w:rsid w:val="009C253A"/>
    <w:rsid w:val="009E17BD"/>
    <w:rsid w:val="009E485A"/>
    <w:rsid w:val="009F347C"/>
    <w:rsid w:val="00A04CEC"/>
    <w:rsid w:val="00A27F92"/>
    <w:rsid w:val="00A32257"/>
    <w:rsid w:val="00A34664"/>
    <w:rsid w:val="00A36D20"/>
    <w:rsid w:val="00A514A4"/>
    <w:rsid w:val="00A52C84"/>
    <w:rsid w:val="00A55622"/>
    <w:rsid w:val="00A83502"/>
    <w:rsid w:val="00A94376"/>
    <w:rsid w:val="00AA16DF"/>
    <w:rsid w:val="00AD105E"/>
    <w:rsid w:val="00AD15B3"/>
    <w:rsid w:val="00AD3606"/>
    <w:rsid w:val="00AD4A3D"/>
    <w:rsid w:val="00AF398D"/>
    <w:rsid w:val="00AF5235"/>
    <w:rsid w:val="00AF6E49"/>
    <w:rsid w:val="00B04A67"/>
    <w:rsid w:val="00B0583C"/>
    <w:rsid w:val="00B358B2"/>
    <w:rsid w:val="00B40A81"/>
    <w:rsid w:val="00B44910"/>
    <w:rsid w:val="00B72267"/>
    <w:rsid w:val="00B75E29"/>
    <w:rsid w:val="00B76EB6"/>
    <w:rsid w:val="00B7737B"/>
    <w:rsid w:val="00B824C8"/>
    <w:rsid w:val="00B84B9D"/>
    <w:rsid w:val="00B97373"/>
    <w:rsid w:val="00BA19FF"/>
    <w:rsid w:val="00BC251A"/>
    <w:rsid w:val="00BC5B4A"/>
    <w:rsid w:val="00BD032B"/>
    <w:rsid w:val="00BD1693"/>
    <w:rsid w:val="00BE2640"/>
    <w:rsid w:val="00C01189"/>
    <w:rsid w:val="00C374DE"/>
    <w:rsid w:val="00C47AD4"/>
    <w:rsid w:val="00C52D81"/>
    <w:rsid w:val="00C55198"/>
    <w:rsid w:val="00C60511"/>
    <w:rsid w:val="00C84BF9"/>
    <w:rsid w:val="00CA6393"/>
    <w:rsid w:val="00CA7CB8"/>
    <w:rsid w:val="00CB18FF"/>
    <w:rsid w:val="00CD0C08"/>
    <w:rsid w:val="00CD6BC8"/>
    <w:rsid w:val="00CE03FB"/>
    <w:rsid w:val="00CE433C"/>
    <w:rsid w:val="00CF0161"/>
    <w:rsid w:val="00CF33F3"/>
    <w:rsid w:val="00D06183"/>
    <w:rsid w:val="00D22C42"/>
    <w:rsid w:val="00D2497C"/>
    <w:rsid w:val="00D34998"/>
    <w:rsid w:val="00D464CC"/>
    <w:rsid w:val="00D65041"/>
    <w:rsid w:val="00DB00D5"/>
    <w:rsid w:val="00DB1936"/>
    <w:rsid w:val="00DB384B"/>
    <w:rsid w:val="00DE2A92"/>
    <w:rsid w:val="00DF0189"/>
    <w:rsid w:val="00E03C3D"/>
    <w:rsid w:val="00E06FD5"/>
    <w:rsid w:val="00E10E80"/>
    <w:rsid w:val="00E124F0"/>
    <w:rsid w:val="00E227F3"/>
    <w:rsid w:val="00E44720"/>
    <w:rsid w:val="00E545C6"/>
    <w:rsid w:val="00E60F04"/>
    <w:rsid w:val="00E65B24"/>
    <w:rsid w:val="00E854E4"/>
    <w:rsid w:val="00E86DBF"/>
    <w:rsid w:val="00EB0D6F"/>
    <w:rsid w:val="00EB2232"/>
    <w:rsid w:val="00EC5337"/>
    <w:rsid w:val="00EC68FE"/>
    <w:rsid w:val="00ED454D"/>
    <w:rsid w:val="00EE49E8"/>
    <w:rsid w:val="00F16BAB"/>
    <w:rsid w:val="00F2150A"/>
    <w:rsid w:val="00F231D8"/>
    <w:rsid w:val="00F44C00"/>
    <w:rsid w:val="00F45D2C"/>
    <w:rsid w:val="00F46C5F"/>
    <w:rsid w:val="00F632C0"/>
    <w:rsid w:val="00F74694"/>
    <w:rsid w:val="00F8461F"/>
    <w:rsid w:val="00F94A63"/>
    <w:rsid w:val="00FA1C28"/>
    <w:rsid w:val="00FB1279"/>
    <w:rsid w:val="00FB5695"/>
    <w:rsid w:val="00FB6B76"/>
    <w:rsid w:val="00FB7596"/>
    <w:rsid w:val="00FD7016"/>
    <w:rsid w:val="00FE4077"/>
    <w:rsid w:val="00FE500D"/>
    <w:rsid w:val="00FE77D2"/>
    <w:rsid w:val="00FF27B8"/>
    <w:rsid w:val="014B881B"/>
    <w:rsid w:val="03B3CB02"/>
    <w:rsid w:val="045B7A54"/>
    <w:rsid w:val="05A2B944"/>
    <w:rsid w:val="07412538"/>
    <w:rsid w:val="083D9D4F"/>
    <w:rsid w:val="0A960572"/>
    <w:rsid w:val="0F62ACBF"/>
    <w:rsid w:val="110E2768"/>
    <w:rsid w:val="11D0CE62"/>
    <w:rsid w:val="14C2C557"/>
    <w:rsid w:val="14D61744"/>
    <w:rsid w:val="15487F2C"/>
    <w:rsid w:val="1758B9B5"/>
    <w:rsid w:val="19EB3103"/>
    <w:rsid w:val="1A2CC4E7"/>
    <w:rsid w:val="1B1601FF"/>
    <w:rsid w:val="1B1F778F"/>
    <w:rsid w:val="20F9EFF1"/>
    <w:rsid w:val="23585529"/>
    <w:rsid w:val="26F64AF0"/>
    <w:rsid w:val="26FD5C60"/>
    <w:rsid w:val="29BC7C84"/>
    <w:rsid w:val="29C8227D"/>
    <w:rsid w:val="2A84F787"/>
    <w:rsid w:val="2A92DF32"/>
    <w:rsid w:val="2D3F581C"/>
    <w:rsid w:val="2D4AF1C3"/>
    <w:rsid w:val="2D7256EF"/>
    <w:rsid w:val="2E3BC855"/>
    <w:rsid w:val="2EFB1612"/>
    <w:rsid w:val="2F2E2DF7"/>
    <w:rsid w:val="3102011C"/>
    <w:rsid w:val="345A1D62"/>
    <w:rsid w:val="34CDEA84"/>
    <w:rsid w:val="34DAA075"/>
    <w:rsid w:val="35C36147"/>
    <w:rsid w:val="3742599E"/>
    <w:rsid w:val="3A3A6F22"/>
    <w:rsid w:val="3B3AFE5F"/>
    <w:rsid w:val="3BCB050B"/>
    <w:rsid w:val="3BDCD3B8"/>
    <w:rsid w:val="3C82AB44"/>
    <w:rsid w:val="3D52A9C7"/>
    <w:rsid w:val="3E0FDEB8"/>
    <w:rsid w:val="3FAFE7EC"/>
    <w:rsid w:val="3FBC23F0"/>
    <w:rsid w:val="401A45B6"/>
    <w:rsid w:val="427FBBF8"/>
    <w:rsid w:val="42C7256E"/>
    <w:rsid w:val="44829C9A"/>
    <w:rsid w:val="45286D13"/>
    <w:rsid w:val="469DE0A4"/>
    <w:rsid w:val="4E12A8B4"/>
    <w:rsid w:val="5189389B"/>
    <w:rsid w:val="525A150C"/>
    <w:rsid w:val="53015B16"/>
    <w:rsid w:val="59000FEA"/>
    <w:rsid w:val="590460C5"/>
    <w:rsid w:val="59C9D840"/>
    <w:rsid w:val="5ADB05DA"/>
    <w:rsid w:val="5B2AA5C8"/>
    <w:rsid w:val="5BF76A1C"/>
    <w:rsid w:val="5DE9BE8E"/>
    <w:rsid w:val="5E623739"/>
    <w:rsid w:val="60C86DAA"/>
    <w:rsid w:val="62D012B1"/>
    <w:rsid w:val="67356E06"/>
    <w:rsid w:val="68A0D0DD"/>
    <w:rsid w:val="6ABB4E4D"/>
    <w:rsid w:val="6AFB237D"/>
    <w:rsid w:val="6B4E2813"/>
    <w:rsid w:val="6E5046F8"/>
    <w:rsid w:val="706EC4CA"/>
    <w:rsid w:val="73D29737"/>
    <w:rsid w:val="748E4B6D"/>
    <w:rsid w:val="75B9BD92"/>
    <w:rsid w:val="75DB0686"/>
    <w:rsid w:val="784DC1A0"/>
    <w:rsid w:val="7A11FB6A"/>
    <w:rsid w:val="7CC2CA59"/>
    <w:rsid w:val="7E1BD6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EA2BCEC-BA17-4D37-BB36-00BE4CD7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paragraph" w:customStyle="1" w:styleId="Reasons">
    <w:name w:val="Reasons"/>
    <w:basedOn w:val="Normal"/>
    <w:qFormat/>
    <w:rsid w:val="00EC68FE"/>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57383A"/>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380912">
      <w:bodyDiv w:val="1"/>
      <w:marLeft w:val="0"/>
      <w:marRight w:val="0"/>
      <w:marTop w:val="0"/>
      <w:marBottom w:val="0"/>
      <w:divBdr>
        <w:top w:val="none" w:sz="0" w:space="0" w:color="auto"/>
        <w:left w:val="none" w:sz="0" w:space="0" w:color="auto"/>
        <w:bottom w:val="none" w:sz="0" w:space="0" w:color="auto"/>
        <w:right w:val="none" w:sz="0" w:space="0" w:color="auto"/>
      </w:divBdr>
    </w:div>
    <w:div w:id="140136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ffcounsellor@itu.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ediators@it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urity@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u.int/md/S24-CL-C-0078/en" TargetMode="External"/><Relationship Id="rId5" Type="http://schemas.openxmlformats.org/officeDocument/2006/relationships/numbering" Target="numbering.xml"/><Relationship Id="rId15" Type="http://schemas.openxmlformats.org/officeDocument/2006/relationships/hyperlink" Target="mailto:ethicsoffice@itu.i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cal@itu.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5b46e1-7f22-4e81-9ba5-912dc5a5fd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14" ma:contentTypeDescription="Create a new document." ma:contentTypeScope="" ma:versionID="a4c8376f6f21f384962fae60096dcd03">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823914ed2e25b6f660768a1230f0e224"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E7F22-6DE6-401B-8AB6-0BCF36FFE1EB}">
  <ds:schemaRefs>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085b46e1-7f22-4e81-9ba5-912dc5a5fd9a"/>
    <ds:schemaRef ds:uri="http://schemas.microsoft.com/office/infopath/2007/PartnerControls"/>
    <ds:schemaRef ds:uri="98b04e1e-0540-4930-9623-702d547a0a3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3941A30-8247-4954-B322-1A0C8E9EE3D5}">
  <ds:schemaRefs>
    <ds:schemaRef ds:uri="http://schemas.microsoft.com/sharepoint/v3/contenttype/forms"/>
  </ds:schemaRefs>
</ds:datastoreItem>
</file>

<file path=customXml/itemProps3.xml><?xml version="1.0" encoding="utf-8"?>
<ds:datastoreItem xmlns:ds="http://schemas.openxmlformats.org/officeDocument/2006/customXml" ds:itemID="{E6FAC34D-25A3-4621-946B-26BC86CED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98b04e1e-0540-4930-9623-702d547a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1638</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at ITU events – Working together for a culture of respect</dc:title>
  <dc:subject>ITU Council Working Group on Financial and Human Resources</dc:subject>
  <cp:keywords>CWG-FHR, C24, Council-24</cp:keywords>
  <dc:description/>
  <cp:revision>3</cp:revision>
  <dcterms:created xsi:type="dcterms:W3CDTF">2024-09-07T16:50:00Z</dcterms:created>
  <dcterms:modified xsi:type="dcterms:W3CDTF">2024-09-07T17:01:00Z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0x010100927A014BF6FE3A4AB656F5985E3C82C4</vt:lpwstr>
  </property>
  <property fmtid="{D5CDD505-2E9C-101B-9397-08002B2CF9AE}" pid="3" name="MediaServiceImageTags">
    <vt:lpwstr/>
  </property>
</Properties>
</file>