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B2D4B" w14:paraId="0043AC80" w14:textId="77777777" w:rsidTr="066F7C47">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72A015E8" w:rsidR="00AD3606" w:rsidRPr="009B2D4B" w:rsidRDefault="38E9ED65" w:rsidP="066F7C47">
            <w:pPr>
              <w:tabs>
                <w:tab w:val="left" w:pos="851"/>
              </w:tabs>
              <w:spacing w:before="0" w:line="240" w:lineRule="atLeast"/>
              <w:jc w:val="right"/>
              <w:rPr>
                <w:b/>
                <w:bCs/>
                <w:lang w:val="it-IT"/>
              </w:rPr>
            </w:pPr>
            <w:r w:rsidRPr="066F7C47">
              <w:rPr>
                <w:b/>
                <w:bCs/>
                <w:lang w:val="it-IT"/>
              </w:rPr>
              <w:t>Document C</w:t>
            </w:r>
            <w:r w:rsidR="225E1E13" w:rsidRPr="066F7C47">
              <w:rPr>
                <w:b/>
                <w:bCs/>
                <w:lang w:val="it-IT"/>
              </w:rPr>
              <w:t>WG-</w:t>
            </w:r>
            <w:r w:rsidR="7D750803" w:rsidRPr="066F7C47">
              <w:rPr>
                <w:b/>
                <w:bCs/>
                <w:lang w:val="it-IT"/>
              </w:rPr>
              <w:t>FHR</w:t>
            </w:r>
            <w:r w:rsidR="225E1E13" w:rsidRPr="066F7C47">
              <w:rPr>
                <w:b/>
                <w:bCs/>
                <w:lang w:val="it-IT"/>
              </w:rPr>
              <w:t>-</w:t>
            </w:r>
            <w:r w:rsidR="615CCFB1" w:rsidRPr="066F7C47">
              <w:rPr>
                <w:b/>
                <w:bCs/>
                <w:lang w:val="it-IT"/>
              </w:rPr>
              <w:t>1</w:t>
            </w:r>
            <w:r w:rsidR="134CEF0A" w:rsidRPr="066F7C47">
              <w:rPr>
                <w:b/>
                <w:bCs/>
                <w:lang w:val="it-IT"/>
              </w:rPr>
              <w:t>7</w:t>
            </w:r>
            <w:r w:rsidR="00353878">
              <w:rPr>
                <w:b/>
                <w:bCs/>
                <w:lang w:val="it-IT"/>
              </w:rPr>
              <w:t>/INF</w:t>
            </w:r>
            <w:r w:rsidRPr="066F7C47">
              <w:rPr>
                <w:b/>
                <w:bCs/>
                <w:lang w:val="it-IT"/>
              </w:rPr>
              <w:t>/</w:t>
            </w:r>
            <w:r w:rsidR="00353878">
              <w:rPr>
                <w:b/>
                <w:bCs/>
                <w:lang w:val="it-IT"/>
              </w:rPr>
              <w:t>4</w:t>
            </w:r>
          </w:p>
        </w:tc>
      </w:tr>
      <w:tr w:rsidR="00AD3606" w:rsidRPr="00813E5E" w14:paraId="789B45BA" w14:textId="77777777" w:rsidTr="066F7C47">
        <w:trPr>
          <w:cantSplit/>
        </w:trPr>
        <w:tc>
          <w:tcPr>
            <w:tcW w:w="3969" w:type="dxa"/>
            <w:vMerge/>
          </w:tcPr>
          <w:p w14:paraId="3F3D4E17" w14:textId="77777777" w:rsidR="00AD3606" w:rsidRPr="009B2D4B"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118589FB" w:rsidR="00AD3606" w:rsidRPr="00E85629" w:rsidRDefault="00353878" w:rsidP="00AD3606">
            <w:pPr>
              <w:tabs>
                <w:tab w:val="left" w:pos="851"/>
              </w:tabs>
              <w:spacing w:before="0"/>
              <w:jc w:val="right"/>
              <w:rPr>
                <w:b/>
              </w:rPr>
            </w:pPr>
            <w:r>
              <w:rPr>
                <w:b/>
              </w:rPr>
              <w:t>2</w:t>
            </w:r>
            <w:r w:rsidR="00507824" w:rsidRPr="00507824">
              <w:rPr>
                <w:b/>
              </w:rPr>
              <w:t>0</w:t>
            </w:r>
            <w:r w:rsidR="00AD3606" w:rsidRPr="00507824">
              <w:rPr>
                <w:b/>
              </w:rPr>
              <w:t xml:space="preserve"> </w:t>
            </w:r>
            <w:r w:rsidR="00260ACE" w:rsidRPr="00507824">
              <w:rPr>
                <w:b/>
              </w:rPr>
              <w:t>December</w:t>
            </w:r>
            <w:r w:rsidR="00AD3606" w:rsidRPr="00507824">
              <w:rPr>
                <w:b/>
              </w:rPr>
              <w:t xml:space="preserve"> 2023</w:t>
            </w:r>
          </w:p>
        </w:tc>
      </w:tr>
      <w:tr w:rsidR="00AD3606" w:rsidRPr="00813E5E" w14:paraId="58A84C4A" w14:textId="77777777" w:rsidTr="066F7C47">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E85629" w:rsidRDefault="00891503" w:rsidP="00AD3606">
            <w:pPr>
              <w:tabs>
                <w:tab w:val="left" w:pos="851"/>
              </w:tabs>
              <w:spacing w:before="0" w:line="240" w:lineRule="atLeast"/>
              <w:jc w:val="right"/>
              <w:rPr>
                <w:b/>
              </w:rPr>
            </w:pPr>
            <w:r>
              <w:rPr>
                <w:b/>
              </w:rPr>
              <w:t>English</w:t>
            </w:r>
            <w:r w:rsidR="009B2D4B">
              <w:rPr>
                <w:b/>
              </w:rPr>
              <w:t xml:space="preserve"> only</w:t>
            </w:r>
          </w:p>
        </w:tc>
      </w:tr>
      <w:tr w:rsidR="00472BAD" w:rsidRPr="00813E5E" w14:paraId="12C5EF5F" w14:textId="77777777" w:rsidTr="066F7C47">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66F7C47">
        <w:trPr>
          <w:cantSplit/>
        </w:trPr>
        <w:tc>
          <w:tcPr>
            <w:tcW w:w="9214" w:type="dxa"/>
            <w:gridSpan w:val="2"/>
            <w:tcMar>
              <w:left w:w="0" w:type="dxa"/>
            </w:tcMar>
          </w:tcPr>
          <w:p w14:paraId="4E7CDB90" w14:textId="69E3B982" w:rsidR="00AD3606" w:rsidRPr="00676C7D" w:rsidRDefault="34A9F992" w:rsidP="00676C7D">
            <w:pPr>
              <w:pStyle w:val="Source"/>
              <w:framePr w:hSpace="0" w:wrap="auto" w:vAnchor="margin" w:hAnchor="text" w:xAlign="left" w:yAlign="inline"/>
            </w:pPr>
            <w:bookmarkStart w:id="8" w:name="dsource"/>
            <w:bookmarkEnd w:id="7"/>
            <w:r>
              <w:t>Contribution</w:t>
            </w:r>
            <w:r w:rsidR="38E9ED65">
              <w:t xml:space="preserve"> by the </w:t>
            </w:r>
            <w:r w:rsidR="225E1E13">
              <w:t>secretariat</w:t>
            </w:r>
          </w:p>
        </w:tc>
      </w:tr>
      <w:tr w:rsidR="00AD3606" w:rsidRPr="00813E5E" w14:paraId="2340750D" w14:textId="77777777" w:rsidTr="066F7C47">
        <w:trPr>
          <w:cantSplit/>
        </w:trPr>
        <w:tc>
          <w:tcPr>
            <w:tcW w:w="9214" w:type="dxa"/>
            <w:gridSpan w:val="2"/>
            <w:tcMar>
              <w:left w:w="0" w:type="dxa"/>
            </w:tcMar>
          </w:tcPr>
          <w:p w14:paraId="47B91AA8" w14:textId="05E101DB" w:rsidR="00AD3606" w:rsidRPr="00676C7D" w:rsidRDefault="08B4A56B" w:rsidP="00676C7D">
            <w:pPr>
              <w:pStyle w:val="Subtitle"/>
              <w:framePr w:hSpace="0" w:wrap="auto" w:xAlign="left" w:yAlign="inline"/>
            </w:pPr>
            <w:bookmarkStart w:id="9" w:name="dtitle1"/>
            <w:bookmarkEnd w:id="8"/>
            <w:r>
              <w:t xml:space="preserve">IMPLEMENTATION OF RESOLUTION 167 (REV. BUCHAREST, 2022) OF THE PLENIPOTENTIARY CONFERENCE </w:t>
            </w:r>
          </w:p>
        </w:tc>
      </w:tr>
      <w:tr w:rsidR="00AD3606" w:rsidRPr="00813E5E" w14:paraId="1F564D2D" w14:textId="77777777" w:rsidTr="066F7C47">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3A26184B" w14:textId="6B15560D" w:rsidR="008F5718" w:rsidRDefault="08B4A56B" w:rsidP="003A1473">
            <w:pPr>
              <w:spacing w:before="160"/>
              <w:jc w:val="both"/>
            </w:pPr>
            <w:r>
              <w:t xml:space="preserve">Council 2023 concluded that remote participation is an invaluable tool for Member States and instructed the Secretary-General to prepare a roadmap for the harmonization and the development of facilities and capabilities to organize and conduct fully virtual meetings and physical meetings with remote participation by electronic means for the meetings of the Union, for submission to the 2024 session of the Council. </w:t>
            </w:r>
          </w:p>
          <w:p w14:paraId="077B2AFC" w14:textId="3B4BE384" w:rsidR="6AEB0A41" w:rsidRDefault="002110AD" w:rsidP="003A1473">
            <w:pPr>
              <w:spacing w:before="160"/>
              <w:jc w:val="both"/>
            </w:pPr>
            <w:r>
              <w:t xml:space="preserve">The </w:t>
            </w:r>
            <w:r w:rsidR="6AEB0A41">
              <w:t>16</w:t>
            </w:r>
            <w:r w:rsidR="6AEB0A41" w:rsidRPr="066F7C47">
              <w:rPr>
                <w:vertAlign w:val="superscript"/>
              </w:rPr>
              <w:t>th</w:t>
            </w:r>
            <w:r w:rsidR="6AEB0A41">
              <w:t xml:space="preserve"> meeting of the Council Working Group on Financial and Human Resources (CWG-FHR)</w:t>
            </w:r>
            <w:r w:rsidR="3B108FF6">
              <w:t xml:space="preserve"> discussed the lack of clarity around the rights of remote participants, and the need to establish clear guidance, which is consistent across the ITU, on their rights and involvement, in particular who can participate in decision-making. It was agreed to work on creating draft guidelines.</w:t>
            </w:r>
          </w:p>
          <w:p w14:paraId="03B15294" w14:textId="2C27E9FC" w:rsidR="066F7C47" w:rsidRDefault="002110AD" w:rsidP="003A1473">
            <w:pPr>
              <w:spacing w:before="160"/>
              <w:jc w:val="both"/>
            </w:pPr>
            <w:r>
              <w:t xml:space="preserve">This document </w:t>
            </w:r>
            <w:r w:rsidR="3B108FF6">
              <w:t>provide</w:t>
            </w:r>
            <w:r>
              <w:t>s</w:t>
            </w:r>
            <w:r w:rsidR="3B108FF6">
              <w:t xml:space="preserve"> </w:t>
            </w:r>
            <w:r>
              <w:t xml:space="preserve">information </w:t>
            </w:r>
            <w:r w:rsidR="3B108FF6">
              <w:t xml:space="preserve">on the current practices of the ITU on the conduct of fully virtual meetings and physical meetings with remote participation by electronic means </w:t>
            </w:r>
            <w:r w:rsidRPr="002110AD">
              <w:t xml:space="preserve">to assist in developing </w:t>
            </w:r>
            <w:r>
              <w:t>draft guidelines.</w:t>
            </w:r>
          </w:p>
          <w:p w14:paraId="2E05E83C" w14:textId="77777777" w:rsidR="00353878" w:rsidRPr="00353878" w:rsidRDefault="00353878" w:rsidP="00353878">
            <w:pPr>
              <w:spacing w:before="160"/>
              <w:rPr>
                <w:rFonts w:eastAsia="SimSun"/>
                <w:b/>
                <w:bCs/>
                <w:sz w:val="26"/>
                <w:szCs w:val="26"/>
              </w:rPr>
            </w:pPr>
            <w:r w:rsidRPr="00353878">
              <w:rPr>
                <w:rFonts w:eastAsia="SimSun"/>
                <w:b/>
                <w:bCs/>
                <w:sz w:val="26"/>
                <w:szCs w:val="26"/>
              </w:rPr>
              <w:t xml:space="preserve">Action </w:t>
            </w:r>
            <w:proofErr w:type="gramStart"/>
            <w:r w:rsidRPr="00353878">
              <w:rPr>
                <w:rFonts w:eastAsia="SimSun"/>
                <w:b/>
                <w:bCs/>
                <w:sz w:val="26"/>
                <w:szCs w:val="26"/>
              </w:rPr>
              <w:t>required</w:t>
            </w:r>
            <w:proofErr w:type="gramEnd"/>
          </w:p>
          <w:p w14:paraId="6ED81949" w14:textId="33AB1FF0" w:rsidR="00353878" w:rsidRDefault="00353878" w:rsidP="00353878">
            <w:pPr>
              <w:spacing w:before="160"/>
            </w:pPr>
            <w:r w:rsidRPr="00353878">
              <w:rPr>
                <w:rFonts w:eastAsia="SimSun"/>
              </w:rPr>
              <w:t xml:space="preserve">This report is transmitted to the CWG-FHR </w:t>
            </w:r>
            <w:r w:rsidRPr="00353878">
              <w:rPr>
                <w:rFonts w:eastAsia="SimSun"/>
                <w:b/>
                <w:bCs/>
              </w:rPr>
              <w:t>for information</w:t>
            </w:r>
            <w:r w:rsidRPr="00353878">
              <w:rPr>
                <w:rFonts w:eastAsia="SimSun"/>
              </w:rPr>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175CD6C" w14:textId="7E64439B" w:rsidR="00AD3606" w:rsidRDefault="00AD3606" w:rsidP="00F16BAB">
            <w:pPr>
              <w:spacing w:after="160"/>
            </w:pPr>
          </w:p>
        </w:tc>
      </w:tr>
    </w:tbl>
    <w:p w14:paraId="4CDB8B60" w14:textId="77777777" w:rsidR="00E227F3" w:rsidRPr="0074467E"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74467E"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74467E">
        <w:br w:type="page"/>
      </w:r>
    </w:p>
    <w:bookmarkEnd w:id="5"/>
    <w:bookmarkEnd w:id="10"/>
    <w:p w14:paraId="4EAF43C7" w14:textId="1D1715E6" w:rsidR="00285CDE" w:rsidRPr="0074467E" w:rsidRDefault="00285CDE" w:rsidP="003A1473">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
          <w:bCs/>
          <w:szCs w:val="24"/>
        </w:rPr>
      </w:pPr>
      <w:r w:rsidRPr="0074467E">
        <w:rPr>
          <w:rFonts w:asciiTheme="minorHAnsi" w:hAnsiTheme="minorHAnsi" w:cstheme="minorHAnsi"/>
          <w:b/>
          <w:bCs/>
          <w:szCs w:val="24"/>
        </w:rPr>
        <w:lastRenderedPageBreak/>
        <w:t>Existing documents on the management of fully virtual meetings and physical meetings with remote participation</w:t>
      </w:r>
    </w:p>
    <w:p w14:paraId="7652B65C" w14:textId="248CFCF3" w:rsidR="00285CDE" w:rsidRPr="00A71250" w:rsidRDefault="00285CDE" w:rsidP="003A1473">
      <w:pPr>
        <w:pStyle w:val="paragraph"/>
        <w:spacing w:before="120" w:beforeAutospacing="0" w:after="120" w:afterAutospacing="0"/>
        <w:jc w:val="both"/>
        <w:textAlignment w:val="baseline"/>
        <w:rPr>
          <w:rStyle w:val="eop"/>
          <w:rFonts w:asciiTheme="minorHAnsi" w:eastAsiaTheme="minorEastAsia" w:hAnsiTheme="minorHAnsi" w:cstheme="minorHAnsi"/>
          <w:u w:val="single"/>
        </w:rPr>
      </w:pPr>
      <w:r w:rsidRPr="00A71250">
        <w:rPr>
          <w:rStyle w:val="normaltextrun"/>
          <w:rFonts w:asciiTheme="minorHAnsi" w:eastAsiaTheme="minorEastAsia" w:hAnsiTheme="minorHAnsi" w:cstheme="minorHAnsi"/>
          <w:u w:val="single"/>
        </w:rPr>
        <w:t>The following documents have been produced by TSB / ITU-T:</w:t>
      </w:r>
    </w:p>
    <w:p w14:paraId="2D5E29CF" w14:textId="77777777" w:rsidR="00285CDE" w:rsidRPr="00A71250" w:rsidRDefault="00285CDE" w:rsidP="003A1473">
      <w:pPr>
        <w:pStyle w:val="ListParagraph"/>
        <w:numPr>
          <w:ilvl w:val="0"/>
          <w:numId w:val="7"/>
        </w:numPr>
        <w:tabs>
          <w:tab w:val="clear" w:pos="567"/>
          <w:tab w:val="clear" w:pos="1134"/>
          <w:tab w:val="clear" w:pos="1701"/>
          <w:tab w:val="clear" w:pos="2268"/>
          <w:tab w:val="clear" w:pos="2835"/>
        </w:tabs>
        <w:overflowPunct/>
        <w:autoSpaceDE/>
        <w:autoSpaceDN/>
        <w:adjustRightInd/>
        <w:spacing w:before="0" w:after="160"/>
        <w:contextualSpacing w:val="0"/>
        <w:jc w:val="both"/>
        <w:textAlignment w:val="auto"/>
        <w:rPr>
          <w:rFonts w:asciiTheme="minorHAnsi" w:hAnsiTheme="minorHAnsi" w:cstheme="minorHAnsi"/>
          <w:szCs w:val="24"/>
        </w:rPr>
      </w:pPr>
      <w:r w:rsidRPr="00A71250">
        <w:rPr>
          <w:rFonts w:asciiTheme="minorHAnsi" w:hAnsiTheme="minorHAnsi" w:cstheme="minorHAnsi"/>
          <w:szCs w:val="24"/>
        </w:rPr>
        <w:t xml:space="preserve">ITU-T TSAG has agreed to an update to Supplement 4 to A-series ITU-T Recommendations </w:t>
      </w:r>
      <w:r w:rsidRPr="00A71250">
        <w:rPr>
          <w:rFonts w:asciiTheme="minorHAnsi" w:hAnsiTheme="minorHAnsi" w:cstheme="minorHAnsi"/>
          <w:i/>
          <w:iCs/>
          <w:szCs w:val="24"/>
        </w:rPr>
        <w:t>"Guidelines for remote participation"</w:t>
      </w:r>
      <w:r w:rsidRPr="00A71250">
        <w:rPr>
          <w:rFonts w:asciiTheme="minorHAnsi" w:hAnsiTheme="minorHAnsi" w:cstheme="minorHAnsi"/>
          <w:szCs w:val="24"/>
        </w:rPr>
        <w:t xml:space="preserve"> in December 2022 (</w:t>
      </w:r>
      <w:hyperlink r:id="rId11">
        <w:r w:rsidRPr="00A71250">
          <w:rPr>
            <w:rStyle w:val="Hyperlink"/>
            <w:rFonts w:asciiTheme="minorHAnsi" w:hAnsiTheme="minorHAnsi" w:cstheme="minorHAnsi"/>
            <w:szCs w:val="24"/>
          </w:rPr>
          <w:t>https://www.itu.int/rec/T-REC-A.Sup4/en)</w:t>
        </w:r>
      </w:hyperlink>
      <w:r w:rsidRPr="00A71250">
        <w:rPr>
          <w:rFonts w:asciiTheme="minorHAnsi" w:hAnsiTheme="minorHAnsi" w:cstheme="minorHAnsi"/>
          <w:szCs w:val="24"/>
        </w:rPr>
        <w:t>. The updated Supplement did not include provisions related to the governance of remote participations but provides the current practices in TSB; it may be used as basis by the Council to start discussing high level guidance for the management and governance of fully virtual meetings and physical meetings with remote participation.</w:t>
      </w:r>
    </w:p>
    <w:p w14:paraId="1076BB93" w14:textId="77777777" w:rsidR="00285CDE" w:rsidRPr="00A71250" w:rsidRDefault="00285CDE" w:rsidP="003A1473">
      <w:pPr>
        <w:pStyle w:val="ListParagraph"/>
        <w:numPr>
          <w:ilvl w:val="0"/>
          <w:numId w:val="7"/>
        </w:numPr>
        <w:tabs>
          <w:tab w:val="clear" w:pos="567"/>
          <w:tab w:val="clear" w:pos="1134"/>
          <w:tab w:val="clear" w:pos="1701"/>
          <w:tab w:val="clear" w:pos="2268"/>
          <w:tab w:val="clear" w:pos="2835"/>
        </w:tabs>
        <w:overflowPunct/>
        <w:autoSpaceDE/>
        <w:autoSpaceDN/>
        <w:adjustRightInd/>
        <w:spacing w:before="0"/>
        <w:contextualSpacing w:val="0"/>
        <w:jc w:val="both"/>
        <w:textAlignment w:val="auto"/>
        <w:rPr>
          <w:rFonts w:asciiTheme="minorHAnsi" w:hAnsiTheme="minorHAnsi" w:cstheme="minorHAnsi"/>
          <w:szCs w:val="24"/>
        </w:rPr>
      </w:pPr>
      <w:r w:rsidRPr="00A71250">
        <w:rPr>
          <w:rStyle w:val="ui-provider"/>
          <w:rFonts w:asciiTheme="minorHAnsi" w:hAnsiTheme="minorHAnsi" w:cstheme="minorHAnsi"/>
          <w:szCs w:val="24"/>
        </w:rPr>
        <w:t>ITU-D TDAG and ITU-R RAG were informed via outgoing liaison statement TSAG-LS4 (</w:t>
      </w:r>
      <w:hyperlink r:id="rId12" w:history="1">
        <w:r w:rsidRPr="00A71250">
          <w:rPr>
            <w:rStyle w:val="Hyperlink"/>
            <w:rFonts w:asciiTheme="minorHAnsi" w:hAnsiTheme="minorHAnsi" w:cstheme="minorHAnsi"/>
            <w:szCs w:val="24"/>
          </w:rPr>
          <w:t>https://handle.itu.int/11.1002/ls/sp17-tsag-oLS-00004.docx</w:t>
        </w:r>
      </w:hyperlink>
      <w:r w:rsidRPr="00A71250">
        <w:rPr>
          <w:rStyle w:val="ui-provider"/>
          <w:rFonts w:asciiTheme="minorHAnsi" w:hAnsiTheme="minorHAnsi" w:cstheme="minorHAnsi"/>
          <w:szCs w:val="24"/>
        </w:rPr>
        <w:t>)</w:t>
      </w:r>
      <w:r w:rsidRPr="00A71250">
        <w:rPr>
          <w:rFonts w:asciiTheme="minorHAnsi" w:hAnsiTheme="minorHAnsi" w:cstheme="minorHAnsi"/>
          <w:szCs w:val="24"/>
        </w:rPr>
        <w:t xml:space="preserve"> </w:t>
      </w:r>
      <w:r w:rsidRPr="00A71250">
        <w:rPr>
          <w:rStyle w:val="ui-provider"/>
          <w:rFonts w:asciiTheme="minorHAnsi" w:hAnsiTheme="minorHAnsi" w:cstheme="minorHAnsi"/>
          <w:szCs w:val="24"/>
        </w:rPr>
        <w:t>on the updates agreed by TSAG to A-Series Supplement 4 above.</w:t>
      </w:r>
    </w:p>
    <w:p w14:paraId="3606B3EB" w14:textId="54D644D8" w:rsidR="00285CDE" w:rsidRPr="00A71250" w:rsidRDefault="00285CDE" w:rsidP="003A1473">
      <w:pPr>
        <w:spacing w:after="120"/>
        <w:jc w:val="both"/>
        <w:rPr>
          <w:rStyle w:val="ui-provider"/>
          <w:rFonts w:asciiTheme="minorHAnsi" w:eastAsiaTheme="minorEastAsia" w:hAnsiTheme="minorHAnsi" w:cstheme="minorBidi"/>
        </w:rPr>
      </w:pPr>
      <w:r w:rsidRPr="3C16933C">
        <w:rPr>
          <w:rStyle w:val="ui-provider"/>
          <w:rFonts w:asciiTheme="minorHAnsi" w:eastAsiaTheme="minorEastAsia" w:hAnsiTheme="minorHAnsi" w:cstheme="minorBidi"/>
        </w:rPr>
        <w:t xml:space="preserve">In addition, TSB has produced two documents that were used by ITU-T Study Groups to manage fully virtual meetings (in absence of the Union governance) when they were forced to organize fully virtual </w:t>
      </w:r>
      <w:r w:rsidR="691EAF7B" w:rsidRPr="3C16933C">
        <w:rPr>
          <w:rStyle w:val="ui-provider"/>
          <w:rFonts w:asciiTheme="minorHAnsi" w:eastAsiaTheme="minorEastAsia" w:hAnsiTheme="minorHAnsi" w:cstheme="minorBidi"/>
        </w:rPr>
        <w:t xml:space="preserve">meetings </w:t>
      </w:r>
      <w:r w:rsidRPr="3C16933C">
        <w:rPr>
          <w:rStyle w:val="ui-provider"/>
          <w:rFonts w:asciiTheme="minorHAnsi" w:eastAsiaTheme="minorEastAsia" w:hAnsiTheme="minorHAnsi" w:cstheme="minorBidi"/>
        </w:rPr>
        <w:t xml:space="preserve">due to COVID19. One is a user guide for the internal remote participation tool and the second is a policy document that every Study Group who organized a fully virtual meeting published and approved before starting the meeting, for </w:t>
      </w:r>
      <w:r w:rsidRPr="3C16933C">
        <w:rPr>
          <w:rFonts w:asciiTheme="minorHAnsi" w:eastAsiaTheme="minorEastAsia" w:hAnsiTheme="minorHAnsi" w:cstheme="minorBidi"/>
        </w:rPr>
        <w:t>example in the case of ITU-T SG9 in 2022:</w:t>
      </w:r>
    </w:p>
    <w:p w14:paraId="3A311D15" w14:textId="77777777" w:rsidR="00285CDE" w:rsidRPr="00A71250" w:rsidRDefault="00285CDE" w:rsidP="003A1473">
      <w:pPr>
        <w:pStyle w:val="ListParagraph"/>
        <w:numPr>
          <w:ilvl w:val="0"/>
          <w:numId w:val="6"/>
        </w:numPr>
        <w:tabs>
          <w:tab w:val="clear" w:pos="567"/>
          <w:tab w:val="clear" w:pos="1134"/>
          <w:tab w:val="clear" w:pos="1701"/>
          <w:tab w:val="clear" w:pos="2268"/>
          <w:tab w:val="clear" w:pos="2835"/>
        </w:tabs>
        <w:overflowPunct/>
        <w:autoSpaceDE/>
        <w:autoSpaceDN/>
        <w:adjustRightInd/>
        <w:ind w:left="357" w:hanging="357"/>
        <w:contextualSpacing w:val="0"/>
        <w:jc w:val="both"/>
        <w:textAlignment w:val="auto"/>
        <w:rPr>
          <w:rFonts w:asciiTheme="minorHAnsi" w:hAnsiTheme="minorHAnsi" w:cstheme="minorHAnsi"/>
          <w:szCs w:val="24"/>
        </w:rPr>
      </w:pPr>
      <w:proofErr w:type="spellStart"/>
      <w:r w:rsidRPr="00A71250">
        <w:rPr>
          <w:rStyle w:val="ui-provider"/>
          <w:rFonts w:asciiTheme="minorHAnsi" w:hAnsiTheme="minorHAnsi" w:cstheme="minorHAnsi"/>
          <w:szCs w:val="24"/>
        </w:rPr>
        <w:t>MyMeetings</w:t>
      </w:r>
      <w:proofErr w:type="spellEnd"/>
      <w:r w:rsidRPr="00A71250">
        <w:rPr>
          <w:rStyle w:val="ui-provider"/>
          <w:rFonts w:asciiTheme="minorHAnsi" w:hAnsiTheme="minorHAnsi" w:cstheme="minorHAnsi"/>
          <w:szCs w:val="24"/>
        </w:rPr>
        <w:t xml:space="preserve"> - User guide: </w:t>
      </w:r>
      <w:hyperlink r:id="rId13">
        <w:r w:rsidRPr="00A71250">
          <w:rPr>
            <w:rStyle w:val="Hyperlink"/>
            <w:rFonts w:asciiTheme="minorHAnsi" w:hAnsiTheme="minorHAnsi" w:cstheme="minorHAnsi"/>
            <w:szCs w:val="24"/>
          </w:rPr>
          <w:t>https://www.itu.int/en/ITU-T/ewm/Documents/guides/ITU-T_e-Meetings_tool_User_Guide.pdf</w:t>
        </w:r>
      </w:hyperlink>
    </w:p>
    <w:p w14:paraId="093578E3" w14:textId="77777777" w:rsidR="00285CDE" w:rsidRPr="00A71250" w:rsidRDefault="00285CDE" w:rsidP="003A1473">
      <w:pPr>
        <w:pStyle w:val="ListParagraph"/>
        <w:numPr>
          <w:ilvl w:val="0"/>
          <w:numId w:val="7"/>
        </w:numPr>
        <w:tabs>
          <w:tab w:val="clear" w:pos="567"/>
          <w:tab w:val="clear" w:pos="1134"/>
          <w:tab w:val="clear" w:pos="1701"/>
          <w:tab w:val="clear" w:pos="2268"/>
          <w:tab w:val="clear" w:pos="2835"/>
        </w:tabs>
        <w:overflowPunct/>
        <w:autoSpaceDE/>
        <w:autoSpaceDN/>
        <w:adjustRightInd/>
        <w:spacing w:before="0"/>
        <w:contextualSpacing w:val="0"/>
        <w:jc w:val="both"/>
        <w:textAlignment w:val="auto"/>
        <w:rPr>
          <w:rFonts w:asciiTheme="minorHAnsi" w:hAnsiTheme="minorHAnsi" w:cstheme="minorHAnsi"/>
          <w:szCs w:val="24"/>
        </w:rPr>
      </w:pPr>
      <w:r w:rsidRPr="00A71250">
        <w:rPr>
          <w:rFonts w:asciiTheme="minorHAnsi" w:hAnsiTheme="minorHAnsi" w:cstheme="minorHAnsi"/>
          <w:szCs w:val="24"/>
        </w:rPr>
        <w:t xml:space="preserve">Policy guide for remote participation at SG9 fully virtual meetings: </w:t>
      </w:r>
      <w:hyperlink r:id="rId14">
        <w:r w:rsidRPr="00A71250">
          <w:rPr>
            <w:rStyle w:val="Hyperlink"/>
            <w:rFonts w:asciiTheme="minorHAnsi" w:hAnsiTheme="minorHAnsi" w:cstheme="minorHAnsi"/>
            <w:szCs w:val="24"/>
          </w:rPr>
          <w:t>https://www.itu.int/md/T22-SG09-220906-TD-GEN-0017/en</w:t>
        </w:r>
      </w:hyperlink>
    </w:p>
    <w:p w14:paraId="26EF41D6" w14:textId="49C6FCBC" w:rsidR="00285CDE" w:rsidRPr="00A71250" w:rsidRDefault="00285CDE" w:rsidP="003A1473">
      <w:pPr>
        <w:spacing w:after="120"/>
        <w:jc w:val="both"/>
        <w:rPr>
          <w:rFonts w:asciiTheme="minorHAnsi" w:hAnsiTheme="minorHAnsi" w:cstheme="minorHAnsi"/>
          <w:szCs w:val="24"/>
          <w:u w:val="single"/>
        </w:rPr>
      </w:pPr>
      <w:r w:rsidRPr="00A71250">
        <w:rPr>
          <w:rFonts w:asciiTheme="minorHAnsi" w:hAnsiTheme="minorHAnsi" w:cstheme="minorHAnsi"/>
          <w:szCs w:val="24"/>
          <w:u w:val="single"/>
        </w:rPr>
        <w:t>The following documents have been produced by BR/ITU-R:</w:t>
      </w:r>
    </w:p>
    <w:p w14:paraId="574203EA" w14:textId="77777777" w:rsidR="00285CDE" w:rsidRPr="00A71250" w:rsidRDefault="00285CDE" w:rsidP="003A1473">
      <w:pPr>
        <w:spacing w:after="120"/>
        <w:jc w:val="both"/>
        <w:rPr>
          <w:rStyle w:val="ui-provider"/>
          <w:rFonts w:asciiTheme="minorHAnsi" w:eastAsiaTheme="minorEastAsia" w:hAnsiTheme="minorHAnsi" w:cstheme="minorHAnsi"/>
          <w:szCs w:val="24"/>
        </w:rPr>
      </w:pPr>
      <w:r w:rsidRPr="00A71250">
        <w:rPr>
          <w:rStyle w:val="ui-provider"/>
          <w:rFonts w:asciiTheme="minorHAnsi" w:eastAsiaTheme="minorEastAsia" w:hAnsiTheme="minorHAnsi" w:cstheme="minorHAnsi"/>
          <w:szCs w:val="24"/>
        </w:rPr>
        <w:t>For each block of ITU-R meetings, the BR Study Groups Department provides an “</w:t>
      </w:r>
      <w:r w:rsidRPr="00A71250">
        <w:rPr>
          <w:rStyle w:val="ui-provider"/>
          <w:rFonts w:asciiTheme="minorHAnsi" w:eastAsiaTheme="minorEastAsia" w:hAnsiTheme="minorHAnsi" w:cstheme="minorHAnsi"/>
          <w:i/>
          <w:iCs/>
          <w:szCs w:val="24"/>
        </w:rPr>
        <w:t>Information for participants</w:t>
      </w:r>
      <w:r w:rsidRPr="00A71250">
        <w:rPr>
          <w:rStyle w:val="ui-provider"/>
          <w:rFonts w:asciiTheme="minorHAnsi" w:eastAsiaTheme="minorEastAsia" w:hAnsiTheme="minorHAnsi" w:cstheme="minorHAnsi"/>
          <w:szCs w:val="24"/>
        </w:rPr>
        <w:t xml:space="preserve">” document that includes </w:t>
      </w:r>
      <w:proofErr w:type="gramStart"/>
      <w:r w:rsidRPr="00A71250">
        <w:rPr>
          <w:rStyle w:val="ui-provider"/>
          <w:rFonts w:asciiTheme="minorHAnsi" w:eastAsiaTheme="minorEastAsia" w:hAnsiTheme="minorHAnsi" w:cstheme="minorHAnsi"/>
          <w:szCs w:val="24"/>
        </w:rPr>
        <w:t>all of</w:t>
      </w:r>
      <w:proofErr w:type="gramEnd"/>
      <w:r w:rsidRPr="00A71250">
        <w:rPr>
          <w:rStyle w:val="ui-provider"/>
          <w:rFonts w:asciiTheme="minorHAnsi" w:eastAsiaTheme="minorEastAsia" w:hAnsiTheme="minorHAnsi" w:cstheme="minorHAnsi"/>
          <w:szCs w:val="24"/>
        </w:rPr>
        <w:t xml:space="preserve"> the practical guidance delegates need for the meeting.  Below is an example of such a document:</w:t>
      </w:r>
    </w:p>
    <w:p w14:paraId="1A9D0F90" w14:textId="77777777" w:rsidR="00285CDE" w:rsidRPr="00A71250" w:rsidRDefault="003A1473" w:rsidP="003A1473">
      <w:pPr>
        <w:spacing w:after="120"/>
        <w:jc w:val="both"/>
        <w:rPr>
          <w:rFonts w:asciiTheme="minorHAnsi" w:hAnsiTheme="minorHAnsi" w:cstheme="minorHAnsi"/>
          <w:szCs w:val="24"/>
        </w:rPr>
      </w:pPr>
      <w:hyperlink r:id="rId15" w:history="1">
        <w:r w:rsidR="00285CDE" w:rsidRPr="00A71250">
          <w:rPr>
            <w:rStyle w:val="Hyperlink"/>
            <w:rFonts w:asciiTheme="minorHAnsi" w:hAnsiTheme="minorHAnsi" w:cstheme="minorHAnsi"/>
            <w:szCs w:val="24"/>
          </w:rPr>
          <w:t>https://www.itu.int/md/R19-WP6A-INF-0010/en</w:t>
        </w:r>
      </w:hyperlink>
    </w:p>
    <w:p w14:paraId="166ABBD7" w14:textId="77777777" w:rsidR="00285CDE" w:rsidRPr="00A71250" w:rsidRDefault="00285CDE" w:rsidP="003A1473">
      <w:pPr>
        <w:spacing w:after="120"/>
        <w:jc w:val="both"/>
        <w:rPr>
          <w:rFonts w:asciiTheme="minorHAnsi" w:hAnsiTheme="minorHAnsi" w:cstheme="minorHAnsi"/>
          <w:szCs w:val="24"/>
        </w:rPr>
      </w:pPr>
      <w:r w:rsidRPr="00A71250">
        <w:rPr>
          <w:rFonts w:asciiTheme="minorHAnsi" w:hAnsiTheme="minorHAnsi" w:cstheme="minorHAnsi"/>
          <w:szCs w:val="24"/>
        </w:rPr>
        <w:t>(Note: One Word document which references to a PowerPoint document)</w:t>
      </w:r>
    </w:p>
    <w:p w14:paraId="121821F3" w14:textId="773937E1" w:rsidR="00285CDE" w:rsidRPr="00A71250" w:rsidRDefault="00285CDE" w:rsidP="003A1473">
      <w:pPr>
        <w:spacing w:after="120"/>
        <w:jc w:val="both"/>
        <w:rPr>
          <w:rFonts w:asciiTheme="minorHAnsi" w:hAnsiTheme="minorHAnsi" w:cstheme="minorHAnsi"/>
          <w:szCs w:val="24"/>
          <w:u w:val="single"/>
        </w:rPr>
      </w:pPr>
      <w:r w:rsidRPr="00A71250">
        <w:rPr>
          <w:rFonts w:asciiTheme="minorHAnsi" w:hAnsiTheme="minorHAnsi" w:cstheme="minorHAnsi"/>
          <w:szCs w:val="24"/>
          <w:u w:val="single"/>
        </w:rPr>
        <w:t>The following documents have been produced by BDT/ITU-D:</w:t>
      </w:r>
    </w:p>
    <w:p w14:paraId="69A9DAC7" w14:textId="77777777" w:rsidR="00285CDE" w:rsidRPr="00A71250" w:rsidRDefault="00285CDE" w:rsidP="003A1473">
      <w:pPr>
        <w:spacing w:after="120"/>
        <w:jc w:val="both"/>
        <w:rPr>
          <w:rFonts w:asciiTheme="minorHAnsi" w:eastAsia="SimSun" w:hAnsiTheme="minorHAnsi" w:cstheme="minorHAnsi"/>
          <w:szCs w:val="24"/>
        </w:rPr>
      </w:pPr>
      <w:r w:rsidRPr="00A71250">
        <w:rPr>
          <w:rFonts w:asciiTheme="minorHAnsi" w:eastAsia="SimSun" w:hAnsiTheme="minorHAnsi" w:cstheme="minorHAnsi"/>
          <w:szCs w:val="24"/>
        </w:rPr>
        <w:t xml:space="preserve">TDAG produces a DT for each of its meetings. The last one to-date is </w:t>
      </w:r>
      <w:hyperlink r:id="rId16">
        <w:r w:rsidRPr="00A71250">
          <w:rPr>
            <w:rStyle w:val="Hyperlink"/>
            <w:rFonts w:asciiTheme="minorHAnsi" w:eastAsia="SimSun" w:hAnsiTheme="minorHAnsi" w:cstheme="minorHAnsi"/>
            <w:szCs w:val="24"/>
          </w:rPr>
          <w:t>TDAG-23/DT/2</w:t>
        </w:r>
      </w:hyperlink>
      <w:r w:rsidRPr="00A71250">
        <w:rPr>
          <w:rFonts w:asciiTheme="minorHAnsi" w:eastAsia="SimSun" w:hAnsiTheme="minorHAnsi" w:cstheme="minorHAnsi"/>
          <w:szCs w:val="24"/>
        </w:rPr>
        <w:t>.</w:t>
      </w:r>
    </w:p>
    <w:p w14:paraId="5217E822" w14:textId="0504BC8F" w:rsidR="00285CDE" w:rsidRPr="00A71250" w:rsidRDefault="00ED5623" w:rsidP="003A1473">
      <w:pPr>
        <w:spacing w:after="120"/>
        <w:jc w:val="both"/>
        <w:rPr>
          <w:rFonts w:asciiTheme="minorHAnsi" w:hAnsiTheme="minorHAnsi" w:cstheme="minorHAnsi"/>
          <w:szCs w:val="24"/>
          <w:u w:val="single"/>
        </w:rPr>
      </w:pPr>
      <w:r>
        <w:rPr>
          <w:rFonts w:asciiTheme="minorHAnsi" w:hAnsiTheme="minorHAnsi" w:cstheme="minorHAnsi"/>
          <w:szCs w:val="24"/>
          <w:u w:val="single"/>
        </w:rPr>
        <w:t xml:space="preserve">For </w:t>
      </w:r>
      <w:r w:rsidR="00A71250" w:rsidRPr="00A71250">
        <w:rPr>
          <w:rFonts w:asciiTheme="minorHAnsi" w:hAnsiTheme="minorHAnsi" w:cstheme="minorHAnsi"/>
          <w:szCs w:val="24"/>
          <w:u w:val="single"/>
        </w:rPr>
        <w:t xml:space="preserve">the </w:t>
      </w:r>
      <w:r w:rsidR="00285CDE" w:rsidRPr="00A71250">
        <w:rPr>
          <w:rFonts w:asciiTheme="minorHAnsi" w:hAnsiTheme="minorHAnsi" w:cstheme="minorHAnsi"/>
          <w:szCs w:val="24"/>
          <w:u w:val="single"/>
        </w:rPr>
        <w:t>General Secretariat:</w:t>
      </w:r>
    </w:p>
    <w:p w14:paraId="507963A5" w14:textId="3BC537B4" w:rsidR="00285CDE" w:rsidRDefault="00ED5623" w:rsidP="003A1473">
      <w:pPr>
        <w:spacing w:after="120"/>
        <w:jc w:val="both"/>
        <w:rPr>
          <w:rFonts w:asciiTheme="minorHAnsi" w:hAnsiTheme="minorHAnsi" w:cstheme="minorHAnsi"/>
        </w:rPr>
      </w:pPr>
      <w:r>
        <w:rPr>
          <w:rFonts w:asciiTheme="minorHAnsi" w:hAnsiTheme="minorHAnsi" w:cstheme="minorHAnsi"/>
          <w:szCs w:val="24"/>
        </w:rPr>
        <w:t xml:space="preserve">Instructions </w:t>
      </w:r>
      <w:r w:rsidR="004146FB">
        <w:rPr>
          <w:rFonts w:asciiTheme="minorHAnsi" w:hAnsiTheme="minorHAnsi" w:cstheme="minorHAnsi"/>
          <w:szCs w:val="24"/>
        </w:rPr>
        <w:t xml:space="preserve">on remote participation </w:t>
      </w:r>
      <w:r>
        <w:rPr>
          <w:rFonts w:asciiTheme="minorHAnsi" w:hAnsiTheme="minorHAnsi" w:cstheme="minorHAnsi"/>
          <w:szCs w:val="24"/>
        </w:rPr>
        <w:t>are given at the beginning by the secretary of the meeting. A</w:t>
      </w:r>
      <w:r w:rsidR="004146FB">
        <w:rPr>
          <w:rFonts w:asciiTheme="minorHAnsi" w:hAnsiTheme="minorHAnsi" w:cstheme="minorHAnsi"/>
          <w:szCs w:val="24"/>
        </w:rPr>
        <w:t>dditionally, a</w:t>
      </w:r>
      <w:r>
        <w:rPr>
          <w:rFonts w:asciiTheme="minorHAnsi" w:hAnsiTheme="minorHAnsi" w:cstheme="minorHAnsi"/>
          <w:szCs w:val="24"/>
        </w:rPr>
        <w:t xml:space="preserve">n </w:t>
      </w:r>
      <w:r w:rsidR="00285CDE" w:rsidRPr="00A71250">
        <w:rPr>
          <w:rFonts w:asciiTheme="minorHAnsi" w:hAnsiTheme="minorHAnsi" w:cstheme="minorHAnsi"/>
          <w:szCs w:val="24"/>
        </w:rPr>
        <w:t>ITU-internal document has been produced by the ITU Remote Participation Task Force (with over 40 ITU staff from General Secretariat and three bureaux)</w:t>
      </w:r>
      <w:r>
        <w:rPr>
          <w:rFonts w:asciiTheme="minorHAnsi" w:hAnsiTheme="minorHAnsi" w:cstheme="minorHAnsi"/>
          <w:szCs w:val="24"/>
        </w:rPr>
        <w:t xml:space="preserve">. The latest version, which dates from </w:t>
      </w:r>
      <w:r w:rsidR="00B5520C">
        <w:rPr>
          <w:rFonts w:asciiTheme="minorHAnsi" w:hAnsiTheme="minorHAnsi" w:cstheme="minorHAnsi"/>
          <w:szCs w:val="24"/>
        </w:rPr>
        <w:t>Feb</w:t>
      </w:r>
      <w:r w:rsidR="00272D4E">
        <w:rPr>
          <w:rFonts w:asciiTheme="minorHAnsi" w:hAnsiTheme="minorHAnsi" w:cstheme="minorHAnsi"/>
          <w:szCs w:val="24"/>
        </w:rPr>
        <w:t>r</w:t>
      </w:r>
      <w:r w:rsidR="00B5520C">
        <w:rPr>
          <w:rFonts w:asciiTheme="minorHAnsi" w:hAnsiTheme="minorHAnsi" w:cstheme="minorHAnsi"/>
          <w:szCs w:val="24"/>
        </w:rPr>
        <w:t>uary 2022</w:t>
      </w:r>
      <w:r>
        <w:rPr>
          <w:rFonts w:asciiTheme="minorHAnsi" w:hAnsiTheme="minorHAnsi" w:cstheme="minorHAnsi"/>
          <w:szCs w:val="24"/>
        </w:rPr>
        <w:t xml:space="preserve"> and therefore may be updated again, is available here with TIES protection</w:t>
      </w:r>
      <w:r w:rsidR="00285CDE" w:rsidRPr="00A71250">
        <w:rPr>
          <w:rFonts w:asciiTheme="minorHAnsi" w:hAnsiTheme="minorHAnsi" w:cstheme="minorHAnsi"/>
          <w:szCs w:val="24"/>
        </w:rPr>
        <w:t>:</w:t>
      </w:r>
      <w:r w:rsidR="00CD4118">
        <w:rPr>
          <w:rFonts w:asciiTheme="minorHAnsi" w:hAnsiTheme="minorHAnsi" w:cstheme="minorHAnsi"/>
          <w:szCs w:val="24"/>
        </w:rPr>
        <w:t xml:space="preserve"> </w:t>
      </w:r>
      <w:hyperlink r:id="rId17" w:history="1">
        <w:r w:rsidR="00285CDE" w:rsidRPr="00C4401F">
          <w:rPr>
            <w:rStyle w:val="Hyperlink"/>
            <w:rFonts w:asciiTheme="minorHAnsi" w:hAnsiTheme="minorHAnsi" w:cstheme="minorHAnsi"/>
            <w:i/>
            <w:iCs/>
          </w:rPr>
          <w:t>Virtual Events and Remote Participation - Guidelines and best practices</w:t>
        </w:r>
      </w:hyperlink>
      <w:r w:rsidR="00C4401F">
        <w:rPr>
          <w:rFonts w:asciiTheme="minorHAnsi" w:hAnsiTheme="minorHAnsi" w:cstheme="minorHAnsi"/>
        </w:rPr>
        <w:t>.</w:t>
      </w:r>
    </w:p>
    <w:p w14:paraId="3B2734D5" w14:textId="0FB01375" w:rsidR="00353878" w:rsidRPr="00C4401F" w:rsidRDefault="00353878" w:rsidP="00353878">
      <w:pPr>
        <w:spacing w:before="840" w:after="120"/>
        <w:jc w:val="center"/>
        <w:rPr>
          <w:rFonts w:asciiTheme="minorHAnsi" w:hAnsiTheme="minorHAnsi" w:cstheme="minorHAnsi"/>
        </w:rPr>
      </w:pPr>
      <w:r>
        <w:rPr>
          <w:rFonts w:asciiTheme="minorHAnsi" w:hAnsiTheme="minorHAnsi" w:cstheme="minorHAnsi"/>
        </w:rPr>
        <w:t>______________</w:t>
      </w:r>
    </w:p>
    <w:sectPr w:rsidR="00353878" w:rsidRPr="00C4401F" w:rsidSect="00AD3606">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67932" w14:textId="77777777" w:rsidR="00167436" w:rsidRDefault="00167436">
      <w:r>
        <w:separator/>
      </w:r>
    </w:p>
  </w:endnote>
  <w:endnote w:type="continuationSeparator" w:id="0">
    <w:p w14:paraId="51427288" w14:textId="77777777" w:rsidR="00167436" w:rsidRDefault="00167436">
      <w:r>
        <w:continuationSeparator/>
      </w:r>
    </w:p>
  </w:endnote>
  <w:endnote w:type="continuationNotice" w:id="1">
    <w:p w14:paraId="4D29601A" w14:textId="77777777" w:rsidR="00167436" w:rsidRDefault="0016743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0ADC8A39" w:rsidR="00EE49E8" w:rsidRDefault="00EE49E8" w:rsidP="00EE49E8">
          <w:pPr>
            <w:pStyle w:val="Header"/>
            <w:jc w:val="left"/>
            <w:rPr>
              <w:noProof/>
            </w:rPr>
          </w:pPr>
        </w:p>
      </w:tc>
      <w:tc>
        <w:tcPr>
          <w:tcW w:w="8261" w:type="dxa"/>
        </w:tcPr>
        <w:p w14:paraId="2D49E76E" w14:textId="167F837A"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347C">
            <w:rPr>
              <w:bCs/>
            </w:rPr>
            <w:t>FHR</w:t>
          </w:r>
          <w:r w:rsidR="00A52C84">
            <w:rPr>
              <w:bCs/>
            </w:rPr>
            <w:t>-</w:t>
          </w:r>
          <w:r w:rsidR="002404ED">
            <w:rPr>
              <w:bCs/>
            </w:rPr>
            <w:t>1</w:t>
          </w:r>
          <w:r w:rsidR="00260ACE">
            <w:rPr>
              <w:bCs/>
            </w:rPr>
            <w:t>7</w:t>
          </w:r>
          <w:r w:rsidR="00A52C84" w:rsidRPr="00623AE3">
            <w:rPr>
              <w:bCs/>
            </w:rPr>
            <w:t>/</w:t>
          </w:r>
          <w:r w:rsidR="00353878">
            <w:rPr>
              <w:bCs/>
            </w:rPr>
            <w:t>INF/4</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5016F19E"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9F347C">
            <w:rPr>
              <w:bCs/>
            </w:rPr>
            <w:t>FHR</w:t>
          </w:r>
          <w:r w:rsidR="00A52C84">
            <w:rPr>
              <w:bCs/>
            </w:rPr>
            <w:t>-</w:t>
          </w:r>
          <w:r w:rsidR="002404ED">
            <w:rPr>
              <w:bCs/>
            </w:rPr>
            <w:t>1</w:t>
          </w:r>
          <w:r w:rsidR="00260ACE">
            <w:rPr>
              <w:bCs/>
            </w:rPr>
            <w:t>7</w:t>
          </w:r>
          <w:r w:rsidRPr="00623AE3">
            <w:rPr>
              <w:bCs/>
            </w:rPr>
            <w:t>/</w:t>
          </w:r>
          <w:r w:rsidR="00353878">
            <w:rPr>
              <w:bCs/>
            </w:rPr>
            <w:t>INF/4</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D1E84" w14:textId="77777777" w:rsidR="00167436" w:rsidRDefault="00167436">
      <w:r>
        <w:t>____________________</w:t>
      </w:r>
    </w:p>
  </w:footnote>
  <w:footnote w:type="continuationSeparator" w:id="0">
    <w:p w14:paraId="3623D693" w14:textId="77777777" w:rsidR="00167436" w:rsidRDefault="00167436">
      <w:r>
        <w:continuationSeparator/>
      </w:r>
    </w:p>
  </w:footnote>
  <w:footnote w:type="continuationNotice" w:id="1">
    <w:p w14:paraId="4396D2B9" w14:textId="77777777" w:rsidR="00167436" w:rsidRDefault="0016743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32DAA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3B511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12CF2399"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60ACE">
                            <w:rPr>
                              <w:sz w:val="20"/>
                            </w:rPr>
                            <w:t>Seven</w:t>
                          </w:r>
                          <w:r w:rsidR="002404ED">
                            <w:rPr>
                              <w:sz w:val="20"/>
                            </w:rPr>
                            <w:t>teenth</w:t>
                          </w:r>
                          <w:r w:rsidRPr="00130599">
                            <w:rPr>
                              <w:sz w:val="20"/>
                            </w:rPr>
                            <w:t xml:space="preserve"> meeting </w:t>
                          </w:r>
                          <w:r w:rsidR="00B358B2">
                            <w:rPr>
                              <w:sz w:val="20"/>
                            </w:rPr>
                            <w:t xml:space="preserve">- </w:t>
                          </w:r>
                          <w:r w:rsidR="0074467E" w:rsidRPr="0074467E">
                            <w:rPr>
                              <w:sz w:val="20"/>
                            </w:rPr>
                            <w:t>From 24 to 26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E9A2C87">
              <v:stroke joinstyle="miter"/>
              <v:path gradientshapeok="t" o:connecttype="rect"/>
            </v:shapetype>
            <v:shape id="Text Box 217"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v:textbox style="mso-fit-shape-to-text:t">
                <w:txbxContent>
                  <w:p w:rsidR="00130599" w:rsidP="00130599" w:rsidRDefault="00130599" w14:paraId="0B44A3EE" w14:textId="12CF2399">
                    <w:pPr>
                      <w:spacing w:before="0"/>
                    </w:pPr>
                    <w:r w:rsidRPr="00F74694">
                      <w:rPr>
                        <w:b/>
                        <w:bCs/>
                        <w:szCs w:val="24"/>
                      </w:rPr>
                      <w:t xml:space="preserve">Council Working Group </w:t>
                    </w:r>
                    <w:r w:rsidRPr="00F74694" w:rsidR="00F74694">
                      <w:rPr>
                        <w:b/>
                        <w:bCs/>
                        <w:szCs w:val="24"/>
                      </w:rPr>
                      <w:br/>
                    </w:r>
                    <w:r w:rsidRPr="00F74694">
                      <w:rPr>
                        <w:b/>
                        <w:bCs/>
                        <w:szCs w:val="24"/>
                      </w:rPr>
                      <w:t xml:space="preserve">on </w:t>
                    </w:r>
                    <w:r w:rsidR="009F347C">
                      <w:rPr>
                        <w:b/>
                        <w:bCs/>
                        <w:szCs w:val="24"/>
                      </w:rPr>
                      <w:t>Financial and Human Resources</w:t>
                    </w:r>
                    <w:r>
                      <w:br/>
                    </w:r>
                    <w:r w:rsidR="00260ACE">
                      <w:rPr>
                        <w:sz w:val="20"/>
                      </w:rPr>
                      <w:t>Seven</w:t>
                    </w:r>
                    <w:r w:rsidR="002404ED">
                      <w:rPr>
                        <w:sz w:val="20"/>
                      </w:rPr>
                      <w:t>teenth</w:t>
                    </w:r>
                    <w:r w:rsidRPr="00130599">
                      <w:rPr>
                        <w:sz w:val="20"/>
                      </w:rPr>
                      <w:t xml:space="preserve"> meeting </w:t>
                    </w:r>
                    <w:r w:rsidR="00B358B2">
                      <w:rPr>
                        <w:sz w:val="20"/>
                      </w:rPr>
                      <w:t xml:space="preserve">- </w:t>
                    </w:r>
                    <w:r w:rsidRPr="0074467E" w:rsidR="0074467E">
                      <w:rPr>
                        <w:sz w:val="20"/>
                      </w:rPr>
                      <w:t>From 24 to 26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D10056"/>
    <w:multiLevelType w:val="hybridMultilevel"/>
    <w:tmpl w:val="C6D0B3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1143E0A"/>
    <w:multiLevelType w:val="hybridMultilevel"/>
    <w:tmpl w:val="84507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2C09A0"/>
    <w:multiLevelType w:val="hybridMultilevel"/>
    <w:tmpl w:val="5792F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025E6F"/>
    <w:multiLevelType w:val="hybridMultilevel"/>
    <w:tmpl w:val="1D246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7D43C1"/>
    <w:multiLevelType w:val="hybridMultilevel"/>
    <w:tmpl w:val="6E0E9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3754B1"/>
    <w:multiLevelType w:val="hybridMultilevel"/>
    <w:tmpl w:val="C456C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AB6F95"/>
    <w:multiLevelType w:val="hybridMultilevel"/>
    <w:tmpl w:val="EB968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A81A43"/>
    <w:multiLevelType w:val="hybridMultilevel"/>
    <w:tmpl w:val="6CBCE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D8B6693"/>
    <w:multiLevelType w:val="hybridMultilevel"/>
    <w:tmpl w:val="4462CC74"/>
    <w:lvl w:ilvl="0" w:tplc="26784AB2">
      <w:start w:val="1"/>
      <w:numFmt w:val="bullet"/>
      <w:lvlText w:val=""/>
      <w:lvlJc w:val="left"/>
      <w:pPr>
        <w:ind w:left="720" w:hanging="360"/>
      </w:pPr>
      <w:rPr>
        <w:rFonts w:ascii="Symbol" w:hAnsi="Symbol" w:hint="default"/>
      </w:rPr>
    </w:lvl>
    <w:lvl w:ilvl="1" w:tplc="001459B2">
      <w:start w:val="1"/>
      <w:numFmt w:val="bullet"/>
      <w:lvlText w:val="o"/>
      <w:lvlJc w:val="left"/>
      <w:pPr>
        <w:ind w:left="1440" w:hanging="360"/>
      </w:pPr>
      <w:rPr>
        <w:rFonts w:ascii="Courier New" w:hAnsi="Courier New" w:hint="default"/>
      </w:rPr>
    </w:lvl>
    <w:lvl w:ilvl="2" w:tplc="578AA71C">
      <w:start w:val="1"/>
      <w:numFmt w:val="bullet"/>
      <w:lvlText w:val=""/>
      <w:lvlJc w:val="left"/>
      <w:pPr>
        <w:ind w:left="2160" w:hanging="360"/>
      </w:pPr>
      <w:rPr>
        <w:rFonts w:ascii="Wingdings" w:hAnsi="Wingdings" w:hint="default"/>
      </w:rPr>
    </w:lvl>
    <w:lvl w:ilvl="3" w:tplc="74C8C12A">
      <w:start w:val="1"/>
      <w:numFmt w:val="bullet"/>
      <w:lvlText w:val=""/>
      <w:lvlJc w:val="left"/>
      <w:pPr>
        <w:ind w:left="2880" w:hanging="360"/>
      </w:pPr>
      <w:rPr>
        <w:rFonts w:ascii="Symbol" w:hAnsi="Symbol" w:hint="default"/>
      </w:rPr>
    </w:lvl>
    <w:lvl w:ilvl="4" w:tplc="F3406F70">
      <w:start w:val="1"/>
      <w:numFmt w:val="bullet"/>
      <w:lvlText w:val="o"/>
      <w:lvlJc w:val="left"/>
      <w:pPr>
        <w:ind w:left="3600" w:hanging="360"/>
      </w:pPr>
      <w:rPr>
        <w:rFonts w:ascii="Courier New" w:hAnsi="Courier New" w:hint="default"/>
      </w:rPr>
    </w:lvl>
    <w:lvl w:ilvl="5" w:tplc="8D24191E">
      <w:start w:val="1"/>
      <w:numFmt w:val="bullet"/>
      <w:lvlText w:val=""/>
      <w:lvlJc w:val="left"/>
      <w:pPr>
        <w:ind w:left="4320" w:hanging="360"/>
      </w:pPr>
      <w:rPr>
        <w:rFonts w:ascii="Wingdings" w:hAnsi="Wingdings" w:hint="default"/>
      </w:rPr>
    </w:lvl>
    <w:lvl w:ilvl="6" w:tplc="D778ACC0">
      <w:start w:val="1"/>
      <w:numFmt w:val="bullet"/>
      <w:lvlText w:val=""/>
      <w:lvlJc w:val="left"/>
      <w:pPr>
        <w:ind w:left="5040" w:hanging="360"/>
      </w:pPr>
      <w:rPr>
        <w:rFonts w:ascii="Symbol" w:hAnsi="Symbol" w:hint="default"/>
      </w:rPr>
    </w:lvl>
    <w:lvl w:ilvl="7" w:tplc="CB2AB386">
      <w:start w:val="1"/>
      <w:numFmt w:val="bullet"/>
      <w:lvlText w:val="o"/>
      <w:lvlJc w:val="left"/>
      <w:pPr>
        <w:ind w:left="5760" w:hanging="360"/>
      </w:pPr>
      <w:rPr>
        <w:rFonts w:ascii="Courier New" w:hAnsi="Courier New" w:hint="default"/>
      </w:rPr>
    </w:lvl>
    <w:lvl w:ilvl="8" w:tplc="9F1CA61E">
      <w:start w:val="1"/>
      <w:numFmt w:val="bullet"/>
      <w:lvlText w:val=""/>
      <w:lvlJc w:val="left"/>
      <w:pPr>
        <w:ind w:left="6480" w:hanging="360"/>
      </w:pPr>
      <w:rPr>
        <w:rFonts w:ascii="Wingdings" w:hAnsi="Wingdings" w:hint="default"/>
      </w:rPr>
    </w:lvl>
  </w:abstractNum>
  <w:num w:numId="1" w16cid:durableId="1374816267">
    <w:abstractNumId w:val="0"/>
  </w:num>
  <w:num w:numId="2" w16cid:durableId="1211722904">
    <w:abstractNumId w:val="6"/>
  </w:num>
  <w:num w:numId="3" w16cid:durableId="270014528">
    <w:abstractNumId w:val="7"/>
  </w:num>
  <w:num w:numId="4" w16cid:durableId="2070763008">
    <w:abstractNumId w:val="2"/>
  </w:num>
  <w:num w:numId="5" w16cid:durableId="711000233">
    <w:abstractNumId w:val="5"/>
  </w:num>
  <w:num w:numId="6" w16cid:durableId="1162084755">
    <w:abstractNumId w:val="9"/>
  </w:num>
  <w:num w:numId="7" w16cid:durableId="59907940">
    <w:abstractNumId w:val="4"/>
  </w:num>
  <w:num w:numId="8" w16cid:durableId="83380911">
    <w:abstractNumId w:val="8"/>
  </w:num>
  <w:num w:numId="9" w16cid:durableId="1586183388">
    <w:abstractNumId w:val="1"/>
  </w:num>
  <w:num w:numId="10" w16cid:durableId="878128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21E1"/>
    <w:rsid w:val="000D75B2"/>
    <w:rsid w:val="001121F5"/>
    <w:rsid w:val="00130599"/>
    <w:rsid w:val="001400DC"/>
    <w:rsid w:val="00140CE1"/>
    <w:rsid w:val="00167436"/>
    <w:rsid w:val="001751FF"/>
    <w:rsid w:val="0017539C"/>
    <w:rsid w:val="00175AC2"/>
    <w:rsid w:val="0017609F"/>
    <w:rsid w:val="00187747"/>
    <w:rsid w:val="0019628A"/>
    <w:rsid w:val="001A7D1D"/>
    <w:rsid w:val="001B51DD"/>
    <w:rsid w:val="001C628E"/>
    <w:rsid w:val="001E0F7B"/>
    <w:rsid w:val="002110AD"/>
    <w:rsid w:val="002119FD"/>
    <w:rsid w:val="002130E0"/>
    <w:rsid w:val="002404ED"/>
    <w:rsid w:val="00244F7F"/>
    <w:rsid w:val="00260ACE"/>
    <w:rsid w:val="00261926"/>
    <w:rsid w:val="00264425"/>
    <w:rsid w:val="00265875"/>
    <w:rsid w:val="00272D4E"/>
    <w:rsid w:val="0027303B"/>
    <w:rsid w:val="0028109B"/>
    <w:rsid w:val="00285CDE"/>
    <w:rsid w:val="002A2188"/>
    <w:rsid w:val="002B1F58"/>
    <w:rsid w:val="002C1C7A"/>
    <w:rsid w:val="002C54E2"/>
    <w:rsid w:val="002F27B8"/>
    <w:rsid w:val="0030160F"/>
    <w:rsid w:val="00320223"/>
    <w:rsid w:val="00322D0D"/>
    <w:rsid w:val="0033121F"/>
    <w:rsid w:val="00353878"/>
    <w:rsid w:val="00361465"/>
    <w:rsid w:val="003877F5"/>
    <w:rsid w:val="003942D4"/>
    <w:rsid w:val="003958A8"/>
    <w:rsid w:val="003A1473"/>
    <w:rsid w:val="003C2533"/>
    <w:rsid w:val="003D55B9"/>
    <w:rsid w:val="003D5A7F"/>
    <w:rsid w:val="003E7DDE"/>
    <w:rsid w:val="004016E2"/>
    <w:rsid w:val="0040435A"/>
    <w:rsid w:val="004146FB"/>
    <w:rsid w:val="00416A24"/>
    <w:rsid w:val="00431D9E"/>
    <w:rsid w:val="00433CE8"/>
    <w:rsid w:val="00434A5C"/>
    <w:rsid w:val="004544D9"/>
    <w:rsid w:val="00472BAD"/>
    <w:rsid w:val="0047CC00"/>
    <w:rsid w:val="00484009"/>
    <w:rsid w:val="00490E72"/>
    <w:rsid w:val="00491157"/>
    <w:rsid w:val="004921C8"/>
    <w:rsid w:val="00495B0B"/>
    <w:rsid w:val="004A1B8B"/>
    <w:rsid w:val="004D1851"/>
    <w:rsid w:val="004D599D"/>
    <w:rsid w:val="004E2EA5"/>
    <w:rsid w:val="004E3AEB"/>
    <w:rsid w:val="0050223C"/>
    <w:rsid w:val="00507824"/>
    <w:rsid w:val="005243FF"/>
    <w:rsid w:val="00564FBC"/>
    <w:rsid w:val="005707A4"/>
    <w:rsid w:val="005800BC"/>
    <w:rsid w:val="00582442"/>
    <w:rsid w:val="005A335D"/>
    <w:rsid w:val="005D0A0B"/>
    <w:rsid w:val="005E2BD5"/>
    <w:rsid w:val="005F3269"/>
    <w:rsid w:val="00601F2C"/>
    <w:rsid w:val="00623AE3"/>
    <w:rsid w:val="0064737F"/>
    <w:rsid w:val="006535F1"/>
    <w:rsid w:val="0065557D"/>
    <w:rsid w:val="00660D50"/>
    <w:rsid w:val="00662984"/>
    <w:rsid w:val="006716BB"/>
    <w:rsid w:val="00676C7D"/>
    <w:rsid w:val="006B1859"/>
    <w:rsid w:val="006B6680"/>
    <w:rsid w:val="006B6DCC"/>
    <w:rsid w:val="00702DEF"/>
    <w:rsid w:val="00706861"/>
    <w:rsid w:val="007200CF"/>
    <w:rsid w:val="0074467E"/>
    <w:rsid w:val="0075051B"/>
    <w:rsid w:val="00775655"/>
    <w:rsid w:val="00793188"/>
    <w:rsid w:val="00794D34"/>
    <w:rsid w:val="007E0C48"/>
    <w:rsid w:val="00813E5E"/>
    <w:rsid w:val="0083581B"/>
    <w:rsid w:val="00863874"/>
    <w:rsid w:val="00864AFF"/>
    <w:rsid w:val="00865925"/>
    <w:rsid w:val="00891503"/>
    <w:rsid w:val="008B4A6A"/>
    <w:rsid w:val="008C7E27"/>
    <w:rsid w:val="008F5718"/>
    <w:rsid w:val="008F7448"/>
    <w:rsid w:val="0090147A"/>
    <w:rsid w:val="009173EF"/>
    <w:rsid w:val="00932906"/>
    <w:rsid w:val="00961B0B"/>
    <w:rsid w:val="00962D33"/>
    <w:rsid w:val="00971C28"/>
    <w:rsid w:val="009B2D4B"/>
    <w:rsid w:val="009B38C3"/>
    <w:rsid w:val="009C253A"/>
    <w:rsid w:val="009E17BD"/>
    <w:rsid w:val="009E485A"/>
    <w:rsid w:val="009F347C"/>
    <w:rsid w:val="00A04CEC"/>
    <w:rsid w:val="00A15EE9"/>
    <w:rsid w:val="00A27F92"/>
    <w:rsid w:val="00A32257"/>
    <w:rsid w:val="00A34664"/>
    <w:rsid w:val="00A36D20"/>
    <w:rsid w:val="00A514A4"/>
    <w:rsid w:val="00A52C84"/>
    <w:rsid w:val="00A55622"/>
    <w:rsid w:val="00A71250"/>
    <w:rsid w:val="00A83502"/>
    <w:rsid w:val="00A845A3"/>
    <w:rsid w:val="00AD15B3"/>
    <w:rsid w:val="00AD3606"/>
    <w:rsid w:val="00AD4A3D"/>
    <w:rsid w:val="00AF6E49"/>
    <w:rsid w:val="00B04A67"/>
    <w:rsid w:val="00B0583C"/>
    <w:rsid w:val="00B358B2"/>
    <w:rsid w:val="00B40A81"/>
    <w:rsid w:val="00B44910"/>
    <w:rsid w:val="00B5520C"/>
    <w:rsid w:val="00B70DCE"/>
    <w:rsid w:val="00B72267"/>
    <w:rsid w:val="00B76EB6"/>
    <w:rsid w:val="00B7737B"/>
    <w:rsid w:val="00B824C8"/>
    <w:rsid w:val="00B84B9D"/>
    <w:rsid w:val="00BC251A"/>
    <w:rsid w:val="00BD032B"/>
    <w:rsid w:val="00BE2640"/>
    <w:rsid w:val="00C01189"/>
    <w:rsid w:val="00C374DE"/>
    <w:rsid w:val="00C4401F"/>
    <w:rsid w:val="00C47AD4"/>
    <w:rsid w:val="00C52D81"/>
    <w:rsid w:val="00C55198"/>
    <w:rsid w:val="00C559B4"/>
    <w:rsid w:val="00C72CC1"/>
    <w:rsid w:val="00C91381"/>
    <w:rsid w:val="00CA6393"/>
    <w:rsid w:val="00CA7CB8"/>
    <w:rsid w:val="00CB18FF"/>
    <w:rsid w:val="00CD0C08"/>
    <w:rsid w:val="00CD4118"/>
    <w:rsid w:val="00CE03FB"/>
    <w:rsid w:val="00CE433C"/>
    <w:rsid w:val="00CF0161"/>
    <w:rsid w:val="00CF33F3"/>
    <w:rsid w:val="00D06183"/>
    <w:rsid w:val="00D22C42"/>
    <w:rsid w:val="00D447E7"/>
    <w:rsid w:val="00D464CC"/>
    <w:rsid w:val="00D65041"/>
    <w:rsid w:val="00DB00D5"/>
    <w:rsid w:val="00DB1936"/>
    <w:rsid w:val="00DB384B"/>
    <w:rsid w:val="00DF0189"/>
    <w:rsid w:val="00E06FD5"/>
    <w:rsid w:val="00E10E80"/>
    <w:rsid w:val="00E124F0"/>
    <w:rsid w:val="00E227F3"/>
    <w:rsid w:val="00E34330"/>
    <w:rsid w:val="00E545C6"/>
    <w:rsid w:val="00E60F04"/>
    <w:rsid w:val="00E65B24"/>
    <w:rsid w:val="00E73F24"/>
    <w:rsid w:val="00E854E4"/>
    <w:rsid w:val="00E86DBF"/>
    <w:rsid w:val="00EB0D6F"/>
    <w:rsid w:val="00EB2232"/>
    <w:rsid w:val="00EC5337"/>
    <w:rsid w:val="00ED454D"/>
    <w:rsid w:val="00ED5623"/>
    <w:rsid w:val="00EE49E8"/>
    <w:rsid w:val="00F16BAB"/>
    <w:rsid w:val="00F17C34"/>
    <w:rsid w:val="00F2150A"/>
    <w:rsid w:val="00F231D8"/>
    <w:rsid w:val="00F26AD2"/>
    <w:rsid w:val="00F44C00"/>
    <w:rsid w:val="00F45D2C"/>
    <w:rsid w:val="00F46C5F"/>
    <w:rsid w:val="00F632C0"/>
    <w:rsid w:val="00F74694"/>
    <w:rsid w:val="00F94A63"/>
    <w:rsid w:val="00FA1C28"/>
    <w:rsid w:val="00FB1279"/>
    <w:rsid w:val="00FB6B76"/>
    <w:rsid w:val="00FB7596"/>
    <w:rsid w:val="00FD7016"/>
    <w:rsid w:val="00FE4077"/>
    <w:rsid w:val="00FE500D"/>
    <w:rsid w:val="00FE77D2"/>
    <w:rsid w:val="051B3D23"/>
    <w:rsid w:val="057114DA"/>
    <w:rsid w:val="063A7955"/>
    <w:rsid w:val="066F7C47"/>
    <w:rsid w:val="0852DDE5"/>
    <w:rsid w:val="08B4A56B"/>
    <w:rsid w:val="0BCBF529"/>
    <w:rsid w:val="134CEF0A"/>
    <w:rsid w:val="14E18FC4"/>
    <w:rsid w:val="16D51ED4"/>
    <w:rsid w:val="1BA88FF7"/>
    <w:rsid w:val="1C590B40"/>
    <w:rsid w:val="225E1E13"/>
    <w:rsid w:val="22EA7E8B"/>
    <w:rsid w:val="24B46E75"/>
    <w:rsid w:val="253E0495"/>
    <w:rsid w:val="2CA075F1"/>
    <w:rsid w:val="31C29731"/>
    <w:rsid w:val="34A9F992"/>
    <w:rsid w:val="3899EC1D"/>
    <w:rsid w:val="38E9ED65"/>
    <w:rsid w:val="3B108FF6"/>
    <w:rsid w:val="3C16933C"/>
    <w:rsid w:val="47CE78B9"/>
    <w:rsid w:val="4A69138C"/>
    <w:rsid w:val="4C5CEB25"/>
    <w:rsid w:val="4EBF6CB3"/>
    <w:rsid w:val="50EC4FA5"/>
    <w:rsid w:val="52752DCE"/>
    <w:rsid w:val="52CE52E1"/>
    <w:rsid w:val="569193C0"/>
    <w:rsid w:val="59E526B4"/>
    <w:rsid w:val="610FA894"/>
    <w:rsid w:val="615CCFB1"/>
    <w:rsid w:val="69084CD8"/>
    <w:rsid w:val="691EAF7B"/>
    <w:rsid w:val="6A839C7C"/>
    <w:rsid w:val="6AEB0A41"/>
    <w:rsid w:val="73C51628"/>
    <w:rsid w:val="785A5281"/>
    <w:rsid w:val="7D7508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D7016"/>
    <w:rPr>
      <w:color w:val="605E5C"/>
      <w:shd w:val="clear" w:color="auto" w:fill="E1DFDD"/>
    </w:rPr>
  </w:style>
  <w:style w:type="paragraph" w:styleId="ListParagraph">
    <w:name w:val="List Paragraph"/>
    <w:basedOn w:val="Normal"/>
    <w:link w:val="ListParagraphChar"/>
    <w:uiPriority w:val="34"/>
    <w:qFormat/>
    <w:rsid w:val="008F5718"/>
    <w:pPr>
      <w:ind w:left="720"/>
      <w:contextualSpacing/>
    </w:pPr>
  </w:style>
  <w:style w:type="paragraph" w:customStyle="1" w:styleId="paragraph">
    <w:name w:val="paragraph"/>
    <w:basedOn w:val="Normal"/>
    <w:rsid w:val="00285CD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NormalWeb">
    <w:name w:val="Normal (Web)"/>
    <w:basedOn w:val="Normal"/>
    <w:uiPriority w:val="99"/>
    <w:unhideWhenUsed/>
    <w:rsid w:val="00285CD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CommentText">
    <w:name w:val="annotation text"/>
    <w:basedOn w:val="Normal"/>
    <w:link w:val="CommentTextChar"/>
    <w:unhideWhenUsed/>
    <w:rsid w:val="00285CDE"/>
    <w:rPr>
      <w:sz w:val="20"/>
    </w:rPr>
  </w:style>
  <w:style w:type="character" w:customStyle="1" w:styleId="CommentTextChar">
    <w:name w:val="Comment Text Char"/>
    <w:basedOn w:val="DefaultParagraphFont"/>
    <w:link w:val="CommentText"/>
    <w:rsid w:val="00285CDE"/>
    <w:rPr>
      <w:rFonts w:ascii="Calibri" w:hAnsi="Calibri"/>
      <w:lang w:val="en-GB" w:eastAsia="en-US"/>
    </w:rPr>
  </w:style>
  <w:style w:type="character" w:styleId="CommentReference">
    <w:name w:val="annotation reference"/>
    <w:basedOn w:val="DefaultParagraphFont"/>
    <w:semiHidden/>
    <w:unhideWhenUsed/>
    <w:rsid w:val="00285CDE"/>
    <w:rPr>
      <w:sz w:val="16"/>
      <w:szCs w:val="16"/>
    </w:rPr>
  </w:style>
  <w:style w:type="character" w:styleId="Mention">
    <w:name w:val="Mention"/>
    <w:basedOn w:val="DefaultParagraphFont"/>
    <w:uiPriority w:val="99"/>
    <w:unhideWhenUsed/>
    <w:rsid w:val="00285CDE"/>
    <w:rPr>
      <w:color w:val="2B579A"/>
      <w:shd w:val="clear" w:color="auto" w:fill="E1DFDD"/>
    </w:rPr>
  </w:style>
  <w:style w:type="character" w:customStyle="1" w:styleId="Heading1Char">
    <w:name w:val="Heading 1 Char"/>
    <w:basedOn w:val="DefaultParagraphFont"/>
    <w:link w:val="Heading1"/>
    <w:rsid w:val="00285CDE"/>
    <w:rPr>
      <w:rFonts w:ascii="Calibri" w:hAnsi="Calibri"/>
      <w:b/>
      <w:sz w:val="28"/>
      <w:lang w:val="en-GB" w:eastAsia="en-US"/>
    </w:rPr>
  </w:style>
  <w:style w:type="character" w:customStyle="1" w:styleId="ListParagraphChar">
    <w:name w:val="List Paragraph Char"/>
    <w:link w:val="ListParagraph"/>
    <w:uiPriority w:val="34"/>
    <w:locked/>
    <w:rsid w:val="00285CDE"/>
    <w:rPr>
      <w:rFonts w:ascii="Calibri" w:hAnsi="Calibri"/>
      <w:sz w:val="24"/>
      <w:lang w:val="en-GB" w:eastAsia="en-US"/>
    </w:rPr>
  </w:style>
  <w:style w:type="character" w:customStyle="1" w:styleId="ui-provider">
    <w:name w:val="ui-provider"/>
    <w:basedOn w:val="DefaultParagraphFont"/>
    <w:rsid w:val="00285CDE"/>
  </w:style>
  <w:style w:type="character" w:customStyle="1" w:styleId="normaltextrun">
    <w:name w:val="normaltextrun"/>
    <w:basedOn w:val="DefaultParagraphFont"/>
    <w:rsid w:val="00285CDE"/>
  </w:style>
  <w:style w:type="character" w:customStyle="1" w:styleId="eop">
    <w:name w:val="eop"/>
    <w:basedOn w:val="DefaultParagraphFont"/>
    <w:rsid w:val="00285CDE"/>
  </w:style>
  <w:style w:type="paragraph" w:styleId="Revision">
    <w:name w:val="Revision"/>
    <w:hidden/>
    <w:uiPriority w:val="99"/>
    <w:semiHidden/>
    <w:rsid w:val="00ED5623"/>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CD4118"/>
    <w:rPr>
      <w:b/>
      <w:bCs/>
    </w:rPr>
  </w:style>
  <w:style w:type="character" w:customStyle="1" w:styleId="CommentSubjectChar">
    <w:name w:val="Comment Subject Char"/>
    <w:basedOn w:val="CommentTextChar"/>
    <w:link w:val="CommentSubject"/>
    <w:semiHidden/>
    <w:rsid w:val="00CD4118"/>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ewm/Documents/guides/ITU-T_e-Meetings_tool_User_Guide.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andle.itu.int/11.1002/ls/sp17-tsag-oLS-00004.docx" TargetMode="External"/><Relationship Id="rId17" Type="http://schemas.openxmlformats.org/officeDocument/2006/relationships/hyperlink" Target="http://council.itu.int/2023-additional/en/download/23500/?tmstv=1702570280" TargetMode="External"/><Relationship Id="rId2" Type="http://schemas.openxmlformats.org/officeDocument/2006/relationships/customXml" Target="../customXml/item2.xml"/><Relationship Id="rId16" Type="http://schemas.openxmlformats.org/officeDocument/2006/relationships/hyperlink" Target="https://www.itu.int/md/D22-TDAG30-230619-TD-0002/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rec/T-REC-A.Sup4/en)" TargetMode="External"/><Relationship Id="rId5" Type="http://schemas.openxmlformats.org/officeDocument/2006/relationships/numbering" Target="numbering.xml"/><Relationship Id="rId15" Type="http://schemas.openxmlformats.org/officeDocument/2006/relationships/hyperlink" Target="https://www.itu.int/md/R19-WP6A-INF-0010/e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SG09-220906-TD-GEN-0017/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3" ma:contentTypeDescription="Create a new document." ma:contentTypeScope="" ma:versionID="b463d01d744cd3e118a3270eabc75631">
  <xsd:schema xmlns:xsd="http://www.w3.org/2001/XMLSchema" xmlns:xs="http://www.w3.org/2001/XMLSchema" xmlns:p="http://schemas.microsoft.com/office/2006/metadata/properties" xmlns:ns2="085b46e1-7f22-4e81-9ba5-912dc5a5fd9a" targetNamespace="http://schemas.microsoft.com/office/2006/metadata/properties" ma:root="true" ma:fieldsID="5d4088d9f3955b72ef584b3d432ce6a6" ns2:_="">
    <xsd:import namespace="085b46e1-7f22-4e81-9ba5-912dc5a5fd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E23FE-2358-483E-B564-17B3EC00540B}">
  <ds:schemaRefs>
    <ds:schemaRef ds:uri="http://schemas.microsoft.com/sharepoint/v3/contenttype/forms"/>
  </ds:schemaRefs>
</ds:datastoreItem>
</file>

<file path=customXml/itemProps2.xml><?xml version="1.0" encoding="utf-8"?>
<ds:datastoreItem xmlns:ds="http://schemas.openxmlformats.org/officeDocument/2006/customXml" ds:itemID="{2985FD97-3EAB-4029-AEB3-FEB5C682BE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CCF43035-9819-452D-82CB-9DA9BEA53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3844</Characters>
  <Application>Microsoft Office Word</Application>
  <DocSecurity>0</DocSecurity>
  <Lines>32</Lines>
  <Paragraphs>9</Paragraphs>
  <ScaleCrop>false</ScaleCrop>
  <Manager/>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Financial and Human Resources</dc:subject>
  <dc:creator/>
  <cp:keywords>CWG-FHR, C24, Council-24</cp:keywords>
  <dc:description/>
  <cp:lastModifiedBy/>
  <cp:revision>1</cp:revision>
  <dcterms:created xsi:type="dcterms:W3CDTF">2023-12-20T16:41:00Z</dcterms:created>
  <dcterms:modified xsi:type="dcterms:W3CDTF">2023-12-20T16:44:00Z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