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4A0" w:firstRow="1" w:lastRow="0" w:firstColumn="1" w:lastColumn="0" w:noHBand="0" w:noVBand="1"/>
      </w:tblPr>
      <w:tblGrid>
        <w:gridCol w:w="3969"/>
        <w:gridCol w:w="5245"/>
      </w:tblGrid>
      <w:tr w:rsidR="00FD6D96" w14:paraId="13DE06B3" w14:textId="77777777">
        <w:trPr>
          <w:cantSplit/>
          <w:trHeight w:val="23"/>
        </w:trPr>
        <w:tc>
          <w:tcPr>
            <w:tcW w:w="3969" w:type="dxa"/>
            <w:vMerge w:val="restart"/>
            <w:tcMar>
              <w:left w:w="0" w:type="dxa"/>
            </w:tcMar>
          </w:tcPr>
          <w:p w14:paraId="5E381CC6" w14:textId="77777777" w:rsidR="00FD6D96" w:rsidRDefault="00FD6D96">
            <w:pPr>
              <w:tabs>
                <w:tab w:val="left" w:pos="851"/>
              </w:tabs>
              <w:spacing w:before="0" w:line="240" w:lineRule="atLeast"/>
              <w:rPr>
                <w:b/>
              </w:rPr>
            </w:pPr>
            <w:bookmarkStart w:id="0" w:name="dnum" w:colFirst="1" w:colLast="1"/>
            <w:bookmarkStart w:id="1" w:name="dmeeting" w:colFirst="0" w:colLast="0"/>
            <w:bookmarkStart w:id="2" w:name="_Hlk133421839"/>
            <w:bookmarkStart w:id="3" w:name="_Hlk133422370"/>
            <w:bookmarkStart w:id="4" w:name="_Hlk133421856"/>
            <w:bookmarkStart w:id="5" w:name="_Hlk133586559"/>
          </w:p>
        </w:tc>
        <w:tc>
          <w:tcPr>
            <w:tcW w:w="5245" w:type="dxa"/>
          </w:tcPr>
          <w:p w14:paraId="29B4B059" w14:textId="21B3606C" w:rsidR="00FD6D96" w:rsidRDefault="0089085B">
            <w:pPr>
              <w:tabs>
                <w:tab w:val="left" w:pos="851"/>
              </w:tabs>
              <w:spacing w:before="0" w:line="240" w:lineRule="atLeast"/>
              <w:jc w:val="right"/>
              <w:rPr>
                <w:b/>
                <w:lang w:val="it-IT"/>
              </w:rPr>
            </w:pPr>
            <w:r>
              <w:rPr>
                <w:b/>
                <w:lang w:val="it-IT"/>
              </w:rPr>
              <w:t>Revision 1 to</w:t>
            </w:r>
            <w:r>
              <w:rPr>
                <w:b/>
                <w:lang w:val="it-IT"/>
              </w:rPr>
              <w:br/>
            </w:r>
            <w:r>
              <w:rPr>
                <w:b/>
                <w:lang w:val="it-IT"/>
              </w:rPr>
              <w:t>Document CWG-FHR-17/20</w:t>
            </w:r>
          </w:p>
        </w:tc>
      </w:tr>
      <w:tr w:rsidR="00FD6D96" w14:paraId="758FB784" w14:textId="77777777">
        <w:trPr>
          <w:cantSplit/>
        </w:trPr>
        <w:tc>
          <w:tcPr>
            <w:tcW w:w="3969" w:type="dxa"/>
            <w:vMerge/>
          </w:tcPr>
          <w:p w14:paraId="47B3B5A0" w14:textId="77777777" w:rsidR="00FD6D96" w:rsidRDefault="00FD6D96">
            <w:pPr>
              <w:tabs>
                <w:tab w:val="left" w:pos="851"/>
              </w:tabs>
              <w:spacing w:line="240" w:lineRule="atLeast"/>
              <w:rPr>
                <w:b/>
                <w:lang w:val="it-IT"/>
              </w:rPr>
            </w:pPr>
            <w:bookmarkStart w:id="6" w:name="ddate" w:colFirst="1" w:colLast="1"/>
            <w:bookmarkEnd w:id="0"/>
            <w:bookmarkEnd w:id="1"/>
          </w:p>
        </w:tc>
        <w:tc>
          <w:tcPr>
            <w:tcW w:w="5245" w:type="dxa"/>
          </w:tcPr>
          <w:p w14:paraId="544BA898" w14:textId="42F9A581" w:rsidR="00FD6D96" w:rsidRDefault="0089085B">
            <w:pPr>
              <w:tabs>
                <w:tab w:val="left" w:pos="851"/>
              </w:tabs>
              <w:spacing w:before="0"/>
              <w:jc w:val="right"/>
              <w:rPr>
                <w:b/>
              </w:rPr>
            </w:pPr>
            <w:r>
              <w:rPr>
                <w:b/>
              </w:rPr>
              <w:t>19</w:t>
            </w:r>
            <w:r>
              <w:rPr>
                <w:b/>
              </w:rPr>
              <w:t xml:space="preserve"> January 2024</w:t>
            </w:r>
          </w:p>
        </w:tc>
      </w:tr>
      <w:tr w:rsidR="00FD6D96" w14:paraId="65F797E5" w14:textId="77777777">
        <w:trPr>
          <w:cantSplit/>
          <w:trHeight w:val="23"/>
        </w:trPr>
        <w:tc>
          <w:tcPr>
            <w:tcW w:w="3969" w:type="dxa"/>
            <w:vMerge/>
          </w:tcPr>
          <w:p w14:paraId="25803D2A" w14:textId="77777777" w:rsidR="00FD6D96" w:rsidRDefault="00FD6D96">
            <w:pPr>
              <w:tabs>
                <w:tab w:val="left" w:pos="851"/>
              </w:tabs>
              <w:spacing w:line="240" w:lineRule="atLeast"/>
              <w:rPr>
                <w:b/>
              </w:rPr>
            </w:pPr>
            <w:bookmarkStart w:id="7" w:name="dorlang" w:colFirst="1" w:colLast="1"/>
            <w:bookmarkEnd w:id="6"/>
          </w:p>
        </w:tc>
        <w:tc>
          <w:tcPr>
            <w:tcW w:w="5245" w:type="dxa"/>
          </w:tcPr>
          <w:p w14:paraId="43B731A0" w14:textId="77777777" w:rsidR="00FD6D96" w:rsidRDefault="0089085B">
            <w:pPr>
              <w:tabs>
                <w:tab w:val="left" w:pos="851"/>
              </w:tabs>
              <w:spacing w:before="0" w:line="240" w:lineRule="atLeast"/>
              <w:jc w:val="right"/>
              <w:rPr>
                <w:b/>
              </w:rPr>
            </w:pPr>
            <w:r>
              <w:rPr>
                <w:b/>
              </w:rPr>
              <w:t>English only</w:t>
            </w:r>
          </w:p>
        </w:tc>
      </w:tr>
      <w:tr w:rsidR="00FD6D96" w14:paraId="7A476FE3" w14:textId="77777777">
        <w:trPr>
          <w:cantSplit/>
          <w:trHeight w:val="23"/>
        </w:trPr>
        <w:tc>
          <w:tcPr>
            <w:tcW w:w="3969" w:type="dxa"/>
          </w:tcPr>
          <w:p w14:paraId="668B250C" w14:textId="77777777" w:rsidR="00FD6D96" w:rsidRDefault="00FD6D96">
            <w:pPr>
              <w:tabs>
                <w:tab w:val="left" w:pos="851"/>
              </w:tabs>
              <w:spacing w:line="240" w:lineRule="atLeast"/>
              <w:rPr>
                <w:b/>
              </w:rPr>
            </w:pPr>
          </w:p>
        </w:tc>
        <w:tc>
          <w:tcPr>
            <w:tcW w:w="5245" w:type="dxa"/>
          </w:tcPr>
          <w:p w14:paraId="03193D0B" w14:textId="77777777" w:rsidR="00FD6D96" w:rsidRDefault="00FD6D96">
            <w:pPr>
              <w:tabs>
                <w:tab w:val="left" w:pos="851"/>
              </w:tabs>
              <w:spacing w:before="0" w:line="240" w:lineRule="atLeast"/>
              <w:jc w:val="right"/>
              <w:rPr>
                <w:b/>
              </w:rPr>
            </w:pPr>
          </w:p>
        </w:tc>
      </w:tr>
      <w:tr w:rsidR="00FD6D96" w14:paraId="045DD513" w14:textId="77777777">
        <w:trPr>
          <w:cantSplit/>
        </w:trPr>
        <w:tc>
          <w:tcPr>
            <w:tcW w:w="9214" w:type="dxa"/>
            <w:gridSpan w:val="2"/>
            <w:tcMar>
              <w:left w:w="0" w:type="dxa"/>
            </w:tcMar>
          </w:tcPr>
          <w:p w14:paraId="219C4DB5" w14:textId="77777777" w:rsidR="00FD6D96" w:rsidRDefault="0089085B">
            <w:pPr>
              <w:pStyle w:val="Source"/>
              <w:framePr w:hSpace="0" w:wrap="auto" w:vAnchor="margin" w:hAnchor="text" w:xAlign="left" w:yAlign="inline"/>
              <w:rPr>
                <w:lang w:val="en-US"/>
              </w:rPr>
            </w:pPr>
            <w:bookmarkStart w:id="8" w:name="dsource" w:colFirst="0" w:colLast="0"/>
            <w:bookmarkEnd w:id="7"/>
            <w:r w:rsidRPr="0089085B">
              <w:t>Contribution from China (</w:t>
            </w:r>
            <w:r w:rsidRPr="0089085B">
              <w:rPr>
                <w:rFonts w:eastAsia="SimSun" w:hint="eastAsia"/>
                <w:lang w:val="en-US" w:eastAsia="zh-CN"/>
              </w:rPr>
              <w:t>People</w:t>
            </w:r>
            <w:r w:rsidRPr="0089085B">
              <w:rPr>
                <w:rFonts w:eastAsia="SimSun"/>
                <w:lang w:val="en-US" w:eastAsia="zh-CN"/>
              </w:rPr>
              <w:t>’</w:t>
            </w:r>
            <w:r w:rsidRPr="0089085B">
              <w:rPr>
                <w:rFonts w:eastAsia="SimSun" w:hint="eastAsia"/>
                <w:lang w:val="en-US" w:eastAsia="zh-CN"/>
              </w:rPr>
              <w:t>s Republic of</w:t>
            </w:r>
            <w:r w:rsidRPr="0089085B">
              <w:rPr>
                <w:rFonts w:eastAsia="SimSun"/>
                <w:lang w:val="en-US" w:eastAsia="zh-CN"/>
              </w:rPr>
              <w:t>)</w:t>
            </w:r>
            <w:r w:rsidRPr="0089085B">
              <w:rPr>
                <w:rFonts w:eastAsia="SimSun" w:hint="eastAsia"/>
                <w:lang w:val="en-US" w:eastAsia="zh-CN"/>
              </w:rPr>
              <w:t>,</w:t>
            </w:r>
            <w:r w:rsidRPr="0089085B">
              <w:t xml:space="preserve"> South Africa (Republic of)</w:t>
            </w:r>
            <w:r w:rsidRPr="0089085B">
              <w:rPr>
                <w:rFonts w:eastAsia="SimSun" w:hint="eastAsia"/>
                <w:lang w:val="en-US" w:eastAsia="zh-CN"/>
              </w:rPr>
              <w:t xml:space="preserve">, </w:t>
            </w:r>
            <w:r w:rsidRPr="0089085B">
              <w:t>Algeria (People's Democratic Republic of),</w:t>
            </w:r>
            <w:r w:rsidRPr="0089085B">
              <w:rPr>
                <w:rFonts w:eastAsia="SimSun" w:hint="eastAsia"/>
                <w:lang w:val="en-US" w:eastAsia="zh-CN"/>
              </w:rPr>
              <w:t xml:space="preserve"> Cuba (</w:t>
            </w:r>
            <w:r w:rsidRPr="0089085B">
              <w:t>Republic of)</w:t>
            </w:r>
          </w:p>
        </w:tc>
      </w:tr>
      <w:tr w:rsidR="00FD6D96" w14:paraId="5EBB454B" w14:textId="77777777">
        <w:trPr>
          <w:cantSplit/>
        </w:trPr>
        <w:tc>
          <w:tcPr>
            <w:tcW w:w="9214" w:type="dxa"/>
            <w:gridSpan w:val="2"/>
            <w:tcMar>
              <w:left w:w="0" w:type="dxa"/>
            </w:tcMar>
          </w:tcPr>
          <w:p w14:paraId="1EC3F5D9" w14:textId="77777777" w:rsidR="00FD6D96" w:rsidRDefault="0089085B">
            <w:pPr>
              <w:pStyle w:val="Subtitle"/>
              <w:framePr w:hSpace="0" w:wrap="auto" w:xAlign="left" w:yAlign="inline"/>
              <w:rPr>
                <w:lang w:val="en-US"/>
              </w:rPr>
            </w:pPr>
            <w:bookmarkStart w:id="9" w:name="_Hlk155972589"/>
            <w:bookmarkStart w:id="10" w:name="dtitle1" w:colFirst="0" w:colLast="0"/>
            <w:bookmarkEnd w:id="8"/>
            <w:r>
              <w:rPr>
                <w:rFonts w:eastAsia="SimSun"/>
                <w:lang w:val="en-US" w:eastAsia="zh-CN"/>
              </w:rPr>
              <w:t xml:space="preserve">PROPOSAL </w:t>
            </w:r>
            <w:r>
              <w:rPr>
                <w:rFonts w:eastAsia="SimSun" w:hint="eastAsia"/>
                <w:lang w:val="en-US" w:eastAsia="zh-CN"/>
              </w:rPr>
              <w:t xml:space="preserve">OF ESTABLISHING GUIDELINES FOR COOPERATION WITH THIRD-PARTY WHICH MAY HAVE SUBSTANTIAL FINANCIAL AND/OR STRATEGIC IMPLICATIONS </w:t>
            </w:r>
            <w:bookmarkEnd w:id="9"/>
          </w:p>
        </w:tc>
      </w:tr>
      <w:tr w:rsidR="00FD6D96" w14:paraId="17687A78" w14:textId="77777777">
        <w:trPr>
          <w:cantSplit/>
        </w:trPr>
        <w:tc>
          <w:tcPr>
            <w:tcW w:w="9214" w:type="dxa"/>
            <w:gridSpan w:val="2"/>
            <w:tcBorders>
              <w:top w:val="single" w:sz="4" w:space="0" w:color="auto"/>
              <w:bottom w:val="single" w:sz="4" w:space="0" w:color="auto"/>
            </w:tcBorders>
            <w:tcMar>
              <w:left w:w="0" w:type="dxa"/>
            </w:tcMar>
          </w:tcPr>
          <w:p w14:paraId="515E48AE" w14:textId="77777777" w:rsidR="00FD6D96" w:rsidRDefault="0089085B">
            <w:pPr>
              <w:spacing w:before="0" w:after="160"/>
              <w:jc w:val="both"/>
              <w:rPr>
                <w:b/>
                <w:bCs/>
                <w:sz w:val="26"/>
                <w:szCs w:val="26"/>
              </w:rPr>
            </w:pPr>
            <w:r>
              <w:rPr>
                <w:b/>
                <w:bCs/>
                <w:sz w:val="26"/>
                <w:szCs w:val="26"/>
              </w:rPr>
              <w:t>Purpose (Objective)</w:t>
            </w:r>
          </w:p>
          <w:p w14:paraId="29170D69" w14:textId="77777777" w:rsidR="00FD6D96" w:rsidRDefault="0089085B">
            <w:pPr>
              <w:spacing w:after="160"/>
              <w:jc w:val="both"/>
              <w:rPr>
                <w:rFonts w:eastAsia="SimSun"/>
                <w:lang w:val="en-US" w:eastAsia="zh-CN"/>
              </w:rPr>
            </w:pPr>
            <w:r>
              <w:rPr>
                <w:rFonts w:cs="Calibri" w:hint="eastAsia"/>
                <w:szCs w:val="24"/>
                <w:lang w:val="en-US" w:eastAsia="zh-CN"/>
              </w:rPr>
              <w:t>T</w:t>
            </w:r>
            <w:r>
              <w:rPr>
                <w:rFonts w:cs="Calibri"/>
                <w:szCs w:val="24"/>
                <w:lang w:val="en-US" w:eastAsia="zh-CN"/>
              </w:rPr>
              <w:t>he</w:t>
            </w:r>
            <w:r>
              <w:rPr>
                <w:rFonts w:cs="Calibri" w:hint="eastAsia"/>
                <w:szCs w:val="24"/>
                <w:lang w:val="en-US" w:eastAsia="zh-CN"/>
              </w:rPr>
              <w:t xml:space="preserve"> </w:t>
            </w:r>
            <w:r>
              <w:rPr>
                <w:rFonts w:cs="Calibri"/>
                <w:szCs w:val="24"/>
                <w:lang w:val="en-US" w:eastAsia="zh-CN"/>
              </w:rPr>
              <w:t>s</w:t>
            </w:r>
            <w:r>
              <w:rPr>
                <w:rFonts w:cs="Calibri" w:hint="eastAsia"/>
                <w:szCs w:val="24"/>
                <w:lang w:val="en-US" w:eastAsia="zh-CN"/>
              </w:rPr>
              <w:t>ecretariat is invited to provide further information on cooperation with third parties and to establish related guidelines</w:t>
            </w:r>
            <w:r>
              <w:rPr>
                <w:rFonts w:asciiTheme="minorHAnsi" w:eastAsia="SimSun" w:hAnsiTheme="minorHAnsi" w:cstheme="minorHAnsi" w:hint="eastAsia"/>
                <w:lang w:val="en-US" w:eastAsia="zh-CN"/>
              </w:rPr>
              <w:t>.</w:t>
            </w:r>
          </w:p>
          <w:p w14:paraId="746A3295" w14:textId="77777777" w:rsidR="00FD6D96" w:rsidRDefault="0089085B">
            <w:pPr>
              <w:spacing w:before="0" w:after="160"/>
              <w:jc w:val="both"/>
              <w:rPr>
                <w:b/>
                <w:bCs/>
                <w:sz w:val="26"/>
                <w:szCs w:val="26"/>
              </w:rPr>
            </w:pPr>
            <w:r>
              <w:rPr>
                <w:b/>
                <w:bCs/>
                <w:sz w:val="26"/>
                <w:szCs w:val="26"/>
              </w:rPr>
              <w:t xml:space="preserve">Action </w:t>
            </w:r>
            <w:proofErr w:type="gramStart"/>
            <w:r>
              <w:rPr>
                <w:b/>
                <w:bCs/>
                <w:sz w:val="26"/>
                <w:szCs w:val="26"/>
              </w:rPr>
              <w:t>required</w:t>
            </w:r>
            <w:proofErr w:type="gramEnd"/>
          </w:p>
          <w:p w14:paraId="29237C3C" w14:textId="77777777" w:rsidR="00FD6D96" w:rsidRDefault="0089085B">
            <w:pPr>
              <w:spacing w:before="0" w:after="160"/>
              <w:jc w:val="both"/>
            </w:pPr>
            <w:r>
              <w:rPr>
                <w:rFonts w:eastAsia="SimSun" w:cs="Calibri" w:hint="eastAsia"/>
                <w:lang w:val="en-US" w:eastAsia="zh-CN"/>
              </w:rPr>
              <w:t>T</w:t>
            </w:r>
            <w:r>
              <w:rPr>
                <w:rFonts w:cs="Calibri"/>
                <w:szCs w:val="24"/>
                <w:lang w:val="en-US" w:eastAsia="zh-CN"/>
              </w:rPr>
              <w:t>he</w:t>
            </w:r>
            <w:r>
              <w:rPr>
                <w:rFonts w:cs="Calibri" w:hint="eastAsia"/>
                <w:szCs w:val="24"/>
                <w:lang w:val="en-US" w:eastAsia="zh-CN"/>
              </w:rPr>
              <w:t xml:space="preserve"> </w:t>
            </w:r>
            <w:r>
              <w:rPr>
                <w:rFonts w:cs="Calibri"/>
                <w:szCs w:val="24"/>
                <w:lang w:val="en-US" w:eastAsia="zh-CN"/>
              </w:rPr>
              <w:t>Council Working Group on Financial and Human Resources</w:t>
            </w:r>
            <w:r>
              <w:rPr>
                <w:rFonts w:cs="Calibri" w:hint="eastAsia"/>
                <w:szCs w:val="24"/>
                <w:lang w:val="en-US" w:eastAsia="zh-CN"/>
              </w:rPr>
              <w:t xml:space="preserve"> is </w:t>
            </w:r>
            <w:r>
              <w:rPr>
                <w:rFonts w:eastAsia="SimSun" w:cs="Calibri"/>
              </w:rPr>
              <w:t xml:space="preserve">invited to </w:t>
            </w:r>
            <w:r>
              <w:rPr>
                <w:rFonts w:eastAsia="SimSun" w:cs="Calibri"/>
                <w:b/>
                <w:bCs/>
              </w:rPr>
              <w:t xml:space="preserve">consider </w:t>
            </w:r>
            <w:r>
              <w:rPr>
                <w:rFonts w:eastAsia="SimSun" w:cs="Calibri"/>
              </w:rPr>
              <w:t xml:space="preserve">the proposal and </w:t>
            </w:r>
            <w:r>
              <w:rPr>
                <w:rFonts w:eastAsia="SimSun" w:cs="Calibri"/>
                <w:b/>
                <w:bCs/>
              </w:rPr>
              <w:t>take actions</w:t>
            </w:r>
            <w:r>
              <w:rPr>
                <w:rFonts w:eastAsia="SimSun" w:cs="Calibri"/>
              </w:rPr>
              <w:t xml:space="preserve"> as appropriate</w:t>
            </w:r>
            <w:r>
              <w:rPr>
                <w:rFonts w:eastAsia="SimSun" w:cs="Calibri" w:hint="eastAsia"/>
                <w:lang w:eastAsia="zh-CN"/>
              </w:rPr>
              <w:t>.</w:t>
            </w:r>
          </w:p>
          <w:p w14:paraId="5161D83F" w14:textId="77777777" w:rsidR="00FD6D96" w:rsidRDefault="0089085B">
            <w:pPr>
              <w:spacing w:before="0" w:after="160"/>
              <w:jc w:val="both"/>
              <w:rPr>
                <w:caps/>
                <w:sz w:val="22"/>
              </w:rPr>
            </w:pPr>
            <w:r>
              <w:rPr>
                <w:sz w:val="22"/>
              </w:rPr>
              <w:t>____________________________________</w:t>
            </w:r>
          </w:p>
          <w:p w14:paraId="31B1C98C" w14:textId="77777777" w:rsidR="00FD6D96" w:rsidRDefault="0089085B">
            <w:pPr>
              <w:spacing w:after="160"/>
              <w:jc w:val="both"/>
              <w:rPr>
                <w:i/>
                <w:iCs/>
                <w:sz w:val="26"/>
                <w:szCs w:val="26"/>
              </w:rPr>
            </w:pPr>
            <w:r>
              <w:rPr>
                <w:b/>
                <w:bCs/>
                <w:sz w:val="26"/>
                <w:szCs w:val="26"/>
              </w:rPr>
              <w:t>References</w:t>
            </w:r>
          </w:p>
          <w:p w14:paraId="0C8DBF7A" w14:textId="77777777" w:rsidR="00FD6D96" w:rsidRDefault="0089085B">
            <w:pPr>
              <w:jc w:val="both"/>
              <w:rPr>
                <w:rFonts w:eastAsia="SimSun"/>
                <w:i/>
                <w:iCs/>
                <w:lang w:val="en-US" w:eastAsia="zh-CN"/>
              </w:rPr>
            </w:pPr>
            <w:r>
              <w:rPr>
                <w:rFonts w:eastAsia="SimSun" w:hint="eastAsia"/>
                <w:i/>
                <w:iCs/>
                <w:lang w:val="en-US" w:eastAsia="zh-CN"/>
              </w:rPr>
              <w:t xml:space="preserve">JIU/REP/97/5 The challenge of outsourcing for the United Nations </w:t>
            </w:r>
            <w:proofErr w:type="gramStart"/>
            <w:r>
              <w:rPr>
                <w:rFonts w:eastAsia="SimSun" w:hint="eastAsia"/>
                <w:i/>
                <w:iCs/>
                <w:lang w:val="en-US" w:eastAsia="zh-CN"/>
              </w:rPr>
              <w:t>system;</w:t>
            </w:r>
            <w:proofErr w:type="gramEnd"/>
            <w:r>
              <w:rPr>
                <w:rFonts w:eastAsia="SimSun" w:hint="eastAsia"/>
                <w:i/>
                <w:iCs/>
                <w:lang w:val="en-US" w:eastAsia="zh-CN"/>
              </w:rPr>
              <w:t xml:space="preserve"> </w:t>
            </w:r>
          </w:p>
          <w:p w14:paraId="34F766F7" w14:textId="77777777" w:rsidR="00FD6D96" w:rsidRDefault="0089085B">
            <w:pPr>
              <w:jc w:val="both"/>
              <w:rPr>
                <w:rFonts w:eastAsia="SimSun" w:cs="Calibri"/>
                <w:i/>
                <w:iCs/>
                <w:szCs w:val="24"/>
                <w:lang w:val="en-US" w:eastAsia="zh-CN"/>
              </w:rPr>
            </w:pPr>
            <w:r>
              <w:rPr>
                <w:rFonts w:eastAsia="SimSun" w:cs="Calibri" w:hint="eastAsia"/>
                <w:i/>
                <w:iCs/>
                <w:szCs w:val="24"/>
                <w:lang w:val="en-US" w:eastAsia="zh-CN"/>
              </w:rPr>
              <w:t xml:space="preserve">JIU/REP/2002/7 Management Audit Review of Outsourcing in the United Nations and United Nations Funds and </w:t>
            </w:r>
            <w:proofErr w:type="spellStart"/>
            <w:proofErr w:type="gramStart"/>
            <w:r>
              <w:rPr>
                <w:rFonts w:eastAsia="SimSun" w:cs="Calibri" w:hint="eastAsia"/>
                <w:i/>
                <w:iCs/>
                <w:szCs w:val="24"/>
                <w:lang w:val="en-US" w:eastAsia="zh-CN"/>
              </w:rPr>
              <w:t>Programmes</w:t>
            </w:r>
            <w:proofErr w:type="spellEnd"/>
            <w:r>
              <w:rPr>
                <w:rFonts w:eastAsia="SimSun" w:cs="Calibri" w:hint="eastAsia"/>
                <w:i/>
                <w:iCs/>
                <w:szCs w:val="24"/>
                <w:lang w:val="en-US" w:eastAsia="zh-CN"/>
              </w:rPr>
              <w:t>;</w:t>
            </w:r>
            <w:proofErr w:type="gramEnd"/>
            <w:r>
              <w:rPr>
                <w:rFonts w:eastAsia="SimSun" w:cs="Calibri" w:hint="eastAsia"/>
                <w:i/>
                <w:iCs/>
                <w:szCs w:val="24"/>
                <w:lang w:val="en-US" w:eastAsia="zh-CN"/>
              </w:rPr>
              <w:t xml:space="preserve"> </w:t>
            </w:r>
          </w:p>
          <w:p w14:paraId="1235DBB0" w14:textId="77777777" w:rsidR="00FD6D96" w:rsidRDefault="0089085B">
            <w:pPr>
              <w:jc w:val="both"/>
              <w:rPr>
                <w:rFonts w:eastAsia="SimSun" w:cs="Calibri"/>
                <w:i/>
                <w:iCs/>
                <w:szCs w:val="24"/>
                <w:lang w:val="en-US" w:eastAsia="zh-CN"/>
              </w:rPr>
            </w:pPr>
            <w:r>
              <w:rPr>
                <w:rFonts w:eastAsia="SimSun" w:cs="Calibri" w:hint="eastAsia"/>
                <w:i/>
                <w:iCs/>
                <w:szCs w:val="24"/>
                <w:lang w:val="en-US" w:eastAsia="zh-CN"/>
              </w:rPr>
              <w:t xml:space="preserve">JIU/REP/2019/9 </w:t>
            </w:r>
            <w:r>
              <w:rPr>
                <w:rFonts w:eastAsia="SimSun" w:cs="Calibri"/>
                <w:i/>
                <w:iCs/>
                <w:szCs w:val="24"/>
                <w:lang w:val="en-US" w:eastAsia="zh-CN"/>
              </w:rPr>
              <w:t xml:space="preserve">Review of contemporary practices in the external outsourcing of services to commercial service providers by United Nations system </w:t>
            </w:r>
            <w:proofErr w:type="gramStart"/>
            <w:r>
              <w:rPr>
                <w:rFonts w:eastAsia="SimSun" w:cs="Calibri"/>
                <w:i/>
                <w:iCs/>
                <w:szCs w:val="24"/>
                <w:lang w:val="en-US" w:eastAsia="zh-CN"/>
              </w:rPr>
              <w:t>organizations</w:t>
            </w:r>
            <w:r>
              <w:rPr>
                <w:rFonts w:eastAsia="SimSun" w:cs="Calibri" w:hint="eastAsia"/>
                <w:i/>
                <w:iCs/>
                <w:szCs w:val="24"/>
                <w:lang w:val="en-US" w:eastAsia="zh-CN"/>
              </w:rPr>
              <w:t>;</w:t>
            </w:r>
            <w:proofErr w:type="gramEnd"/>
            <w:r>
              <w:rPr>
                <w:rFonts w:eastAsia="SimSun" w:cs="Calibri" w:hint="eastAsia"/>
                <w:i/>
                <w:iCs/>
                <w:szCs w:val="24"/>
                <w:lang w:val="en-US" w:eastAsia="zh-CN"/>
              </w:rPr>
              <w:t xml:space="preserve"> </w:t>
            </w:r>
          </w:p>
          <w:p w14:paraId="3739AD21" w14:textId="77777777" w:rsidR="00FD6D96" w:rsidRDefault="0089085B">
            <w:pPr>
              <w:jc w:val="both"/>
              <w:rPr>
                <w:rFonts w:eastAsia="SimSun"/>
                <w:spacing w:val="-2"/>
                <w:lang w:val="en-US" w:eastAsia="zh-CN"/>
              </w:rPr>
            </w:pPr>
            <w:hyperlink r:id="rId8" w:history="1">
              <w:r>
                <w:rPr>
                  <w:rStyle w:val="Hyperlink"/>
                  <w:rFonts w:eastAsia="SimSun" w:cs="Calibri" w:hint="eastAsia"/>
                  <w:i/>
                  <w:iCs/>
                  <w:szCs w:val="24"/>
                  <w:lang w:val="en-US" w:eastAsia="zh-CN"/>
                </w:rPr>
                <w:t>CWG-FHR-17/11</w:t>
              </w:r>
            </w:hyperlink>
            <w:r>
              <w:rPr>
                <w:rFonts w:eastAsia="SimSun" w:cs="Calibri" w:hint="eastAsia"/>
                <w:i/>
                <w:iCs/>
                <w:szCs w:val="24"/>
                <w:lang w:val="en-US" w:eastAsia="zh-CN"/>
              </w:rPr>
              <w:t>.</w:t>
            </w:r>
          </w:p>
          <w:p w14:paraId="3AB39BB0" w14:textId="77777777" w:rsidR="00FD6D96" w:rsidRDefault="00FD6D96">
            <w:pPr>
              <w:spacing w:after="160"/>
              <w:jc w:val="both"/>
              <w:rPr>
                <w:rFonts w:eastAsia="SimSun"/>
                <w:spacing w:val="-2"/>
                <w:lang w:val="en-US" w:eastAsia="zh-CN"/>
              </w:rPr>
            </w:pPr>
          </w:p>
        </w:tc>
      </w:tr>
    </w:tbl>
    <w:p w14:paraId="1E2F04AB" w14:textId="77777777" w:rsidR="00FD6D96" w:rsidRDefault="00FD6D96">
      <w:pPr>
        <w:overflowPunct/>
        <w:autoSpaceDE/>
        <w:autoSpaceDN/>
        <w:adjustRightInd/>
        <w:spacing w:before="0"/>
        <w:jc w:val="both"/>
        <w:textAlignment w:val="auto"/>
        <w:rPr>
          <w:lang w:val="es-ES"/>
        </w:rPr>
      </w:pPr>
      <w:bookmarkStart w:id="11" w:name="_Hlk133421428"/>
      <w:bookmarkEnd w:id="2"/>
      <w:bookmarkEnd w:id="10"/>
    </w:p>
    <w:bookmarkEnd w:id="3"/>
    <w:bookmarkEnd w:id="4"/>
    <w:p w14:paraId="0CD2DB02" w14:textId="77777777" w:rsidR="00FD6D96" w:rsidRDefault="0089085B">
      <w:pPr>
        <w:overflowPunct/>
        <w:autoSpaceDE/>
        <w:autoSpaceDN/>
        <w:adjustRightInd/>
        <w:spacing w:before="0"/>
        <w:jc w:val="both"/>
        <w:textAlignment w:val="auto"/>
        <w:rPr>
          <w:b/>
          <w:lang w:val="es-ES"/>
        </w:rPr>
      </w:pPr>
      <w:r>
        <w:rPr>
          <w:lang w:val="es-ES"/>
        </w:rPr>
        <w:br w:type="page"/>
      </w:r>
    </w:p>
    <w:bookmarkEnd w:id="5"/>
    <w:bookmarkEnd w:id="11"/>
    <w:p w14:paraId="102888C3" w14:textId="77777777" w:rsidR="00FD6D96" w:rsidRDefault="0089085B">
      <w:pPr>
        <w:numPr>
          <w:ilvl w:val="0"/>
          <w:numId w:val="1"/>
        </w:numPr>
        <w:overflowPunct/>
        <w:autoSpaceDE/>
        <w:autoSpaceDN/>
        <w:adjustRightInd/>
        <w:spacing w:before="360"/>
        <w:jc w:val="both"/>
        <w:textAlignment w:val="auto"/>
        <w:rPr>
          <w:rFonts w:eastAsia="SimSun"/>
          <w:b/>
          <w:bCs/>
          <w:szCs w:val="24"/>
          <w:lang w:val="en-US" w:eastAsia="zh-CN"/>
        </w:rPr>
      </w:pPr>
      <w:r>
        <w:rPr>
          <w:rFonts w:eastAsia="SimSun" w:hint="eastAsia"/>
          <w:b/>
          <w:bCs/>
          <w:szCs w:val="24"/>
          <w:lang w:val="en-US" w:eastAsia="zh-CN"/>
        </w:rPr>
        <w:lastRenderedPageBreak/>
        <w:t>Background</w:t>
      </w:r>
    </w:p>
    <w:p w14:paraId="7E135AAE" w14:textId="77777777" w:rsidR="00FD6D96" w:rsidRDefault="00FD6D96">
      <w:pPr>
        <w:overflowPunct/>
        <w:autoSpaceDE/>
        <w:autoSpaceDN/>
        <w:adjustRightInd/>
        <w:spacing w:before="0"/>
        <w:jc w:val="both"/>
        <w:textAlignment w:val="auto"/>
        <w:rPr>
          <w:rFonts w:eastAsia="SimSun"/>
          <w:lang w:val="en-US" w:eastAsia="zh-CN"/>
        </w:rPr>
      </w:pPr>
    </w:p>
    <w:p w14:paraId="478ACE1B" w14:textId="77777777" w:rsidR="00FD6D96" w:rsidRDefault="0089085B">
      <w:pPr>
        <w:numPr>
          <w:ilvl w:val="255"/>
          <w:numId w:val="0"/>
        </w:numPr>
        <w:overflowPunct/>
        <w:autoSpaceDE/>
        <w:autoSpaceDN/>
        <w:adjustRightInd/>
        <w:spacing w:before="0"/>
        <w:jc w:val="both"/>
        <w:textAlignment w:val="auto"/>
        <w:rPr>
          <w:rFonts w:eastAsia="SimSun"/>
          <w:lang w:val="en-US" w:eastAsia="zh-CN"/>
        </w:rPr>
      </w:pPr>
      <w:r>
        <w:rPr>
          <w:rFonts w:eastAsia="SimSun" w:hint="eastAsia"/>
          <w:lang w:val="en-US" w:eastAsia="zh-CN"/>
        </w:rPr>
        <w:t xml:space="preserve">During the past 3 years, ITU has cooperated with third-party in a number of important </w:t>
      </w:r>
      <w:proofErr w:type="gramStart"/>
      <w:r>
        <w:rPr>
          <w:rFonts w:eastAsia="SimSun" w:hint="eastAsia"/>
          <w:lang w:val="en-US" w:eastAsia="zh-CN"/>
        </w:rPr>
        <w:t>work</w:t>
      </w:r>
      <w:proofErr w:type="gramEnd"/>
      <w:r>
        <w:rPr>
          <w:rFonts w:eastAsia="SimSun" w:hint="eastAsia"/>
          <w:lang w:val="en-US" w:eastAsia="zh-CN"/>
        </w:rPr>
        <w:t xml:space="preserve">, such as: </w:t>
      </w:r>
    </w:p>
    <w:p w14:paraId="3311B641" w14:textId="77777777" w:rsidR="00FD6D96" w:rsidRDefault="0089085B">
      <w:pPr>
        <w:numPr>
          <w:ilvl w:val="0"/>
          <w:numId w:val="2"/>
        </w:numPr>
        <w:overflowPunct/>
        <w:autoSpaceDE/>
        <w:autoSpaceDN/>
        <w:adjustRightInd/>
        <w:spacing w:before="0"/>
        <w:jc w:val="both"/>
        <w:textAlignment w:val="auto"/>
        <w:rPr>
          <w:rFonts w:asciiTheme="minorHAnsi" w:eastAsia="SimSun" w:hAnsiTheme="minorHAnsi" w:cstheme="minorBidi"/>
          <w:lang w:val="en-US" w:eastAsia="zh-CN"/>
        </w:rPr>
      </w:pPr>
      <w:r>
        <w:rPr>
          <w:rFonts w:asciiTheme="minorHAnsi" w:eastAsia="SimSun" w:hAnsiTheme="minorHAnsi" w:cstheme="minorBidi" w:hint="eastAsia"/>
          <w:lang w:val="en-US" w:eastAsia="zh-CN"/>
        </w:rPr>
        <w:t>Dalberg, as the consultant appointed to support the ITU secretariat to drafting the strategic and financial plan of ITU (2024-2</w:t>
      </w:r>
      <w:r>
        <w:rPr>
          <w:lang w:val="en-US" w:eastAsia="zh-CN"/>
        </w:rPr>
        <w:t xml:space="preserve">027), </w:t>
      </w:r>
      <w:r>
        <w:rPr>
          <w:lang w:val="en-US"/>
        </w:rPr>
        <w:t xml:space="preserve">also moderated </w:t>
      </w:r>
      <w:r>
        <w:rPr>
          <w:rFonts w:eastAsia="SimSun" w:hint="eastAsia"/>
          <w:lang w:val="en-US" w:eastAsia="zh-CN"/>
        </w:rPr>
        <w:t>the virtual consultation for</w:t>
      </w:r>
      <w:r>
        <w:rPr>
          <w:lang w:val="en-US"/>
        </w:rPr>
        <w:t xml:space="preserve"> </w:t>
      </w:r>
      <w:r>
        <w:rPr>
          <w:rFonts w:eastAsia="SimSun" w:hint="eastAsia"/>
          <w:lang w:val="en-US" w:eastAsia="zh-CN"/>
        </w:rPr>
        <w:t xml:space="preserve">the draft of the </w:t>
      </w:r>
      <w:r>
        <w:rPr>
          <w:rFonts w:asciiTheme="minorHAnsi" w:eastAsia="SimSun" w:hAnsiTheme="minorHAnsi" w:cstheme="minorBidi" w:hint="eastAsia"/>
          <w:lang w:val="en-US" w:eastAsia="zh-CN"/>
        </w:rPr>
        <w:t xml:space="preserve">strategic and financial </w:t>
      </w:r>
      <w:proofErr w:type="gramStart"/>
      <w:r>
        <w:rPr>
          <w:rFonts w:asciiTheme="minorHAnsi" w:eastAsia="SimSun" w:hAnsiTheme="minorHAnsi" w:cstheme="minorBidi" w:hint="eastAsia"/>
          <w:lang w:val="en-US" w:eastAsia="zh-CN"/>
        </w:rPr>
        <w:t>plan</w:t>
      </w:r>
      <w:r>
        <w:rPr>
          <w:rFonts w:eastAsia="SimSun" w:hint="eastAsia"/>
          <w:lang w:val="en-US" w:eastAsia="zh-CN"/>
        </w:rPr>
        <w:t>;</w:t>
      </w:r>
      <w:proofErr w:type="gramEnd"/>
      <w:r>
        <w:rPr>
          <w:rFonts w:eastAsia="SimSun" w:hint="eastAsia"/>
          <w:lang w:val="en-US" w:eastAsia="zh-CN"/>
        </w:rPr>
        <w:t xml:space="preserve"> </w:t>
      </w:r>
    </w:p>
    <w:p w14:paraId="4989AA4A" w14:textId="77777777" w:rsidR="00FD6D96" w:rsidRDefault="0089085B">
      <w:pPr>
        <w:numPr>
          <w:ilvl w:val="0"/>
          <w:numId w:val="2"/>
        </w:numPr>
        <w:overflowPunct/>
        <w:autoSpaceDE/>
        <w:autoSpaceDN/>
        <w:adjustRightInd/>
        <w:spacing w:before="0"/>
        <w:jc w:val="both"/>
        <w:textAlignment w:val="auto"/>
        <w:rPr>
          <w:rFonts w:asciiTheme="minorHAnsi" w:eastAsia="SimSun" w:hAnsiTheme="minorHAnsi" w:cstheme="minorBidi"/>
          <w:lang w:val="en-US" w:eastAsia="zh-CN"/>
        </w:rPr>
      </w:pPr>
      <w:r>
        <w:rPr>
          <w:rFonts w:eastAsia="SimSun" w:hint="eastAsia"/>
          <w:lang w:val="en-US" w:eastAsia="zh-CN"/>
        </w:rPr>
        <w:t>Boston Consulting Group, as the knowledge partner for P2C, SDG Digital Day, GIGA and other initiatives of ITU, such as support</w:t>
      </w:r>
      <w:proofErr w:type="spellStart"/>
      <w:r>
        <w:rPr>
          <w:rStyle w:val="normaltextrun"/>
          <w:rFonts w:asciiTheme="minorHAnsi" w:hAnsiTheme="minorHAnsi" w:cstheme="minorBidi"/>
        </w:rPr>
        <w:t>ing</w:t>
      </w:r>
      <w:proofErr w:type="spellEnd"/>
      <w:r>
        <w:rPr>
          <w:rFonts w:eastAsia="SimSun" w:hint="eastAsia"/>
          <w:lang w:val="en-US" w:eastAsia="zh-CN"/>
        </w:rPr>
        <w:t xml:space="preserve"> the development of the P2C pledging framework and the conceptualization of the </w:t>
      </w:r>
      <w:hyperlink r:id="rId9" w:tgtFrame="https://www.itu.int/itu-d/sites/partner2connect/about/knowledge-partner/knowledge-partner-bcg/_blank" w:history="1">
        <w:r>
          <w:rPr>
            <w:rFonts w:eastAsia="SimSun" w:hint="eastAsia"/>
            <w:lang w:val="en-US" w:eastAsia="zh-CN"/>
          </w:rPr>
          <w:t>online platform</w:t>
        </w:r>
      </w:hyperlink>
      <w:r>
        <w:rPr>
          <w:rFonts w:eastAsia="SimSun" w:hint="eastAsia"/>
          <w:lang w:val="en-US" w:eastAsia="zh-CN"/>
        </w:rPr>
        <w:t>, support</w:t>
      </w:r>
      <w:proofErr w:type="spellStart"/>
      <w:r>
        <w:rPr>
          <w:rStyle w:val="normaltextrun"/>
          <w:rFonts w:asciiTheme="minorHAnsi" w:hAnsiTheme="minorHAnsi" w:cstheme="minorBidi"/>
        </w:rPr>
        <w:t>ing</w:t>
      </w:r>
      <w:proofErr w:type="spellEnd"/>
      <w:r>
        <w:rPr>
          <w:rFonts w:eastAsia="SimSun" w:hint="eastAsia"/>
          <w:lang w:val="en-US" w:eastAsia="zh-CN"/>
        </w:rPr>
        <w:t xml:space="preserve"> develop SDG Digital Acceleration Agenda, and developing report </w:t>
      </w:r>
      <w:r>
        <w:rPr>
          <w:rFonts w:eastAsia="SimSun" w:hint="eastAsia"/>
          <w:i/>
          <w:iCs/>
          <w:lang w:val="en-US" w:eastAsia="zh-CN"/>
        </w:rPr>
        <w:t>Meaningful school connectivity: An assessment of sustainable business models;</w:t>
      </w:r>
    </w:p>
    <w:p w14:paraId="4156A815" w14:textId="77777777" w:rsidR="00FD6D96" w:rsidRDefault="0089085B">
      <w:pPr>
        <w:numPr>
          <w:ilvl w:val="0"/>
          <w:numId w:val="2"/>
        </w:numPr>
        <w:overflowPunct/>
        <w:autoSpaceDE/>
        <w:autoSpaceDN/>
        <w:adjustRightInd/>
        <w:spacing w:before="0"/>
        <w:textAlignment w:val="auto"/>
        <w:rPr>
          <w:rFonts w:eastAsia="SimSun" w:cs="Calibri"/>
          <w:szCs w:val="24"/>
          <w:lang w:val="en-US" w:eastAsia="zh-CN"/>
        </w:rPr>
      </w:pPr>
      <w:proofErr w:type="gramStart"/>
      <w:r>
        <w:rPr>
          <w:rFonts w:eastAsia="SimSun" w:cs="Calibri" w:hint="eastAsia"/>
          <w:szCs w:val="24"/>
          <w:lang w:val="en-US" w:eastAsia="zh-CN"/>
        </w:rPr>
        <w:t>EY,</w:t>
      </w:r>
      <w:proofErr w:type="gramEnd"/>
      <w:r>
        <w:rPr>
          <w:rFonts w:eastAsia="SimSun" w:cs="Calibri" w:hint="eastAsia"/>
          <w:szCs w:val="24"/>
          <w:lang w:val="en-US" w:eastAsia="zh-CN"/>
        </w:rPr>
        <w:t xml:space="preserve"> provided the report evaluating current state and developing an IT Roadmap for ITU</w:t>
      </w:r>
      <w:r>
        <w:rPr>
          <w:rFonts w:eastAsia="SimSun" w:cs="Calibri"/>
          <w:szCs w:val="24"/>
          <w:lang w:val="en-US" w:eastAsia="zh-CN"/>
        </w:rPr>
        <w:t>’</w:t>
      </w:r>
      <w:r>
        <w:rPr>
          <w:rFonts w:eastAsia="SimSun" w:cs="Calibri" w:hint="eastAsia"/>
          <w:szCs w:val="24"/>
          <w:lang w:val="en-US" w:eastAsia="zh-CN"/>
        </w:rPr>
        <w:t>s service excellence and growth to support the transformation of systems, processes and tools.</w:t>
      </w:r>
    </w:p>
    <w:p w14:paraId="347B073F" w14:textId="77777777" w:rsidR="00FD6D96" w:rsidRDefault="00FD6D96">
      <w:pPr>
        <w:numPr>
          <w:ilvl w:val="255"/>
          <w:numId w:val="0"/>
        </w:numPr>
        <w:overflowPunct/>
        <w:autoSpaceDE/>
        <w:autoSpaceDN/>
        <w:adjustRightInd/>
        <w:spacing w:before="0"/>
        <w:jc w:val="both"/>
        <w:textAlignment w:val="auto"/>
        <w:rPr>
          <w:rFonts w:eastAsia="SimSun"/>
          <w:lang w:val="en-US" w:eastAsia="zh-CN"/>
        </w:rPr>
      </w:pPr>
    </w:p>
    <w:p w14:paraId="6ED1B8A7" w14:textId="77777777" w:rsidR="00FD6D96" w:rsidRDefault="0089085B">
      <w:pPr>
        <w:numPr>
          <w:ilvl w:val="255"/>
          <w:numId w:val="0"/>
        </w:numPr>
        <w:overflowPunct/>
        <w:autoSpaceDE/>
        <w:autoSpaceDN/>
        <w:adjustRightInd/>
        <w:spacing w:before="0"/>
        <w:jc w:val="both"/>
        <w:textAlignment w:val="auto"/>
        <w:rPr>
          <w:rFonts w:eastAsia="SimSun"/>
          <w:lang w:val="en-US" w:eastAsia="zh-CN"/>
        </w:rPr>
      </w:pPr>
      <w:r>
        <w:rPr>
          <w:rFonts w:eastAsia="SimSun" w:hint="eastAsia"/>
          <w:lang w:val="en-US" w:eastAsia="zh-CN"/>
        </w:rPr>
        <w:t xml:space="preserve">Third parties obviously could bring about professional knowledge and skills from one </w:t>
      </w:r>
      <w:proofErr w:type="gramStart"/>
      <w:r>
        <w:rPr>
          <w:rFonts w:eastAsia="SimSun" w:hint="eastAsia"/>
          <w:lang w:val="en-US" w:eastAsia="zh-CN"/>
        </w:rPr>
        <w:t>side, but</w:t>
      </w:r>
      <w:proofErr w:type="gramEnd"/>
      <w:r>
        <w:rPr>
          <w:rFonts w:eastAsia="SimSun" w:hint="eastAsia"/>
          <w:lang w:val="en-US" w:eastAsia="zh-CN"/>
        </w:rPr>
        <w:t xml:space="preserve"> may also have financial and/or strategic implications for the Union. For the strategic aspect, the third-party may conduct activities on its own behalf incomplete reflecting or being inconsistent with the overall strategic goals of ITU agreed by all the member states. For the financial aspect, cooperating with the third-party</w:t>
      </w:r>
      <w:r>
        <w:rPr>
          <w:rFonts w:eastAsia="SimSun"/>
          <w:lang w:val="en-US" w:eastAsia="zh-CN"/>
        </w:rPr>
        <w:t xml:space="preserve"> may also cause financial </w:t>
      </w:r>
      <w:r>
        <w:rPr>
          <w:rFonts w:eastAsia="SimSun" w:hint="eastAsia"/>
          <w:lang w:val="en-US" w:eastAsia="zh-CN"/>
        </w:rPr>
        <w:t>implications, such as hiring experts or consultants</w:t>
      </w:r>
      <w:r>
        <w:rPr>
          <w:rFonts w:eastAsia="SimSun"/>
          <w:lang w:val="en-US" w:eastAsia="zh-CN"/>
        </w:rPr>
        <w:t>,</w:t>
      </w:r>
      <w:r>
        <w:rPr>
          <w:rFonts w:eastAsia="SimSun" w:hint="eastAsia"/>
          <w:lang w:val="en-US" w:eastAsia="zh-CN"/>
        </w:rPr>
        <w:t xml:space="preserve"> but</w:t>
      </w:r>
      <w:r>
        <w:rPr>
          <w:rFonts w:eastAsia="SimSun"/>
          <w:lang w:val="en-US" w:eastAsia="zh-CN"/>
        </w:rPr>
        <w:t xml:space="preserve"> </w:t>
      </w:r>
      <w:r>
        <w:rPr>
          <w:rFonts w:eastAsia="SimSun" w:hint="eastAsia"/>
          <w:lang w:val="en-US" w:eastAsia="zh-CN"/>
        </w:rPr>
        <w:t xml:space="preserve">relevant service orders </w:t>
      </w:r>
      <w:r>
        <w:rPr>
          <w:rFonts w:eastAsia="SimSun"/>
          <w:lang w:val="en-US" w:eastAsia="zh-CN"/>
        </w:rPr>
        <w:t>were not</w:t>
      </w:r>
      <w:r>
        <w:rPr>
          <w:rFonts w:eastAsia="SimSun" w:hint="eastAsia"/>
          <w:lang w:val="en-US" w:eastAsia="zh-CN"/>
        </w:rPr>
        <w:t xml:space="preserve"> appropriately disclosed to Member States. </w:t>
      </w:r>
    </w:p>
    <w:p w14:paraId="7EA5C46B" w14:textId="77777777" w:rsidR="00FD6D96" w:rsidRDefault="00FD6D96">
      <w:pPr>
        <w:numPr>
          <w:ilvl w:val="255"/>
          <w:numId w:val="0"/>
        </w:numPr>
        <w:overflowPunct/>
        <w:autoSpaceDE/>
        <w:autoSpaceDN/>
        <w:adjustRightInd/>
        <w:spacing w:before="0"/>
        <w:jc w:val="both"/>
        <w:textAlignment w:val="auto"/>
        <w:rPr>
          <w:rFonts w:eastAsia="SimSun"/>
          <w:lang w:val="en-US" w:eastAsia="zh-CN"/>
        </w:rPr>
      </w:pPr>
    </w:p>
    <w:p w14:paraId="386D307C" w14:textId="77777777" w:rsidR="00FD6D96" w:rsidRDefault="0089085B">
      <w:pPr>
        <w:numPr>
          <w:ilvl w:val="255"/>
          <w:numId w:val="0"/>
        </w:numPr>
        <w:overflowPunct/>
        <w:autoSpaceDE/>
        <w:autoSpaceDN/>
        <w:adjustRightInd/>
        <w:spacing w:before="0"/>
        <w:jc w:val="both"/>
        <w:textAlignment w:val="auto"/>
        <w:rPr>
          <w:rFonts w:eastAsia="SimSun"/>
          <w:lang w:val="en-US" w:eastAsia="zh-CN"/>
        </w:rPr>
      </w:pPr>
      <w:r>
        <w:rPr>
          <w:rFonts w:eastAsia="SimSun" w:hint="eastAsia"/>
          <w:lang w:val="en-US" w:eastAsia="zh-CN"/>
        </w:rPr>
        <w:t xml:space="preserve">One approach to achieve third-party cooperation is by outsourcing, which has been reviewed by JIU in 1997 (JIU/REP/97/5), 2002 (JIU/REP/2002/7) and 2019 (JIU/REP/2019/9). The JIU report 2019 recommend the executive heads to conduct of a clearly documented strategic analysis and periodic review when outsourcing any strategic, </w:t>
      </w:r>
      <w:proofErr w:type="gramStart"/>
      <w:r>
        <w:rPr>
          <w:rFonts w:eastAsia="SimSun" w:hint="eastAsia"/>
          <w:lang w:val="en-US" w:eastAsia="zh-CN"/>
        </w:rPr>
        <w:t>sensitive</w:t>
      </w:r>
      <w:proofErr w:type="gramEnd"/>
      <w:r>
        <w:rPr>
          <w:rFonts w:eastAsia="SimSun" w:hint="eastAsia"/>
          <w:lang w:val="en-US" w:eastAsia="zh-CN"/>
        </w:rPr>
        <w:t xml:space="preserve"> or high-value service and related goods and periodic review.</w:t>
      </w:r>
    </w:p>
    <w:p w14:paraId="4FE9E960" w14:textId="77777777" w:rsidR="00FD6D96" w:rsidRDefault="00FD6D96">
      <w:pPr>
        <w:numPr>
          <w:ilvl w:val="255"/>
          <w:numId w:val="0"/>
        </w:numPr>
        <w:overflowPunct/>
        <w:autoSpaceDE/>
        <w:autoSpaceDN/>
        <w:adjustRightInd/>
        <w:spacing w:before="0"/>
        <w:jc w:val="both"/>
        <w:textAlignment w:val="auto"/>
        <w:rPr>
          <w:rFonts w:eastAsia="SimSun"/>
          <w:lang w:val="en-US" w:eastAsia="zh-CN"/>
        </w:rPr>
      </w:pPr>
    </w:p>
    <w:p w14:paraId="5BAAEA08" w14:textId="77777777" w:rsidR="00FD6D96" w:rsidRDefault="0089085B">
      <w:pPr>
        <w:numPr>
          <w:ilvl w:val="255"/>
          <w:numId w:val="0"/>
        </w:numPr>
        <w:overflowPunct/>
        <w:autoSpaceDE/>
        <w:autoSpaceDN/>
        <w:adjustRightInd/>
        <w:spacing w:before="0"/>
        <w:jc w:val="both"/>
        <w:textAlignment w:val="auto"/>
        <w:rPr>
          <w:rFonts w:eastAsia="SimSun"/>
          <w:lang w:val="en-US" w:eastAsia="zh-CN"/>
        </w:rPr>
      </w:pPr>
      <w:r>
        <w:rPr>
          <w:rFonts w:eastAsia="SimSun"/>
          <w:lang w:val="en-US" w:eastAsia="zh-CN"/>
        </w:rPr>
        <w:t xml:space="preserve">In addition, it is unclear whether </w:t>
      </w:r>
      <w:r>
        <w:rPr>
          <w:rFonts w:eastAsia="SimSun" w:hint="eastAsia"/>
          <w:lang w:val="en-US" w:eastAsia="zh-CN"/>
        </w:rPr>
        <w:t xml:space="preserve">there are </w:t>
      </w:r>
      <w:r>
        <w:rPr>
          <w:rFonts w:eastAsia="SimSun"/>
          <w:lang w:val="en-US" w:eastAsia="zh-CN"/>
        </w:rPr>
        <w:t xml:space="preserve">other </w:t>
      </w:r>
      <w:r>
        <w:rPr>
          <w:rFonts w:eastAsia="SimSun" w:hint="eastAsia"/>
          <w:lang w:val="en-US" w:eastAsia="zh-CN"/>
        </w:rPr>
        <w:t xml:space="preserve">approaches to cooperate with </w:t>
      </w:r>
      <w:r>
        <w:rPr>
          <w:rFonts w:eastAsia="SimSun"/>
          <w:lang w:val="en-US" w:eastAsia="zh-CN"/>
        </w:rPr>
        <w:t>third-party</w:t>
      </w:r>
      <w:r>
        <w:rPr>
          <w:rFonts w:eastAsia="SimSun" w:hint="eastAsia"/>
          <w:lang w:val="en-US" w:eastAsia="zh-CN"/>
        </w:rPr>
        <w:t xml:space="preserve">. If </w:t>
      </w:r>
      <w:r>
        <w:rPr>
          <w:rFonts w:eastAsia="SimSun"/>
          <w:lang w:val="en" w:eastAsia="zh-CN"/>
        </w:rPr>
        <w:t>these activities</w:t>
      </w:r>
      <w:r>
        <w:rPr>
          <w:rFonts w:eastAsia="SimSun" w:hint="eastAsia"/>
          <w:lang w:val="en-US" w:eastAsia="zh-CN"/>
        </w:rPr>
        <w:t xml:space="preserve"> have financial and/or strategic implications, </w:t>
      </w:r>
      <w:r>
        <w:rPr>
          <w:rFonts w:eastAsia="SimSun"/>
          <w:lang w:val="en" w:eastAsia="zh-CN"/>
        </w:rPr>
        <w:t xml:space="preserve">ITU Council </w:t>
      </w:r>
      <w:r>
        <w:rPr>
          <w:rFonts w:eastAsia="SimSun" w:hint="eastAsia"/>
          <w:lang w:val="en-US" w:eastAsia="zh-CN"/>
        </w:rPr>
        <w:t>should</w:t>
      </w:r>
      <w:r>
        <w:rPr>
          <w:rFonts w:eastAsia="SimSun"/>
          <w:lang w:val="en" w:eastAsia="zh-CN"/>
        </w:rPr>
        <w:t xml:space="preserve"> consider</w:t>
      </w:r>
      <w:r>
        <w:rPr>
          <w:rFonts w:eastAsia="SimSun" w:hint="eastAsia"/>
          <w:lang w:val="en-US" w:eastAsia="zh-CN"/>
        </w:rPr>
        <w:t xml:space="preserve"> </w:t>
      </w:r>
      <w:r>
        <w:rPr>
          <w:rFonts w:eastAsia="SimSun"/>
          <w:lang w:val="en" w:eastAsia="zh-CN"/>
        </w:rPr>
        <w:t xml:space="preserve">establishing </w:t>
      </w:r>
      <w:r>
        <w:rPr>
          <w:rFonts w:eastAsia="SimSun" w:hint="eastAsia"/>
          <w:lang w:val="en-US" w:eastAsia="zh-CN"/>
        </w:rPr>
        <w:t>guidelines to mitigate potential risks.</w:t>
      </w:r>
    </w:p>
    <w:p w14:paraId="46E10CCC" w14:textId="77777777" w:rsidR="00FD6D96" w:rsidRDefault="0089085B">
      <w:pPr>
        <w:numPr>
          <w:ilvl w:val="0"/>
          <w:numId w:val="1"/>
        </w:numPr>
        <w:overflowPunct/>
        <w:autoSpaceDE/>
        <w:autoSpaceDN/>
        <w:adjustRightInd/>
        <w:spacing w:before="360"/>
        <w:jc w:val="both"/>
        <w:textAlignment w:val="auto"/>
        <w:rPr>
          <w:rFonts w:eastAsia="SimSun"/>
          <w:b/>
          <w:bCs/>
          <w:szCs w:val="24"/>
          <w:lang w:val="en-US" w:eastAsia="zh-CN"/>
        </w:rPr>
      </w:pPr>
      <w:r>
        <w:rPr>
          <w:rFonts w:eastAsia="SimSun" w:hint="eastAsia"/>
          <w:b/>
          <w:bCs/>
          <w:szCs w:val="24"/>
          <w:lang w:val="en-US" w:eastAsia="zh-CN"/>
        </w:rPr>
        <w:t>Discussion</w:t>
      </w:r>
    </w:p>
    <w:p w14:paraId="42B4CA6C" w14:textId="77777777" w:rsidR="00FD6D96" w:rsidRDefault="00FD6D96">
      <w:pPr>
        <w:overflowPunct/>
        <w:autoSpaceDE/>
        <w:autoSpaceDN/>
        <w:adjustRightInd/>
        <w:spacing w:before="0"/>
        <w:jc w:val="both"/>
        <w:textAlignment w:val="auto"/>
        <w:rPr>
          <w:rFonts w:cs="Calibri"/>
          <w:szCs w:val="24"/>
          <w:lang w:val="en-US" w:eastAsia="zh-CN"/>
        </w:rPr>
      </w:pPr>
    </w:p>
    <w:p w14:paraId="2CC662AF" w14:textId="77777777" w:rsidR="00FD6D96" w:rsidRDefault="0089085B">
      <w:pPr>
        <w:overflowPunct/>
        <w:autoSpaceDE/>
        <w:autoSpaceDN/>
        <w:adjustRightInd/>
        <w:spacing w:before="0"/>
        <w:jc w:val="both"/>
        <w:textAlignment w:val="auto"/>
        <w:rPr>
          <w:rFonts w:eastAsia="SimSun"/>
          <w:b/>
          <w:bCs/>
          <w:szCs w:val="24"/>
          <w:lang w:val="en-US" w:eastAsia="zh-CN"/>
        </w:rPr>
      </w:pPr>
      <w:r>
        <w:rPr>
          <w:rFonts w:cs="Calibri" w:hint="eastAsia"/>
          <w:szCs w:val="24"/>
          <w:lang w:val="en-US" w:eastAsia="zh-CN"/>
        </w:rPr>
        <w:t xml:space="preserve">Cooperating with third-party </w:t>
      </w:r>
      <w:r>
        <w:rPr>
          <w:rFonts w:eastAsia="SimSun" w:cs="Calibri" w:hint="eastAsia"/>
          <w:szCs w:val="24"/>
          <w:lang w:val="en-US" w:eastAsia="zh-CN"/>
        </w:rPr>
        <w:t>that have substantial</w:t>
      </w:r>
      <w:r>
        <w:rPr>
          <w:rFonts w:cs="Calibri"/>
          <w:szCs w:val="24"/>
          <w:lang w:val="en-CA"/>
        </w:rPr>
        <w:t xml:space="preserve"> </w:t>
      </w:r>
      <w:r>
        <w:rPr>
          <w:rFonts w:eastAsia="SimSun" w:cs="Calibri" w:hint="eastAsia"/>
          <w:szCs w:val="24"/>
          <w:lang w:val="en-US" w:eastAsia="zh-CN"/>
        </w:rPr>
        <w:t xml:space="preserve">financial and/or </w:t>
      </w:r>
      <w:r>
        <w:rPr>
          <w:rFonts w:cs="Calibri"/>
          <w:szCs w:val="24"/>
          <w:lang w:val="en-CA"/>
        </w:rPr>
        <w:t>strategic</w:t>
      </w:r>
      <w:r>
        <w:rPr>
          <w:rFonts w:eastAsia="SimSun" w:cs="Calibri" w:hint="eastAsia"/>
          <w:szCs w:val="24"/>
          <w:lang w:val="en-US" w:eastAsia="zh-CN"/>
        </w:rPr>
        <w:t xml:space="preserve"> </w:t>
      </w:r>
      <w:r>
        <w:rPr>
          <w:rFonts w:cs="Calibri"/>
          <w:szCs w:val="24"/>
          <w:lang w:val="en-CA"/>
        </w:rPr>
        <w:t>implications</w:t>
      </w:r>
      <w:r>
        <w:rPr>
          <w:rFonts w:eastAsia="SimSun" w:hint="eastAsia"/>
          <w:b/>
          <w:bCs/>
          <w:szCs w:val="24"/>
          <w:lang w:val="en-US" w:eastAsia="zh-CN"/>
        </w:rPr>
        <w:t xml:space="preserve"> </w:t>
      </w:r>
      <w:r>
        <w:rPr>
          <w:rFonts w:eastAsia="SimSun" w:hint="eastAsia"/>
          <w:szCs w:val="24"/>
          <w:lang w:val="en-US" w:eastAsia="zh-CN"/>
        </w:rPr>
        <w:t xml:space="preserve">may expose ITU to </w:t>
      </w:r>
      <w:r>
        <w:rPr>
          <w:rFonts w:eastAsia="SimSun" w:hint="eastAsia"/>
          <w:szCs w:val="24"/>
          <w:lang w:val="en-US" w:eastAsia="zh-CN"/>
        </w:rPr>
        <w:t>several risks, including but not limited to:</w:t>
      </w:r>
    </w:p>
    <w:p w14:paraId="51C4980F" w14:textId="77777777" w:rsidR="00FD6D96" w:rsidRDefault="00FD6D96">
      <w:pPr>
        <w:overflowPunct/>
        <w:autoSpaceDE/>
        <w:autoSpaceDN/>
        <w:adjustRightInd/>
        <w:spacing w:before="0"/>
        <w:jc w:val="both"/>
        <w:textAlignment w:val="auto"/>
        <w:rPr>
          <w:rFonts w:eastAsia="SimSun"/>
          <w:b/>
          <w:bCs/>
          <w:szCs w:val="24"/>
          <w:lang w:val="en-US" w:eastAsia="zh-CN"/>
        </w:rPr>
      </w:pPr>
    </w:p>
    <w:p w14:paraId="7E0A5209" w14:textId="77777777" w:rsidR="00FD6D96" w:rsidRDefault="0089085B">
      <w:pPr>
        <w:overflowPunct/>
        <w:autoSpaceDE/>
        <w:autoSpaceDN/>
        <w:adjustRightInd/>
        <w:spacing w:before="0"/>
        <w:jc w:val="both"/>
        <w:textAlignment w:val="auto"/>
        <w:rPr>
          <w:rFonts w:eastAsia="SimSun" w:cs="Calibri"/>
          <w:szCs w:val="24"/>
          <w:lang w:val="en-US" w:eastAsia="zh-CN"/>
        </w:rPr>
      </w:pPr>
      <w:r>
        <w:rPr>
          <w:rFonts w:eastAsia="SimSun" w:cs="Calibri" w:hint="eastAsia"/>
          <w:szCs w:val="24"/>
          <w:lang w:val="en-US" w:eastAsia="zh-CN"/>
        </w:rPr>
        <w:t>- Access risk: Third party arrangements that hinder an organization</w:t>
      </w:r>
      <w:r>
        <w:rPr>
          <w:rFonts w:eastAsia="SimSun" w:cs="Calibri"/>
          <w:szCs w:val="24"/>
          <w:lang w:val="en-US" w:eastAsia="zh-CN"/>
        </w:rPr>
        <w:t>’</w:t>
      </w:r>
      <w:r>
        <w:rPr>
          <w:rFonts w:eastAsia="SimSun" w:cs="Calibri" w:hint="eastAsia"/>
          <w:szCs w:val="24"/>
          <w:lang w:val="en-US" w:eastAsia="zh-CN"/>
        </w:rPr>
        <w:t>s ability to provide timely data or information to the Council.</w:t>
      </w:r>
    </w:p>
    <w:p w14:paraId="6CFA1442" w14:textId="77777777" w:rsidR="00FD6D96" w:rsidRDefault="00FD6D96">
      <w:pPr>
        <w:overflowPunct/>
        <w:autoSpaceDE/>
        <w:autoSpaceDN/>
        <w:adjustRightInd/>
        <w:spacing w:before="0"/>
        <w:jc w:val="both"/>
        <w:textAlignment w:val="auto"/>
        <w:rPr>
          <w:rFonts w:eastAsia="SimSun" w:cs="Calibri"/>
          <w:szCs w:val="24"/>
          <w:lang w:val="en-US" w:eastAsia="zh-CN"/>
        </w:rPr>
      </w:pPr>
    </w:p>
    <w:p w14:paraId="50E824E2" w14:textId="77777777" w:rsidR="00FD6D96" w:rsidRDefault="0089085B">
      <w:pPr>
        <w:overflowPunct/>
        <w:autoSpaceDE/>
        <w:autoSpaceDN/>
        <w:adjustRightInd/>
        <w:spacing w:before="0"/>
        <w:jc w:val="both"/>
        <w:textAlignment w:val="auto"/>
        <w:rPr>
          <w:rFonts w:eastAsia="SimSun" w:cs="Calibri"/>
          <w:szCs w:val="24"/>
          <w:lang w:val="en-US" w:eastAsia="zh-CN"/>
        </w:rPr>
      </w:pPr>
      <w:r>
        <w:rPr>
          <w:rFonts w:eastAsia="SimSun" w:cs="Calibri" w:hint="eastAsia"/>
          <w:szCs w:val="24"/>
          <w:lang w:val="en-US" w:eastAsia="zh-CN"/>
        </w:rPr>
        <w:t>- Compliance risk: The risk arising from violations of laws (including privacy laws), rules or regulations, or from noncompliance with ITU</w:t>
      </w:r>
      <w:r>
        <w:rPr>
          <w:rFonts w:eastAsia="SimSun" w:cs="Calibri"/>
          <w:szCs w:val="24"/>
          <w:lang w:val="en-US" w:eastAsia="zh-CN"/>
        </w:rPr>
        <w:t>’</w:t>
      </w:r>
      <w:r>
        <w:rPr>
          <w:rFonts w:eastAsia="SimSun" w:cs="Calibri" w:hint="eastAsia"/>
          <w:szCs w:val="24"/>
          <w:lang w:val="en-US" w:eastAsia="zh-CN"/>
        </w:rPr>
        <w:t xml:space="preserve">s internal policies, </w:t>
      </w:r>
      <w:proofErr w:type="gramStart"/>
      <w:r>
        <w:rPr>
          <w:rFonts w:eastAsia="SimSun" w:cs="Calibri" w:hint="eastAsia"/>
          <w:szCs w:val="24"/>
          <w:lang w:val="en-US" w:eastAsia="zh-CN"/>
        </w:rPr>
        <w:t>procedures</w:t>
      </w:r>
      <w:proofErr w:type="gramEnd"/>
      <w:r>
        <w:rPr>
          <w:rFonts w:eastAsia="SimSun" w:cs="Calibri" w:hint="eastAsia"/>
          <w:szCs w:val="24"/>
          <w:lang w:val="en-US" w:eastAsia="zh-CN"/>
        </w:rPr>
        <w:t xml:space="preserve"> or business standards.</w:t>
      </w:r>
    </w:p>
    <w:p w14:paraId="74DBC425" w14:textId="77777777" w:rsidR="00FD6D96" w:rsidRDefault="00FD6D96">
      <w:pPr>
        <w:overflowPunct/>
        <w:autoSpaceDE/>
        <w:autoSpaceDN/>
        <w:adjustRightInd/>
        <w:spacing w:before="0"/>
        <w:jc w:val="both"/>
        <w:textAlignment w:val="auto"/>
        <w:rPr>
          <w:rFonts w:eastAsia="SimSun" w:cs="Calibri"/>
          <w:szCs w:val="24"/>
          <w:lang w:val="en-US" w:eastAsia="zh-CN"/>
        </w:rPr>
      </w:pPr>
    </w:p>
    <w:p w14:paraId="2E00BBAD" w14:textId="77777777" w:rsidR="00FD6D96" w:rsidRDefault="0089085B">
      <w:pPr>
        <w:overflowPunct/>
        <w:autoSpaceDE/>
        <w:autoSpaceDN/>
        <w:adjustRightInd/>
        <w:spacing w:before="0"/>
        <w:jc w:val="both"/>
        <w:textAlignment w:val="auto"/>
        <w:rPr>
          <w:rFonts w:eastAsia="SimSun" w:cs="Calibri"/>
          <w:szCs w:val="24"/>
          <w:lang w:val="en-US" w:eastAsia="zh-CN"/>
        </w:rPr>
      </w:pPr>
      <w:r>
        <w:rPr>
          <w:rFonts w:eastAsia="SimSun" w:cs="Calibri" w:hint="eastAsia"/>
          <w:szCs w:val="24"/>
          <w:lang w:val="en-US" w:eastAsia="zh-CN"/>
        </w:rPr>
        <w:lastRenderedPageBreak/>
        <w:t xml:space="preserve">- Reputational risk: The risk arising from negative public opinion that can emanate from: unsatisfactory vendor performance; unexpected financial loss; violations of laws and </w:t>
      </w:r>
      <w:proofErr w:type="gramStart"/>
      <w:r>
        <w:rPr>
          <w:rFonts w:eastAsia="SimSun" w:cs="Calibri" w:hint="eastAsia"/>
          <w:szCs w:val="24"/>
          <w:lang w:val="en-US" w:eastAsia="zh-CN"/>
        </w:rPr>
        <w:t>regulations;</w:t>
      </w:r>
      <w:proofErr w:type="gramEnd"/>
    </w:p>
    <w:p w14:paraId="6D2C959D" w14:textId="77777777" w:rsidR="00FD6D96" w:rsidRDefault="00FD6D96">
      <w:pPr>
        <w:overflowPunct/>
        <w:autoSpaceDE/>
        <w:autoSpaceDN/>
        <w:adjustRightInd/>
        <w:spacing w:before="0"/>
        <w:jc w:val="both"/>
        <w:textAlignment w:val="auto"/>
        <w:rPr>
          <w:rFonts w:eastAsia="SimSun" w:cs="Calibri"/>
          <w:szCs w:val="24"/>
          <w:lang w:val="en-US" w:eastAsia="zh-CN"/>
        </w:rPr>
      </w:pPr>
    </w:p>
    <w:p w14:paraId="6274A9F6" w14:textId="77777777" w:rsidR="00FD6D96" w:rsidRDefault="0089085B">
      <w:pPr>
        <w:overflowPunct/>
        <w:autoSpaceDE/>
        <w:autoSpaceDN/>
        <w:adjustRightInd/>
        <w:spacing w:before="0"/>
        <w:jc w:val="both"/>
        <w:textAlignment w:val="auto"/>
        <w:rPr>
          <w:rFonts w:eastAsia="SimSun" w:cs="Calibri"/>
          <w:szCs w:val="24"/>
          <w:lang w:val="en-US" w:eastAsia="zh-CN"/>
        </w:rPr>
      </w:pPr>
      <w:r>
        <w:rPr>
          <w:rFonts w:eastAsia="SimSun" w:cs="Calibri" w:hint="eastAsia"/>
          <w:szCs w:val="24"/>
          <w:lang w:val="en-US" w:eastAsia="zh-CN"/>
        </w:rPr>
        <w:t>- Strategic risk:</w:t>
      </w:r>
      <w:r>
        <w:rPr>
          <w:rFonts w:eastAsia="SimSun" w:cs="Calibri"/>
          <w:szCs w:val="24"/>
          <w:lang w:val="en-US" w:eastAsia="zh-CN"/>
        </w:rPr>
        <w:t xml:space="preserve"> </w:t>
      </w:r>
      <w:r>
        <w:rPr>
          <w:rFonts w:eastAsia="SimSun" w:cs="Calibri" w:hint="eastAsia"/>
          <w:szCs w:val="24"/>
          <w:lang w:val="en-US" w:eastAsia="zh-CN"/>
        </w:rPr>
        <w:t xml:space="preserve">The third-party may conduct activities on its own behalf that are inconsistent with the overall strategic goals of ITU. </w:t>
      </w:r>
    </w:p>
    <w:p w14:paraId="30A91B02" w14:textId="77777777" w:rsidR="00FD6D96" w:rsidRDefault="00FD6D96">
      <w:pPr>
        <w:overflowPunct/>
        <w:autoSpaceDE/>
        <w:autoSpaceDN/>
        <w:adjustRightInd/>
        <w:spacing w:before="0"/>
        <w:jc w:val="both"/>
        <w:textAlignment w:val="auto"/>
        <w:rPr>
          <w:rFonts w:eastAsia="SimSun" w:cs="Calibri"/>
          <w:szCs w:val="24"/>
          <w:lang w:val="en-US" w:eastAsia="zh-CN"/>
        </w:rPr>
      </w:pPr>
    </w:p>
    <w:p w14:paraId="627DF0FE" w14:textId="77777777" w:rsidR="00FD6D96" w:rsidRDefault="0089085B">
      <w:pPr>
        <w:overflowPunct/>
        <w:autoSpaceDE/>
        <w:autoSpaceDN/>
        <w:adjustRightInd/>
        <w:spacing w:before="0"/>
        <w:jc w:val="both"/>
        <w:textAlignment w:val="auto"/>
        <w:rPr>
          <w:rFonts w:eastAsia="SimSun" w:cs="Calibri"/>
          <w:szCs w:val="24"/>
          <w:lang w:val="en-US" w:eastAsia="zh-CN"/>
        </w:rPr>
      </w:pPr>
      <w:r>
        <w:t xml:space="preserve">Transparency promotes accountability and contributes to building ITU Members’ knowledge and trust in ITU’s activities. </w:t>
      </w:r>
      <w:proofErr w:type="gramStart"/>
      <w:r>
        <w:rPr>
          <w:rFonts w:eastAsia="SimSun" w:cs="Calibri" w:hint="eastAsia"/>
          <w:szCs w:val="24"/>
          <w:lang w:val="en-US" w:eastAsia="zh-CN"/>
        </w:rPr>
        <w:t>In order to</w:t>
      </w:r>
      <w:proofErr w:type="gramEnd"/>
      <w:r>
        <w:rPr>
          <w:rFonts w:eastAsia="SimSun" w:cs="Calibri" w:hint="eastAsia"/>
          <w:szCs w:val="24"/>
          <w:lang w:val="en-US" w:eastAsia="zh-CN"/>
        </w:rPr>
        <w:t xml:space="preserve"> better deal with related risks, it is of great importance to formulate guidelines for ITU</w:t>
      </w:r>
      <w:r>
        <w:rPr>
          <w:rFonts w:eastAsia="SimSun" w:cs="Calibri"/>
          <w:szCs w:val="24"/>
          <w:lang w:val="en-US" w:eastAsia="zh-CN"/>
        </w:rPr>
        <w:t>’</w:t>
      </w:r>
      <w:r>
        <w:rPr>
          <w:rFonts w:eastAsia="SimSun" w:cs="Calibri" w:hint="eastAsia"/>
          <w:szCs w:val="24"/>
          <w:lang w:val="en-US" w:eastAsia="zh-CN"/>
        </w:rPr>
        <w:t xml:space="preserve">s </w:t>
      </w:r>
      <w:r>
        <w:rPr>
          <w:rFonts w:cs="Calibri" w:hint="eastAsia"/>
          <w:szCs w:val="24"/>
          <w:lang w:val="en-US" w:eastAsia="zh-CN"/>
        </w:rPr>
        <w:t xml:space="preserve">cooperation with third-party </w:t>
      </w:r>
      <w:r>
        <w:rPr>
          <w:rFonts w:eastAsia="SimSun" w:cs="Calibri" w:hint="eastAsia"/>
          <w:szCs w:val="24"/>
          <w:lang w:val="en-US" w:eastAsia="zh-CN"/>
        </w:rPr>
        <w:t>that have substantial</w:t>
      </w:r>
      <w:r>
        <w:rPr>
          <w:rFonts w:cs="Calibri"/>
          <w:szCs w:val="24"/>
          <w:lang w:val="en-CA"/>
        </w:rPr>
        <w:t xml:space="preserve"> </w:t>
      </w:r>
      <w:r>
        <w:rPr>
          <w:rFonts w:eastAsia="SimSun" w:cs="Calibri" w:hint="eastAsia"/>
          <w:szCs w:val="24"/>
          <w:lang w:val="en-US" w:eastAsia="zh-CN"/>
        </w:rPr>
        <w:t xml:space="preserve">financial and/or </w:t>
      </w:r>
      <w:r>
        <w:rPr>
          <w:rFonts w:cs="Calibri"/>
          <w:szCs w:val="24"/>
          <w:lang w:val="en-CA"/>
        </w:rPr>
        <w:t>strategic</w:t>
      </w:r>
      <w:r>
        <w:rPr>
          <w:rFonts w:eastAsia="SimSun" w:cs="Calibri" w:hint="eastAsia"/>
          <w:szCs w:val="24"/>
          <w:lang w:val="en-US" w:eastAsia="zh-CN"/>
        </w:rPr>
        <w:t xml:space="preserve"> </w:t>
      </w:r>
      <w:r>
        <w:rPr>
          <w:rFonts w:cs="Calibri"/>
          <w:szCs w:val="24"/>
          <w:lang w:val="en-CA"/>
        </w:rPr>
        <w:t>implications</w:t>
      </w:r>
      <w:r>
        <w:rPr>
          <w:rFonts w:eastAsia="SimSun" w:cs="Calibri" w:hint="eastAsia"/>
          <w:szCs w:val="24"/>
          <w:lang w:val="en-US" w:eastAsia="zh-CN"/>
        </w:rPr>
        <w:t>.</w:t>
      </w:r>
    </w:p>
    <w:p w14:paraId="1493353D" w14:textId="77777777" w:rsidR="00FD6D96" w:rsidRDefault="0089085B">
      <w:pPr>
        <w:overflowPunct/>
        <w:autoSpaceDE/>
        <w:autoSpaceDN/>
        <w:adjustRightInd/>
        <w:spacing w:before="360"/>
        <w:jc w:val="both"/>
        <w:textAlignment w:val="auto"/>
        <w:rPr>
          <w:rFonts w:eastAsia="SimSun" w:cs="Calibri"/>
          <w:szCs w:val="24"/>
          <w:lang w:val="en-US" w:eastAsia="zh-CN"/>
        </w:rPr>
      </w:pPr>
      <w:r>
        <w:rPr>
          <w:rFonts w:eastAsia="SimSun" w:hint="eastAsia"/>
          <w:b/>
          <w:bCs/>
          <w:lang w:val="en-US" w:eastAsia="zh-CN"/>
        </w:rPr>
        <w:t>3. Proposals</w:t>
      </w:r>
    </w:p>
    <w:p w14:paraId="6E6E2D63" w14:textId="77777777" w:rsidR="00FD6D96" w:rsidRDefault="0089085B">
      <w:pPr>
        <w:overflowPunct/>
        <w:autoSpaceDE/>
        <w:autoSpaceDN/>
        <w:adjustRightInd/>
        <w:spacing w:before="0" w:after="160"/>
        <w:jc w:val="both"/>
        <w:textAlignment w:val="auto"/>
        <w:rPr>
          <w:rFonts w:cs="Calibri"/>
          <w:szCs w:val="24"/>
          <w:lang w:val="en-US" w:eastAsia="zh-CN"/>
        </w:rPr>
      </w:pPr>
      <w:r>
        <w:rPr>
          <w:rFonts w:eastAsia="SimSun" w:cs="Calibri" w:hint="eastAsia"/>
          <w:szCs w:val="24"/>
          <w:lang w:val="en-US" w:eastAsia="zh-CN"/>
        </w:rPr>
        <w:t xml:space="preserve">To </w:t>
      </w:r>
      <w:r>
        <w:rPr>
          <w:rFonts w:cs="Calibri" w:hint="eastAsia"/>
          <w:szCs w:val="24"/>
          <w:lang w:val="en-US" w:eastAsia="zh-CN"/>
        </w:rPr>
        <w:t>promote transparency and accountability of the Union, it is advised that:</w:t>
      </w:r>
    </w:p>
    <w:p w14:paraId="13D03311" w14:textId="77777777" w:rsidR="00FD6D96" w:rsidRDefault="0089085B">
      <w:pPr>
        <w:numPr>
          <w:ilvl w:val="0"/>
          <w:numId w:val="3"/>
        </w:numPr>
        <w:overflowPunct/>
        <w:autoSpaceDE/>
        <w:autoSpaceDN/>
        <w:adjustRightInd/>
        <w:spacing w:before="0" w:after="160"/>
        <w:jc w:val="both"/>
        <w:textAlignment w:val="auto"/>
        <w:rPr>
          <w:rFonts w:eastAsia="SimSun" w:cs="Calibri"/>
          <w:szCs w:val="24"/>
          <w:lang w:val="en-US" w:eastAsia="zh-CN"/>
        </w:rPr>
      </w:pPr>
      <w:r>
        <w:rPr>
          <w:rFonts w:cs="Calibri" w:hint="eastAsia"/>
          <w:szCs w:val="24"/>
          <w:lang w:val="en-US" w:eastAsia="zh-CN"/>
        </w:rPr>
        <w:t xml:space="preserve"> Pursuant to the proposed actions in CWG-FHR 17/11, the General Secretariat is kindly invited to prepare a comprehensive report to </w:t>
      </w:r>
      <w:r>
        <w:rPr>
          <w:rFonts w:eastAsia="SimSun" w:cs="Calibri" w:hint="eastAsia"/>
          <w:szCs w:val="24"/>
          <w:lang w:val="en-US" w:eastAsia="zh-CN"/>
        </w:rPr>
        <w:t>the 2024 ordinary session of ITU Council</w:t>
      </w:r>
      <w:r>
        <w:rPr>
          <w:rFonts w:cs="Calibri" w:hint="eastAsia"/>
          <w:szCs w:val="24"/>
          <w:lang w:val="en-US" w:eastAsia="zh-CN"/>
        </w:rPr>
        <w:t>, regarding the status of ITU</w:t>
      </w:r>
      <w:r>
        <w:rPr>
          <w:rFonts w:cs="Calibri"/>
          <w:szCs w:val="24"/>
          <w:lang w:val="en-US" w:eastAsia="zh-CN"/>
        </w:rPr>
        <w:t>’</w:t>
      </w:r>
      <w:r>
        <w:rPr>
          <w:rFonts w:cs="Calibri" w:hint="eastAsia"/>
          <w:szCs w:val="24"/>
          <w:lang w:val="en-US" w:eastAsia="zh-CN"/>
        </w:rPr>
        <w:t xml:space="preserve">s current cooperation with </w:t>
      </w:r>
      <w:proofErr w:type="gramStart"/>
      <w:r>
        <w:rPr>
          <w:rFonts w:cs="Calibri" w:hint="eastAsia"/>
          <w:szCs w:val="24"/>
          <w:lang w:val="en-US" w:eastAsia="zh-CN"/>
        </w:rPr>
        <w:t>third-parties</w:t>
      </w:r>
      <w:proofErr w:type="gramEnd"/>
      <w:r>
        <w:rPr>
          <w:rFonts w:cs="Calibri" w:hint="eastAsia"/>
          <w:szCs w:val="24"/>
          <w:lang w:val="en-US" w:eastAsia="zh-CN"/>
        </w:rPr>
        <w:t xml:space="preserve"> that have substantial </w:t>
      </w:r>
      <w:r>
        <w:rPr>
          <w:rFonts w:eastAsia="SimSun" w:cs="Calibri" w:hint="eastAsia"/>
          <w:szCs w:val="24"/>
          <w:lang w:val="en-US" w:eastAsia="zh-CN"/>
        </w:rPr>
        <w:t xml:space="preserve">financial and/or </w:t>
      </w:r>
      <w:r>
        <w:rPr>
          <w:rFonts w:cs="Calibri"/>
          <w:szCs w:val="24"/>
          <w:lang w:val="en-CA"/>
        </w:rPr>
        <w:t>strategic</w:t>
      </w:r>
      <w:r>
        <w:rPr>
          <w:rFonts w:eastAsia="SimSun" w:cs="Calibri" w:hint="eastAsia"/>
          <w:szCs w:val="24"/>
          <w:lang w:val="en-US" w:eastAsia="zh-CN"/>
        </w:rPr>
        <w:t xml:space="preserve"> </w:t>
      </w:r>
      <w:r>
        <w:rPr>
          <w:rFonts w:cs="Calibri"/>
          <w:szCs w:val="24"/>
          <w:lang w:val="en-CA"/>
        </w:rPr>
        <w:t>implications</w:t>
      </w:r>
      <w:r>
        <w:rPr>
          <w:rFonts w:cs="Calibri" w:hint="eastAsia"/>
          <w:szCs w:val="24"/>
          <w:lang w:val="en-US" w:eastAsia="zh-CN"/>
        </w:rPr>
        <w:t xml:space="preserve">. The report should include, but not limited to the </w:t>
      </w:r>
      <w:proofErr w:type="gramStart"/>
      <w:r>
        <w:rPr>
          <w:rFonts w:cs="Calibri" w:hint="eastAsia"/>
          <w:szCs w:val="24"/>
          <w:lang w:val="en-US" w:eastAsia="zh-CN"/>
        </w:rPr>
        <w:t>partners(</w:t>
      </w:r>
      <w:proofErr w:type="gramEnd"/>
      <w:r>
        <w:rPr>
          <w:rFonts w:cs="Calibri" w:hint="eastAsia"/>
          <w:szCs w:val="24"/>
          <w:lang w:val="en-US" w:eastAsia="zh-CN"/>
        </w:rPr>
        <w:t xml:space="preserve">from both sides), financial implications, service orders (if any), duration, and outcomes. </w:t>
      </w:r>
    </w:p>
    <w:p w14:paraId="3543CFA5" w14:textId="77777777" w:rsidR="00FD6D96" w:rsidRDefault="0089085B">
      <w:pPr>
        <w:numPr>
          <w:ilvl w:val="0"/>
          <w:numId w:val="3"/>
        </w:numPr>
        <w:overflowPunct/>
        <w:autoSpaceDE/>
        <w:autoSpaceDN/>
        <w:adjustRightInd/>
        <w:spacing w:before="0" w:after="160"/>
        <w:jc w:val="both"/>
        <w:textAlignment w:val="auto"/>
        <w:rPr>
          <w:rFonts w:cs="Calibri"/>
          <w:szCs w:val="24"/>
          <w:lang w:val="en-CA"/>
        </w:rPr>
      </w:pPr>
      <w:r>
        <w:rPr>
          <w:rFonts w:cs="Calibri" w:hint="eastAsia"/>
          <w:szCs w:val="24"/>
          <w:lang w:val="en-US" w:eastAsia="zh-CN"/>
        </w:rPr>
        <w:t>The General Secretariat is advised to d</w:t>
      </w:r>
      <w:r>
        <w:rPr>
          <w:rFonts w:eastAsia="SimSun" w:cs="Calibri" w:hint="eastAsia"/>
          <w:szCs w:val="24"/>
          <w:lang w:val="en-US" w:eastAsia="zh-CN"/>
        </w:rPr>
        <w:t>evelop guidelines</w:t>
      </w:r>
      <w:r>
        <w:rPr>
          <w:rFonts w:cs="Calibri" w:hint="eastAsia"/>
          <w:szCs w:val="24"/>
          <w:lang w:val="en-US" w:eastAsia="zh-CN"/>
        </w:rPr>
        <w:t xml:space="preserve"> for cooperation with </w:t>
      </w:r>
      <w:proofErr w:type="gramStart"/>
      <w:r>
        <w:rPr>
          <w:rFonts w:cs="Calibri" w:hint="eastAsia"/>
          <w:szCs w:val="24"/>
          <w:lang w:val="en-US" w:eastAsia="zh-CN"/>
        </w:rPr>
        <w:t>third-parties</w:t>
      </w:r>
      <w:proofErr w:type="gramEnd"/>
      <w:r>
        <w:rPr>
          <w:rFonts w:cs="Calibri" w:hint="eastAsia"/>
          <w:szCs w:val="24"/>
          <w:lang w:val="en-US" w:eastAsia="zh-CN"/>
        </w:rPr>
        <w:t xml:space="preserve"> </w:t>
      </w:r>
      <w:r>
        <w:rPr>
          <w:rFonts w:eastAsia="SimSun" w:cs="Calibri" w:hint="eastAsia"/>
          <w:szCs w:val="24"/>
          <w:lang w:val="en-US" w:eastAsia="zh-CN"/>
        </w:rPr>
        <w:t>that have substantial</w:t>
      </w:r>
      <w:r>
        <w:rPr>
          <w:rFonts w:cs="Calibri"/>
          <w:szCs w:val="24"/>
          <w:lang w:val="en-CA"/>
        </w:rPr>
        <w:t xml:space="preserve"> </w:t>
      </w:r>
      <w:r>
        <w:rPr>
          <w:rFonts w:eastAsia="SimSun" w:cs="Calibri" w:hint="eastAsia"/>
          <w:szCs w:val="24"/>
          <w:lang w:val="en-US" w:eastAsia="zh-CN"/>
        </w:rPr>
        <w:t xml:space="preserve">financial and/or </w:t>
      </w:r>
      <w:r>
        <w:rPr>
          <w:rFonts w:cs="Calibri"/>
          <w:szCs w:val="24"/>
          <w:lang w:val="en-CA"/>
        </w:rPr>
        <w:t>strategic</w:t>
      </w:r>
      <w:r>
        <w:rPr>
          <w:rFonts w:eastAsia="SimSun" w:cs="Calibri" w:hint="eastAsia"/>
          <w:szCs w:val="24"/>
          <w:lang w:val="en-US" w:eastAsia="zh-CN"/>
        </w:rPr>
        <w:t xml:space="preserve"> </w:t>
      </w:r>
      <w:r>
        <w:rPr>
          <w:rFonts w:cs="Calibri"/>
          <w:szCs w:val="24"/>
          <w:lang w:val="en-CA"/>
        </w:rPr>
        <w:t>implications</w:t>
      </w:r>
      <w:r>
        <w:rPr>
          <w:rFonts w:eastAsia="SimSun" w:cs="Calibri" w:hint="eastAsia"/>
          <w:szCs w:val="24"/>
          <w:lang w:val="en-US" w:eastAsia="zh-CN"/>
        </w:rPr>
        <w:t xml:space="preserve"> to the Union, and submit to the next CWG-FHR for discussion.</w:t>
      </w:r>
    </w:p>
    <w:p w14:paraId="0581B6D3" w14:textId="77777777" w:rsidR="00FD6D96" w:rsidRDefault="0089085B">
      <w:pPr>
        <w:overflowPunct/>
        <w:autoSpaceDE/>
        <w:autoSpaceDN/>
        <w:adjustRightInd/>
        <w:spacing w:before="0" w:after="160"/>
        <w:jc w:val="center"/>
        <w:textAlignment w:val="auto"/>
        <w:rPr>
          <w:rFonts w:cs="Calibri"/>
          <w:szCs w:val="24"/>
          <w:lang w:val="en-CA"/>
        </w:rPr>
      </w:pPr>
      <w:r>
        <w:rPr>
          <w:rFonts w:eastAsia="SimSun" w:cs="Calibri"/>
          <w:szCs w:val="24"/>
          <w:lang w:val="en-US" w:eastAsia="zh-CN"/>
        </w:rPr>
        <w:t>__________________</w:t>
      </w:r>
    </w:p>
    <w:sectPr w:rsidR="00FD6D96">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910F5" w14:textId="77777777" w:rsidR="0089085B" w:rsidRDefault="0089085B">
      <w:pPr>
        <w:spacing w:before="0"/>
      </w:pPr>
      <w:r>
        <w:separator/>
      </w:r>
    </w:p>
  </w:endnote>
  <w:endnote w:type="continuationSeparator" w:id="0">
    <w:p w14:paraId="552EA378" w14:textId="77777777" w:rsidR="0089085B" w:rsidRDefault="0089085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charset w:val="00"/>
    <w:family w:val="swiss"/>
    <w:pitch w:val="default"/>
    <w:sig w:usb0="00000000"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D6D96" w14:paraId="44FA61EB" w14:textId="77777777">
      <w:trPr>
        <w:jc w:val="center"/>
      </w:trPr>
      <w:tc>
        <w:tcPr>
          <w:tcW w:w="1803" w:type="dxa"/>
          <w:vAlign w:val="center"/>
        </w:tcPr>
        <w:p w14:paraId="75E6AFDD" w14:textId="77777777" w:rsidR="00FD6D96" w:rsidRDefault="00FD6D96">
          <w:pPr>
            <w:pStyle w:val="Header"/>
            <w:jc w:val="left"/>
            <w:rPr>
              <w:rFonts w:eastAsiaTheme="minorHAnsi" w:cstheme="minorBidi"/>
              <w:color w:val="7F7F7F" w:themeColor="text1" w:themeTint="80"/>
            </w:rPr>
          </w:pPr>
        </w:p>
      </w:tc>
      <w:tc>
        <w:tcPr>
          <w:tcW w:w="8261" w:type="dxa"/>
        </w:tcPr>
        <w:p w14:paraId="2DF5ACFE" w14:textId="46C36B10" w:rsidR="00FD6D96" w:rsidRDefault="0089085B">
          <w:pPr>
            <w:pStyle w:val="Header"/>
            <w:tabs>
              <w:tab w:val="left" w:pos="6028"/>
              <w:tab w:val="right" w:pos="8505"/>
              <w:tab w:val="right" w:pos="9639"/>
            </w:tabs>
            <w:jc w:val="left"/>
            <w:rPr>
              <w:rFonts w:ascii="Arial" w:eastAsiaTheme="minorHAnsi" w:hAnsi="Arial" w:cs="Arial"/>
              <w:b/>
              <w:bCs/>
              <w:color w:val="7F7F7F" w:themeColor="text1" w:themeTint="80"/>
              <w:szCs w:val="18"/>
            </w:rPr>
          </w:pPr>
          <w:r>
            <w:rPr>
              <w:rFonts w:eastAsiaTheme="minorHAnsi" w:cstheme="minorBidi"/>
              <w:bCs/>
              <w:color w:val="7F7F7F" w:themeColor="text1" w:themeTint="80"/>
            </w:rPr>
            <w:tab/>
            <w:t>CWG-FHR-17/20(Rev.1)</w:t>
          </w:r>
          <w:r>
            <w:rPr>
              <w:rFonts w:eastAsiaTheme="minorHAnsi" w:cstheme="minorBidi"/>
              <w:bCs/>
              <w:color w:val="7F7F7F" w:themeColor="text1" w:themeTint="80"/>
            </w:rPr>
            <w:t>-E</w:t>
          </w:r>
          <w:r>
            <w:rPr>
              <w:rFonts w:eastAsiaTheme="minorHAnsi" w:cstheme="minorBidi"/>
              <w:bCs/>
              <w:color w:val="7F7F7F" w:themeColor="text1" w:themeTint="80"/>
            </w:rPr>
            <w:tab/>
          </w:r>
          <w:r>
            <w:rPr>
              <w:rFonts w:eastAsiaTheme="minorHAnsi" w:cstheme="minorBidi"/>
              <w:color w:val="7F7F7F" w:themeColor="text1" w:themeTint="80"/>
            </w:rPr>
            <w:fldChar w:fldCharType="begin"/>
          </w:r>
          <w:r>
            <w:rPr>
              <w:rFonts w:eastAsiaTheme="minorHAnsi" w:cstheme="minorBidi"/>
              <w:color w:val="7F7F7F" w:themeColor="text1" w:themeTint="80"/>
            </w:rPr>
            <w:instrText>PAGE</w:instrText>
          </w:r>
          <w:r>
            <w:rPr>
              <w:rFonts w:eastAsiaTheme="minorHAnsi" w:cstheme="minorBidi"/>
              <w:color w:val="7F7F7F" w:themeColor="text1" w:themeTint="80"/>
            </w:rPr>
            <w:fldChar w:fldCharType="separate"/>
          </w:r>
          <w:r>
            <w:rPr>
              <w:rFonts w:eastAsiaTheme="minorHAnsi" w:cstheme="minorBidi"/>
              <w:color w:val="7F7F7F" w:themeColor="text1" w:themeTint="80"/>
            </w:rPr>
            <w:t>1</w:t>
          </w:r>
          <w:r>
            <w:rPr>
              <w:rFonts w:eastAsiaTheme="minorHAnsi" w:cstheme="minorBidi"/>
              <w:color w:val="7F7F7F" w:themeColor="text1" w:themeTint="80"/>
            </w:rPr>
            <w:fldChar w:fldCharType="end"/>
          </w:r>
        </w:p>
      </w:tc>
    </w:tr>
  </w:tbl>
  <w:p w14:paraId="548B3F73" w14:textId="77777777" w:rsidR="00FD6D96" w:rsidRDefault="00FD6D96">
    <w:pPr>
      <w:pStyle w:val="Header"/>
      <w:tabs>
        <w:tab w:val="left" w:pos="8080"/>
        <w:tab w:val="right" w:pos="9072"/>
      </w:tabs>
      <w:jc w:val="left"/>
      <w:rPr>
        <w:bCs/>
        <w:color w:val="7F7F7F" w:themeColor="text1" w:themeTint="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FD6D96" w14:paraId="4892EFA7" w14:textId="77777777">
      <w:trPr>
        <w:jc w:val="center"/>
      </w:trPr>
      <w:tc>
        <w:tcPr>
          <w:tcW w:w="3107" w:type="dxa"/>
          <w:vAlign w:val="center"/>
        </w:tcPr>
        <w:p w14:paraId="1F413B64" w14:textId="77777777" w:rsidR="00FD6D96" w:rsidRDefault="0089085B">
          <w:pPr>
            <w:pStyle w:val="Header"/>
            <w:jc w:val="left"/>
            <w:rPr>
              <w:rFonts w:eastAsiaTheme="minorHAnsi" w:cstheme="minorBidi"/>
              <w:color w:val="7F7F7F" w:themeColor="text1" w:themeTint="80"/>
            </w:rPr>
          </w:pPr>
          <w:r>
            <w:rPr>
              <w:rFonts w:eastAsiaTheme="minorHAnsi" w:cstheme="minorBidi"/>
              <w:color w:val="0070C0"/>
              <w14:textFill>
                <w14:solidFill>
                  <w14:srgbClr w14:val="0070C0">
                    <w14:lumMod w14:val="50000"/>
                    <w14:lumOff w14:val="50000"/>
                  </w14:srgbClr>
                </w14:solidFill>
              </w14:textFill>
            </w:rPr>
            <w:t>https://council.itu.int/working-groups</w:t>
          </w:r>
        </w:p>
      </w:tc>
      <w:tc>
        <w:tcPr>
          <w:tcW w:w="6957" w:type="dxa"/>
        </w:tcPr>
        <w:p w14:paraId="249022C7" w14:textId="0F831DF2" w:rsidR="00FD6D96" w:rsidRDefault="0089085B">
          <w:pPr>
            <w:pStyle w:val="Header"/>
            <w:tabs>
              <w:tab w:val="left" w:pos="4718"/>
              <w:tab w:val="right" w:pos="8505"/>
              <w:tab w:val="right" w:pos="9639"/>
            </w:tabs>
            <w:jc w:val="left"/>
            <w:rPr>
              <w:rFonts w:ascii="Arial" w:eastAsiaTheme="minorHAnsi" w:hAnsi="Arial" w:cs="Arial"/>
              <w:b/>
              <w:bCs/>
              <w:color w:val="7F7F7F" w:themeColor="text1" w:themeTint="80"/>
              <w:szCs w:val="18"/>
            </w:rPr>
          </w:pPr>
          <w:r>
            <w:rPr>
              <w:rFonts w:eastAsiaTheme="minorHAnsi" w:cstheme="minorBidi"/>
              <w:bCs/>
              <w:color w:val="7F7F7F" w:themeColor="text1" w:themeTint="80"/>
            </w:rPr>
            <w:tab/>
            <w:t>CWG-FHR-17/20(Rev.1)</w:t>
          </w:r>
          <w:r>
            <w:rPr>
              <w:rFonts w:eastAsiaTheme="minorHAnsi" w:cstheme="minorBidi"/>
              <w:bCs/>
              <w:color w:val="7F7F7F" w:themeColor="text1" w:themeTint="80"/>
            </w:rPr>
            <w:t>-E</w:t>
          </w:r>
          <w:r>
            <w:rPr>
              <w:rFonts w:eastAsiaTheme="minorHAnsi" w:cstheme="minorBidi"/>
              <w:bCs/>
              <w:color w:val="7F7F7F" w:themeColor="text1" w:themeTint="80"/>
            </w:rPr>
            <w:tab/>
          </w:r>
          <w:r>
            <w:rPr>
              <w:rFonts w:eastAsiaTheme="minorHAnsi" w:cstheme="minorBidi"/>
              <w:color w:val="7F7F7F" w:themeColor="text1" w:themeTint="80"/>
            </w:rPr>
            <w:fldChar w:fldCharType="begin"/>
          </w:r>
          <w:r>
            <w:rPr>
              <w:rFonts w:eastAsiaTheme="minorHAnsi" w:cstheme="minorBidi"/>
              <w:color w:val="7F7F7F" w:themeColor="text1" w:themeTint="80"/>
            </w:rPr>
            <w:instrText>PAGE</w:instrText>
          </w:r>
          <w:r>
            <w:rPr>
              <w:rFonts w:eastAsiaTheme="minorHAnsi" w:cstheme="minorBidi"/>
              <w:color w:val="7F7F7F" w:themeColor="text1" w:themeTint="80"/>
            </w:rPr>
            <w:fldChar w:fldCharType="separate"/>
          </w:r>
          <w:r>
            <w:rPr>
              <w:rFonts w:eastAsiaTheme="minorHAnsi" w:cstheme="minorBidi"/>
              <w:color w:val="7F7F7F" w:themeColor="text1" w:themeTint="80"/>
            </w:rPr>
            <w:t>1</w:t>
          </w:r>
          <w:r>
            <w:rPr>
              <w:rFonts w:eastAsiaTheme="minorHAnsi" w:cstheme="minorBidi"/>
              <w:color w:val="7F7F7F" w:themeColor="text1" w:themeTint="80"/>
            </w:rPr>
            <w:fldChar w:fldCharType="end"/>
          </w:r>
        </w:p>
      </w:tc>
    </w:tr>
  </w:tbl>
  <w:p w14:paraId="4800BED2" w14:textId="77777777" w:rsidR="00FD6D96" w:rsidRDefault="00FD6D96">
    <w:pPr>
      <w:pStyle w:val="Header"/>
      <w:tabs>
        <w:tab w:val="left" w:pos="8080"/>
        <w:tab w:val="right" w:pos="9072"/>
      </w:tabs>
      <w:jc w:val="right"/>
      <w:rPr>
        <w:bCs/>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F73E0" w14:textId="77777777" w:rsidR="00FD6D96" w:rsidRDefault="0089085B">
      <w:pPr>
        <w:spacing w:before="0"/>
      </w:pPr>
      <w:r>
        <w:separator/>
      </w:r>
    </w:p>
  </w:footnote>
  <w:footnote w:type="continuationSeparator" w:id="0">
    <w:p w14:paraId="4D5BA251" w14:textId="77777777" w:rsidR="00FD6D96" w:rsidRDefault="0089085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FD6D96" w14:paraId="100FAD18" w14:textId="77777777">
      <w:trPr>
        <w:trHeight w:val="1304"/>
        <w:jc w:val="center"/>
      </w:trPr>
      <w:tc>
        <w:tcPr>
          <w:tcW w:w="6546" w:type="dxa"/>
        </w:tcPr>
        <w:p w14:paraId="1C0D56D0" w14:textId="77777777" w:rsidR="00FD6D96" w:rsidRDefault="0089085B">
          <w:pPr>
            <w:pStyle w:val="Header"/>
            <w:jc w:val="left"/>
            <w:rPr>
              <w:rFonts w:ascii="Arial" w:eastAsiaTheme="minorHAnsi" w:hAnsi="Arial" w:cs="Arial"/>
              <w:b/>
              <w:bCs/>
              <w:color w:val="009CD6"/>
              <w:sz w:val="36"/>
              <w:szCs w:val="36"/>
              <w14:textFill>
                <w14:solidFill>
                  <w14:srgbClr w14:val="009CD6">
                    <w14:lumMod w14:val="50000"/>
                    <w14:lumOff w14:val="50000"/>
                  </w14:srgbClr>
                </w14:solidFill>
              </w14:textFill>
            </w:rPr>
          </w:pPr>
          <w:r>
            <w:rPr>
              <w:rFonts w:ascii="Arial" w:eastAsiaTheme="minorHAnsi" w:hAnsi="Arial" w:cs="Arial"/>
              <w:b/>
              <w:bCs/>
              <w:noProof/>
              <w:color w:val="009CD6"/>
              <w:szCs w:val="18"/>
              <w14:textFill>
                <w14:solidFill>
                  <w14:srgbClr w14:val="009CD6">
                    <w14:lumMod w14:val="50000"/>
                    <w14:lumOff w14:val="50000"/>
                  </w14:srgbClr>
                </w14:solidFill>
              </w14:textFill>
            </w:rPr>
            <mc:AlternateContent>
              <mc:Choice Requires="wps">
                <w:drawing>
                  <wp:anchor distT="0" distB="0" distL="114300" distR="114300" simplePos="0" relativeHeight="251660288" behindDoc="0" locked="0" layoutInCell="1" allowOverlap="1" wp14:anchorId="48979BC2" wp14:editId="7B3F328C">
                    <wp:simplePos x="0" y="0"/>
                    <wp:positionH relativeFrom="column">
                      <wp:posOffset>569595</wp:posOffset>
                    </wp:positionH>
                    <wp:positionV relativeFrom="paragraph">
                      <wp:posOffset>62865</wp:posOffset>
                    </wp:positionV>
                    <wp:extent cx="1652905" cy="541020"/>
                    <wp:effectExtent l="0" t="0" r="10795" b="5080"/>
                    <wp:wrapNone/>
                    <wp:docPr id="3"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2" o:spid="_x0000_s1026" o:spt="1" style="position:absolute;left:0pt;margin-left:44.85pt;margin-top:4.95pt;height:42.6pt;width:130.15pt;z-index:251660288;v-text-anchor:middle;mso-width-relative:page;mso-height-relative:page;" fillcolor="#FFFFFF [3212]" filled="t" stroked="f" coordsize="21600,21600" o:gfxdata="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QhAqVNYAAAAHAQAADwAAAAAAAAABACAAAAAiAAAAZHJzL2Rvd25yZXYueG1sUEsBAhQAFAAAAAgA&#10;h07iQOarVpBgAgAAzgQAAA4AAAAAAAAAAQAgAAAAJQEAAGRycy9lMm9Eb2MueG1sUEsFBgAAAAAG&#10;AAYAWQEAAPcFAAAAAA==&#10;">
                    <v:fill on="t" focussize="0,0"/>
                    <v:stroke on="f" weight="1pt" miterlimit="8" joinstyle="miter"/>
                    <v:imagedata o:title=""/>
                    <o:lock v:ext="edit" aspectratio="f"/>
                  </v:rect>
                </w:pict>
              </mc:Fallback>
            </mc:AlternateContent>
          </w:r>
          <w:r>
            <w:rPr>
              <w:rFonts w:eastAsiaTheme="minorHAnsi" w:cstheme="minorBidi"/>
              <w:noProof/>
              <w:color w:val="7F7F7F" w:themeColor="text1" w:themeTint="80"/>
            </w:rPr>
            <w:drawing>
              <wp:inline distT="0" distB="0" distL="0" distR="0" wp14:anchorId="4283133B" wp14:editId="39858757">
                <wp:extent cx="2249805" cy="6223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46C83AB6" w14:textId="77777777" w:rsidR="00FD6D96" w:rsidRDefault="00FD6D96">
          <w:pPr>
            <w:pStyle w:val="Header"/>
            <w:jc w:val="right"/>
            <w:rPr>
              <w:rFonts w:ascii="Arial" w:eastAsiaTheme="minorHAnsi" w:hAnsi="Arial" w:cs="Arial"/>
              <w:b/>
              <w:bCs/>
              <w:color w:val="009CD6"/>
              <w:szCs w:val="18"/>
              <w14:textFill>
                <w14:solidFill>
                  <w14:srgbClr w14:val="009CD6">
                    <w14:lumMod w14:val="50000"/>
                    <w14:lumOff w14:val="50000"/>
                  </w14:srgbClr>
                </w14:solidFill>
              </w14:textFill>
            </w:rPr>
          </w:pPr>
        </w:p>
        <w:p w14:paraId="0A812718" w14:textId="77777777" w:rsidR="00FD6D96" w:rsidRDefault="00FD6D96">
          <w:pPr>
            <w:pStyle w:val="Header"/>
            <w:jc w:val="right"/>
            <w:rPr>
              <w:rFonts w:ascii="Arial" w:eastAsiaTheme="minorHAnsi" w:hAnsi="Arial" w:cs="Arial"/>
              <w:b/>
              <w:bCs/>
              <w:color w:val="009CD6"/>
              <w:szCs w:val="18"/>
              <w14:textFill>
                <w14:solidFill>
                  <w14:srgbClr w14:val="009CD6">
                    <w14:lumMod w14:val="50000"/>
                    <w14:lumOff w14:val="50000"/>
                  </w14:srgbClr>
                </w14:solidFill>
              </w14:textFill>
            </w:rPr>
          </w:pPr>
        </w:p>
        <w:p w14:paraId="17C5886E" w14:textId="77777777" w:rsidR="00FD6D96" w:rsidRDefault="0089085B">
          <w:pPr>
            <w:pStyle w:val="Header"/>
            <w:jc w:val="right"/>
            <w:rPr>
              <w:rFonts w:ascii="Arial" w:eastAsiaTheme="minorHAnsi" w:hAnsi="Arial" w:cs="Arial"/>
              <w:color w:val="009CD6"/>
              <w:szCs w:val="18"/>
              <w14:textFill>
                <w14:solidFill>
                  <w14:srgbClr w14:val="009CD6">
                    <w14:lumMod w14:val="50000"/>
                    <w14:lumOff w14:val="50000"/>
                  </w14:srgbClr>
                </w14:solidFill>
              </w14:textFill>
            </w:rPr>
          </w:pPr>
          <w:r>
            <w:rPr>
              <w:rFonts w:ascii="Arial" w:eastAsiaTheme="minorHAnsi" w:hAnsi="Arial" w:cs="Arial"/>
              <w:b/>
              <w:bCs/>
              <w:color w:val="009CD6"/>
              <w:szCs w:val="18"/>
              <w14:textFill>
                <w14:solidFill>
                  <w14:srgbClr w14:val="009CD6">
                    <w14:lumMod w14:val="50000"/>
                    <w14:lumOff w14:val="50000"/>
                  </w14:srgbClr>
                </w14:solidFill>
              </w14:textFill>
            </w:rPr>
            <w:t xml:space="preserve"> </w:t>
          </w:r>
        </w:p>
      </w:tc>
    </w:tr>
  </w:tbl>
  <w:p w14:paraId="44702FFC" w14:textId="77777777" w:rsidR="00FD6D96" w:rsidRDefault="0089085B">
    <w:pPr>
      <w:pStyle w:val="Header"/>
      <w:rPr>
        <w:color w:val="7F7F7F" w:themeColor="text1" w:themeTint="80"/>
      </w:rPr>
    </w:pPr>
    <w:r>
      <w:rPr>
        <w:rFonts w:ascii="Avenir Nxt2 W1G Medium" w:eastAsia="Avenir Nxt2 W1G Medium" w:hAnsi="Avenir Nxt2 W1G Medium" w:cs="Avenir Nxt2 W1G Medium"/>
        <w:noProof/>
        <w:color w:val="7F7F7F" w:themeColor="text1" w:themeTint="80"/>
      </w:rPr>
      <mc:AlternateContent>
        <mc:Choice Requires="wps">
          <w:drawing>
            <wp:anchor distT="0" distB="0" distL="114300" distR="114300" simplePos="0" relativeHeight="251659264" behindDoc="0" locked="0" layoutInCell="1" allowOverlap="1" wp14:anchorId="52A5E454" wp14:editId="41354E8C">
              <wp:simplePos x="0" y="0"/>
              <wp:positionH relativeFrom="page">
                <wp:posOffset>14605</wp:posOffset>
              </wp:positionH>
              <wp:positionV relativeFrom="topMargin">
                <wp:posOffset>555625</wp:posOffset>
              </wp:positionV>
              <wp:extent cx="93345" cy="431800"/>
              <wp:effectExtent l="0" t="0" r="8255"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5" o:spid="_x0000_s1026" o:spt="1" style="position:absolute;left:0pt;margin-left:1.15pt;margin-top:43.75pt;height:34pt;width:7.35pt;mso-position-horizontal-relative:page;mso-position-vertical-relative:page;z-index:251659264;mso-width-relative:page;mso-height-relative:page;" fillcolor="#009CD5" filled="t" stroked="f" coordsize="21600,21600" o:gfxdata="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9XYxTXAAAABwEAAA8AAAAAAAAA&#10;AQAgAAAAIgAAAGRycy9kb3ducmV2LnhtbFBLAQIUABQAAAAIAIdO4kCN7DXtEgIAACcEAAAOAAAA&#10;AAAAAAEAIAAAACYBAABkcnMvZTJvRG9jLnhtbFBLBQYAAAAABgAGAFkBAACqBQAAAAA=&#10;">
              <v:fill on="t" focussize="0,0"/>
              <v:stroke on="f"/>
              <v:imagedata o:title=""/>
              <o:lock v:ext="edit" aspectratio="f"/>
            </v:rect>
          </w:pict>
        </mc:Fallback>
      </mc:AlternateContent>
    </w:r>
    <w:r>
      <w:rPr>
        <w:rFonts w:ascii="Arial" w:eastAsiaTheme="minorHAnsi" w:hAnsi="Arial" w:cs="Arial"/>
        <w:b/>
        <w:bCs/>
        <w:noProof/>
        <w:color w:val="009CD6"/>
        <w:szCs w:val="18"/>
        <w14:textFill>
          <w14:solidFill>
            <w14:srgbClr w14:val="009CD6">
              <w14:lumMod w14:val="50000"/>
              <w14:lumOff w14:val="50000"/>
            </w14:srgbClr>
          </w14:solidFill>
        </w14:textFill>
      </w:rPr>
      <mc:AlternateContent>
        <mc:Choice Requires="wps">
          <w:drawing>
            <wp:anchor distT="0" distB="0" distL="114300" distR="114300" simplePos="0" relativeHeight="251661312" behindDoc="0" locked="0" layoutInCell="1" allowOverlap="1" wp14:anchorId="35131725" wp14:editId="386BA874">
              <wp:simplePos x="0" y="0"/>
              <wp:positionH relativeFrom="column">
                <wp:posOffset>306705</wp:posOffset>
              </wp:positionH>
              <wp:positionV relativeFrom="paragraph">
                <wp:posOffset>-835660</wp:posOffset>
              </wp:positionV>
              <wp:extent cx="3999230" cy="47117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ln>
                    </wps:spPr>
                    <wps:txbx>
                      <w:txbxContent>
                        <w:p w14:paraId="152A44F5" w14:textId="77777777" w:rsidR="00FD6D96" w:rsidRDefault="0089085B">
                          <w:pPr>
                            <w:spacing w:before="0"/>
                          </w:pPr>
                          <w:r>
                            <w:rPr>
                              <w:b/>
                              <w:bCs/>
                              <w:szCs w:val="24"/>
                            </w:rPr>
                            <w:t xml:space="preserve">Council Working Group </w:t>
                          </w:r>
                          <w:r>
                            <w:rPr>
                              <w:b/>
                              <w:bCs/>
                              <w:szCs w:val="24"/>
                            </w:rPr>
                            <w:br/>
                            <w:t>on Financial and Human Resources</w:t>
                          </w:r>
                          <w:r>
                            <w:br/>
                          </w:r>
                          <w:r>
                            <w:rPr>
                              <w:sz w:val="20"/>
                            </w:rPr>
                            <w:t>Seventeenth meeting - From 24 to 26 January 2024</w:t>
                          </w:r>
                        </w:p>
                      </w:txbxContent>
                    </wps:txbx>
                    <wps:bodyPr rot="0" vert="horz" wrap="square" lIns="91440" tIns="45720" rIns="91440" bIns="45720" anchor="t" anchorCtr="0">
                      <a:spAutoFit/>
                    </wps:bodyPr>
                  </wps:wsp>
                </a:graphicData>
              </a:graphic>
            </wp:anchor>
          </w:drawing>
        </mc:Choice>
        <mc:Fallback>
          <w:pict>
            <v:shapetype w14:anchorId="35131725"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" filled="f" stroked="f">
              <v:textbox style="mso-fit-shape-to-text:t">
                <w:txbxContent>
                  <w:p w14:paraId="152A44F5" w14:textId="77777777" w:rsidR="00FD6D96" w:rsidRDefault="0089085B">
                    <w:pPr>
                      <w:spacing w:before="0"/>
                    </w:pPr>
                    <w:r>
                      <w:rPr>
                        <w:b/>
                        <w:bCs/>
                        <w:szCs w:val="24"/>
                      </w:rPr>
                      <w:t xml:space="preserve">Council Working Group </w:t>
                    </w:r>
                    <w:r>
                      <w:rPr>
                        <w:b/>
                        <w:bCs/>
                        <w:szCs w:val="24"/>
                      </w:rPr>
                      <w:br/>
                      <w:t>on Financial and Human Resources</w:t>
                    </w:r>
                    <w:r>
                      <w:br/>
                    </w:r>
                    <w:r>
                      <w:rPr>
                        <w:sz w:val="20"/>
                      </w:rPr>
                      <w:t>Seventeenth meeting - From 24 to 26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EA629A"/>
    <w:multiLevelType w:val="singleLevel"/>
    <w:tmpl w:val="E9EA629A"/>
    <w:lvl w:ilvl="0">
      <w:start w:val="1"/>
      <w:numFmt w:val="decimal"/>
      <w:suff w:val="space"/>
      <w:lvlText w:val="(%1)"/>
      <w:lvlJc w:val="left"/>
    </w:lvl>
  </w:abstractNum>
  <w:abstractNum w:abstractNumId="1" w15:restartNumberingAfterBreak="0">
    <w:nsid w:val="00000002"/>
    <w:multiLevelType w:val="singleLevel"/>
    <w:tmpl w:val="00000002"/>
    <w:lvl w:ilvl="0">
      <w:start w:val="1"/>
      <w:numFmt w:val="decimal"/>
      <w:suff w:val="space"/>
      <w:lvlText w:val="%1."/>
      <w:lvlJc w:val="left"/>
    </w:lvl>
  </w:abstractNum>
  <w:abstractNum w:abstractNumId="2" w15:restartNumberingAfterBreak="0">
    <w:nsid w:val="1078427E"/>
    <w:multiLevelType w:val="singleLevel"/>
    <w:tmpl w:val="1078427E"/>
    <w:lvl w:ilvl="0">
      <w:start w:val="1"/>
      <w:numFmt w:val="decimal"/>
      <w:suff w:val="space"/>
      <w:lvlText w:val="(%1)"/>
      <w:lvlJc w:val="left"/>
    </w:lvl>
  </w:abstractNum>
  <w:num w:numId="1" w16cid:durableId="1804343318">
    <w:abstractNumId w:val="1"/>
  </w:num>
  <w:num w:numId="2" w16cid:durableId="1624655381">
    <w:abstractNumId w:val="0"/>
  </w:num>
  <w:num w:numId="3" w16cid:durableId="1736469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JhZDQ1ZDdjYzRkMmY4ZTAyNDhkMzQ5YTc0YjNiNzQifQ=="/>
  </w:docVars>
  <w:rsids>
    <w:rsidRoot w:val="578423B6"/>
    <w:rsid w:val="002F5F88"/>
    <w:rsid w:val="00673673"/>
    <w:rsid w:val="0089085B"/>
    <w:rsid w:val="00B82F6E"/>
    <w:rsid w:val="00FD6D96"/>
    <w:rsid w:val="03E44D33"/>
    <w:rsid w:val="05EC0902"/>
    <w:rsid w:val="0B9A1147"/>
    <w:rsid w:val="0BE75801"/>
    <w:rsid w:val="0F3F5FF6"/>
    <w:rsid w:val="104774AF"/>
    <w:rsid w:val="12A97B7E"/>
    <w:rsid w:val="153028C1"/>
    <w:rsid w:val="1B060052"/>
    <w:rsid w:val="1BDA0BD1"/>
    <w:rsid w:val="1C4F3C15"/>
    <w:rsid w:val="1D5D1A1C"/>
    <w:rsid w:val="1DDB508D"/>
    <w:rsid w:val="1E4C4473"/>
    <w:rsid w:val="1FE424F1"/>
    <w:rsid w:val="213147A5"/>
    <w:rsid w:val="221B014E"/>
    <w:rsid w:val="23384D2F"/>
    <w:rsid w:val="262219BF"/>
    <w:rsid w:val="26D63BC5"/>
    <w:rsid w:val="285434FA"/>
    <w:rsid w:val="29844089"/>
    <w:rsid w:val="29C27101"/>
    <w:rsid w:val="300761B5"/>
    <w:rsid w:val="31E6636C"/>
    <w:rsid w:val="33BA38B1"/>
    <w:rsid w:val="34942C32"/>
    <w:rsid w:val="35471900"/>
    <w:rsid w:val="37555E90"/>
    <w:rsid w:val="38051217"/>
    <w:rsid w:val="3B626C8A"/>
    <w:rsid w:val="428C00B0"/>
    <w:rsid w:val="42FA2C71"/>
    <w:rsid w:val="43B60E25"/>
    <w:rsid w:val="45300454"/>
    <w:rsid w:val="45594887"/>
    <w:rsid w:val="4724401C"/>
    <w:rsid w:val="496F2879"/>
    <w:rsid w:val="4A5F48E8"/>
    <w:rsid w:val="4B5212B9"/>
    <w:rsid w:val="4E677F56"/>
    <w:rsid w:val="4EE24A7D"/>
    <w:rsid w:val="52417FCB"/>
    <w:rsid w:val="52D5090E"/>
    <w:rsid w:val="5560764A"/>
    <w:rsid w:val="56E037DB"/>
    <w:rsid w:val="578423B6"/>
    <w:rsid w:val="57F93549"/>
    <w:rsid w:val="5A685562"/>
    <w:rsid w:val="5B2D031E"/>
    <w:rsid w:val="5C735EB5"/>
    <w:rsid w:val="5F5064A5"/>
    <w:rsid w:val="5F6E6EF2"/>
    <w:rsid w:val="5FCA3A98"/>
    <w:rsid w:val="60A638B4"/>
    <w:rsid w:val="630102FF"/>
    <w:rsid w:val="67551A66"/>
    <w:rsid w:val="6FEF1E26"/>
    <w:rsid w:val="718D41DB"/>
    <w:rsid w:val="7309711B"/>
    <w:rsid w:val="7702424C"/>
    <w:rsid w:val="776719F2"/>
    <w:rsid w:val="77C44C0A"/>
    <w:rsid w:val="7D5A5061"/>
    <w:rsid w:val="7D8C7689"/>
    <w:rsid w:val="7FD84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ABB6A"/>
  <w15:docId w15:val="{13D9F30F-1B03-43ED-9FB7-4DD76B58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uiPriority w:val="99"/>
    <w:qFormat/>
    <w:pPr>
      <w:tabs>
        <w:tab w:val="clear" w:pos="567"/>
        <w:tab w:val="clear" w:pos="1134"/>
        <w:tab w:val="clear" w:pos="1701"/>
        <w:tab w:val="clear" w:pos="2268"/>
        <w:tab w:val="clear" w:pos="2835"/>
      </w:tabs>
      <w:spacing w:before="0"/>
      <w:jc w:val="center"/>
    </w:pPr>
    <w:rPr>
      <w:color w:val="7F7F7F" w:themeColor="text1" w:themeTint="80"/>
      <w:sz w:val="18"/>
    </w:rPr>
  </w:style>
  <w:style w:type="paragraph" w:styleId="FootnoteText">
    <w:name w:val="footnote text"/>
    <w:basedOn w:val="Normal"/>
    <w:qFormat/>
    <w:pPr>
      <w:snapToGrid w:val="0"/>
    </w:pPr>
    <w:rPr>
      <w:sz w:val="18"/>
    </w:rPr>
  </w:style>
  <w:style w:type="table" w:styleId="TableGrid">
    <w:name w:val="Table Grid"/>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FollowedHyperlink">
    <w:name w:val="FollowedHyperlink"/>
    <w:basedOn w:val="DefaultParagraphFont"/>
    <w:qFormat/>
    <w:rPr>
      <w:color w:val="800080"/>
      <w:u w:val="single"/>
    </w:rPr>
  </w:style>
  <w:style w:type="character" w:styleId="Emphasis">
    <w:name w:val="Emphasis"/>
    <w:basedOn w:val="DefaultParagraphFont"/>
    <w:qFormat/>
    <w:rPr>
      <w:i/>
    </w:rPr>
  </w:style>
  <w:style w:type="character" w:styleId="Hyperlink">
    <w:name w:val="Hyperlink"/>
    <w:basedOn w:val="DefaultParagraphFont"/>
    <w:qFormat/>
    <w:rPr>
      <w:color w:val="0000FF"/>
      <w:u w:val="single"/>
    </w:rPr>
  </w:style>
  <w:style w:type="character" w:styleId="FootnoteReference">
    <w:name w:val="footnote reference"/>
    <w:basedOn w:val="DefaultParagraphFont"/>
    <w:qFormat/>
    <w:rPr>
      <w:vertAlign w:val="superscript"/>
    </w:rPr>
  </w:style>
  <w:style w:type="paragraph" w:customStyle="1" w:styleId="Source">
    <w:name w:val="Source"/>
    <w:basedOn w:val="Normal"/>
    <w:next w:val="Title1"/>
    <w:qFormat/>
    <w:pPr>
      <w:framePr w:hSpace="180" w:wrap="around" w:vAnchor="page" w:hAnchor="page" w:x="1821" w:y="2317"/>
      <w:spacing w:before="840"/>
    </w:pPr>
    <w:rPr>
      <w:b/>
      <w:sz w:val="32"/>
      <w:szCs w:val="32"/>
    </w:rPr>
  </w:style>
  <w:style w:type="paragraph" w:customStyle="1" w:styleId="Title1">
    <w:name w:val="Title 1"/>
    <w:basedOn w:val="Source"/>
    <w:next w:val="Title2"/>
    <w:qFormat/>
    <w:pPr>
      <w:framePr w:wrap="around"/>
      <w:spacing w:before="240"/>
    </w:pPr>
    <w:rPr>
      <w:b w:val="0"/>
    </w:rPr>
  </w:style>
  <w:style w:type="paragraph" w:customStyle="1" w:styleId="Title2">
    <w:name w:val="Title 2"/>
    <w:basedOn w:val="Source"/>
    <w:next w:val="Title3"/>
    <w:qFormat/>
    <w:pPr>
      <w:framePr w:wrap="around"/>
      <w:spacing w:before="240"/>
    </w:pPr>
    <w:rPr>
      <w:b w:val="0"/>
      <w:caps/>
    </w:rPr>
  </w:style>
  <w:style w:type="paragraph" w:customStyle="1" w:styleId="Title3">
    <w:name w:val="Title 3"/>
    <w:basedOn w:val="Title2"/>
    <w:next w:val="Normalaftertitle"/>
    <w:qFormat/>
    <w:pPr>
      <w:framePr w:wrap="around"/>
    </w:pPr>
    <w:rPr>
      <w:caps w:val="0"/>
    </w:rPr>
  </w:style>
  <w:style w:type="paragraph" w:customStyle="1" w:styleId="Normalaftertitle">
    <w:name w:val="Normal after title"/>
    <w:basedOn w:val="Normal"/>
    <w:next w:val="Normal"/>
    <w:qFormat/>
    <w:pPr>
      <w:spacing w:before="240"/>
    </w:pPr>
  </w:style>
  <w:style w:type="paragraph" w:customStyle="1" w:styleId="Subtitle">
    <w:name w:val="Sub_title"/>
    <w:basedOn w:val="Title1"/>
    <w:qFormat/>
    <w:pPr>
      <w:framePr w:wrap="around" w:vAnchor="margin" w:hAnchor="text"/>
      <w:spacing w:before="120" w:after="160"/>
    </w:pPr>
  </w:style>
  <w:style w:type="character" w:customStyle="1" w:styleId="normaltextrun">
    <w:name w:val="normaltextrun"/>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tu.int/md/S24-CWGFHR17-C-0011/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partner2connect-pledg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4620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Conbribution from China - proposal of establishing guidelines for cooperation with third-party which may have substantial financial and/or strategic implications</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Conbribution from China - proposal of establishing guidelines for cooperation with third-party which may have substantial financial and/or strategic implications</dc:title>
  <dc:creator>QIU Chenxi</dc:creator>
  <cp:keywords>CWG-FHR; C24</cp:keywords>
  <cp:lastModifiedBy>Xue, Kun</cp:lastModifiedBy>
  <cp:revision>2</cp:revision>
  <cp:lastPrinted>2024-01-10T17:18:00Z</cp:lastPrinted>
  <dcterms:created xsi:type="dcterms:W3CDTF">2024-01-19T14:51:00Z</dcterms:created>
  <dcterms:modified xsi:type="dcterms:W3CDTF">2024-01-19T14:51:00Z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FACD3A9831C44581818EBB3B4033CFDA_13</vt:lpwstr>
  </property>
</Properties>
</file>