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261DB" w14:paraId="0043AC80" w14:textId="77777777" w:rsidTr="00C261DB">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shd w:val="clear" w:color="auto" w:fill="auto"/>
          </w:tcPr>
          <w:p w14:paraId="291AB2A2" w14:textId="33EBAA48" w:rsidR="00AD3606" w:rsidRPr="00C261DB" w:rsidRDefault="00AD3606" w:rsidP="00472BAD">
            <w:pPr>
              <w:tabs>
                <w:tab w:val="left" w:pos="851"/>
              </w:tabs>
              <w:spacing w:before="0" w:line="240" w:lineRule="atLeast"/>
              <w:jc w:val="right"/>
              <w:rPr>
                <w:b/>
                <w:lang w:val="it-IT"/>
              </w:rPr>
            </w:pPr>
            <w:r w:rsidRPr="00C261DB">
              <w:rPr>
                <w:b/>
                <w:lang w:val="it-IT"/>
              </w:rPr>
              <w:t>Document C</w:t>
            </w:r>
            <w:r w:rsidR="00A52C84" w:rsidRPr="00C261DB">
              <w:rPr>
                <w:b/>
                <w:lang w:val="it-IT"/>
              </w:rPr>
              <w:t>WG-</w:t>
            </w:r>
            <w:r w:rsidR="009F347C" w:rsidRPr="00C261DB">
              <w:rPr>
                <w:b/>
                <w:lang w:val="it-IT"/>
              </w:rPr>
              <w:t>FHR</w:t>
            </w:r>
            <w:r w:rsidR="00A52C84" w:rsidRPr="004A651A">
              <w:rPr>
                <w:b/>
                <w:lang w:val="it-IT"/>
              </w:rPr>
              <w:t>-</w:t>
            </w:r>
            <w:r w:rsidR="002404ED" w:rsidRPr="004A651A">
              <w:rPr>
                <w:b/>
                <w:lang w:val="it-IT"/>
              </w:rPr>
              <w:t>1</w:t>
            </w:r>
            <w:r w:rsidR="00260ACE" w:rsidRPr="004A651A">
              <w:rPr>
                <w:b/>
                <w:lang w:val="it-IT"/>
              </w:rPr>
              <w:t>7</w:t>
            </w:r>
            <w:r w:rsidRPr="004A651A">
              <w:rPr>
                <w:b/>
                <w:lang w:val="it-IT"/>
              </w:rPr>
              <w:t>/</w:t>
            </w:r>
            <w:r w:rsidR="00EB1495">
              <w:rPr>
                <w:b/>
                <w:lang w:val="it-IT"/>
              </w:rPr>
              <w:t>8</w:t>
            </w:r>
          </w:p>
        </w:tc>
      </w:tr>
      <w:tr w:rsidR="00AD3606" w:rsidRPr="00C261DB" w14:paraId="789B45BA" w14:textId="77777777" w:rsidTr="00C261DB">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shd w:val="clear" w:color="auto" w:fill="auto"/>
          </w:tcPr>
          <w:p w14:paraId="2DE9ACEA" w14:textId="75501A17" w:rsidR="00AD3606" w:rsidRPr="00C261DB" w:rsidRDefault="00EB1495" w:rsidP="00AD3606">
            <w:pPr>
              <w:tabs>
                <w:tab w:val="left" w:pos="851"/>
              </w:tabs>
              <w:spacing w:before="0"/>
              <w:jc w:val="right"/>
              <w:rPr>
                <w:b/>
              </w:rPr>
            </w:pPr>
            <w:r>
              <w:rPr>
                <w:b/>
              </w:rPr>
              <w:t>2</w:t>
            </w:r>
            <w:r w:rsidR="001D43E2">
              <w:rPr>
                <w:b/>
              </w:rPr>
              <w:t>1</w:t>
            </w:r>
            <w:r w:rsidR="00AD3606" w:rsidRPr="00C261DB">
              <w:rPr>
                <w:b/>
              </w:rPr>
              <w:t xml:space="preserve"> </w:t>
            </w:r>
            <w:r w:rsidR="00260ACE" w:rsidRPr="00C261DB">
              <w:rPr>
                <w:b/>
              </w:rPr>
              <w:t>December</w:t>
            </w:r>
            <w:r w:rsidR="00AD3606" w:rsidRPr="00C261DB">
              <w:rPr>
                <w:b/>
              </w:rPr>
              <w:t xml:space="preserve"> 2023</w:t>
            </w:r>
          </w:p>
        </w:tc>
      </w:tr>
      <w:tr w:rsidR="00AD3606" w:rsidRPr="00C261DB" w14:paraId="58A84C4A" w14:textId="77777777" w:rsidTr="00C261DB">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shd w:val="clear" w:color="auto" w:fill="auto"/>
          </w:tcPr>
          <w:p w14:paraId="561AAE94" w14:textId="21480245" w:rsidR="00AD3606" w:rsidRPr="00C261DB" w:rsidRDefault="00891503" w:rsidP="00AD3606">
            <w:pPr>
              <w:tabs>
                <w:tab w:val="left" w:pos="851"/>
              </w:tabs>
              <w:spacing w:before="0" w:line="240" w:lineRule="atLeast"/>
              <w:jc w:val="right"/>
              <w:rPr>
                <w:b/>
              </w:rPr>
            </w:pPr>
            <w:r w:rsidRPr="00C261DB">
              <w:rPr>
                <w:b/>
              </w:rPr>
              <w:t>English</w:t>
            </w:r>
            <w:r w:rsidR="009B2D4B" w:rsidRPr="00C261DB">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676C7D" w:rsidRDefault="00244F7F" w:rsidP="00676C7D">
            <w:pPr>
              <w:pStyle w:val="Source"/>
              <w:framePr w:hSpace="0" w:wrap="auto" w:vAnchor="margin" w:hAnchor="text" w:xAlign="left" w:yAlign="inline"/>
            </w:pPr>
            <w:bookmarkStart w:id="8" w:name="dsource" w:colFirst="0" w:colLast="0"/>
            <w:bookmarkEnd w:id="7"/>
            <w:r w:rsidRPr="00676C7D">
              <w:t>Contribution</w:t>
            </w:r>
            <w:r w:rsidR="00AD3606" w:rsidRPr="00676C7D">
              <w:t xml:space="preserve"> by the </w:t>
            </w:r>
            <w:r w:rsidR="00A52C84" w:rsidRPr="00676C7D">
              <w:t>secretariat</w:t>
            </w:r>
          </w:p>
        </w:tc>
      </w:tr>
      <w:tr w:rsidR="00AD3606" w:rsidRPr="00813E5E" w14:paraId="2340750D" w14:textId="77777777" w:rsidTr="00AD3606">
        <w:trPr>
          <w:cantSplit/>
        </w:trPr>
        <w:tc>
          <w:tcPr>
            <w:tcW w:w="9214" w:type="dxa"/>
            <w:gridSpan w:val="2"/>
            <w:tcMar>
              <w:left w:w="0" w:type="dxa"/>
            </w:tcMar>
          </w:tcPr>
          <w:p w14:paraId="47B91AA8" w14:textId="0D431F09" w:rsidR="00AD3606" w:rsidRPr="00676C7D" w:rsidRDefault="00C261DB" w:rsidP="00676C7D">
            <w:pPr>
              <w:pStyle w:val="Subtitle1"/>
              <w:framePr w:hSpace="0" w:wrap="auto" w:xAlign="left" w:yAlign="inline"/>
            </w:pPr>
            <w:bookmarkStart w:id="9" w:name="dtitle1" w:colFirst="0" w:colLast="0"/>
            <w:bookmarkEnd w:id="8"/>
            <w:r w:rsidRPr="00C261DB">
              <w:t>STATUS REPORT ON IMPLEMENTATION OF COUNCIL DECISIONS 600 AND 601 (UIFN, IIN)</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3FB1013A" w14:textId="77777777" w:rsidR="00C261DB" w:rsidRPr="00C261DB" w:rsidRDefault="00C261DB" w:rsidP="00C261DB">
            <w:r w:rsidRPr="00C261DB">
              <w:t>Following the approval of Decisions 600 and 601 at the Council 2017 session, ITU has been in the process of implementing these Decisions. This report summarizes the status of the implementation and next steps in the process.</w:t>
            </w:r>
          </w:p>
          <w:p w14:paraId="2E09FE8B" w14:textId="0488F2B4" w:rsidR="00AD3606" w:rsidRPr="00813E5E" w:rsidRDefault="00C261DB" w:rsidP="00C261DB">
            <w:r w:rsidRPr="00C261DB">
              <w:t xml:space="preserve">This document presents updated information to the document </w:t>
            </w:r>
            <w:hyperlink r:id="rId11" w:history="1">
              <w:r w:rsidRPr="00C261DB">
                <w:rPr>
                  <w:rStyle w:val="Hyperlink"/>
                </w:rPr>
                <w:t>C21/47</w:t>
              </w:r>
            </w:hyperlink>
            <w:r w:rsidRPr="00C261DB">
              <w:t>, which was presented to and reviewed at the 2021 session of the Virtual consultation of councillors.</w:t>
            </w:r>
          </w:p>
          <w:p w14:paraId="5076D5C4" w14:textId="28F00572" w:rsidR="00AD3606" w:rsidRPr="00F16BAB" w:rsidRDefault="00AD3606" w:rsidP="00F16BAB">
            <w:pPr>
              <w:spacing w:before="160"/>
              <w:rPr>
                <w:b/>
                <w:bCs/>
                <w:sz w:val="26"/>
                <w:szCs w:val="26"/>
              </w:rPr>
            </w:pPr>
            <w:r w:rsidRPr="00F16BAB">
              <w:rPr>
                <w:b/>
                <w:bCs/>
                <w:sz w:val="26"/>
                <w:szCs w:val="26"/>
              </w:rPr>
              <w:t>Action required</w:t>
            </w:r>
          </w:p>
          <w:p w14:paraId="53A776F1" w14:textId="44EEC00A" w:rsidR="00891503" w:rsidRDefault="00C261DB" w:rsidP="00F16BAB">
            <w:pPr>
              <w:spacing w:before="160"/>
            </w:pPr>
            <w:r w:rsidRPr="00C261DB">
              <w:t xml:space="preserve">The Council Working Group on Financial and Human resources is invited </w:t>
            </w:r>
            <w:r w:rsidRPr="00C261DB">
              <w:rPr>
                <w:b/>
                <w:bCs/>
              </w:rPr>
              <w:t>to note</w:t>
            </w:r>
            <w:r w:rsidRPr="00C261DB">
              <w:t xml:space="preserve"> this document.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395CCDB4" w:rsidR="00AD3606" w:rsidRDefault="001D43E2" w:rsidP="00F16BAB">
            <w:pPr>
              <w:spacing w:after="160"/>
            </w:pPr>
            <w:hyperlink r:id="rId12" w:history="1">
              <w:r w:rsidR="00C261DB" w:rsidRPr="00FD7016">
                <w:rPr>
                  <w:rStyle w:val="Hyperlink"/>
                </w:rPr>
                <w:t>CWG-FHR website</w:t>
              </w:r>
            </w:hyperlink>
            <w:r w:rsidR="00C261DB">
              <w:t xml:space="preserve">; </w:t>
            </w:r>
            <w:r w:rsidR="00C261DB" w:rsidRPr="00797DDC">
              <w:rPr>
                <w:i/>
                <w:iCs/>
              </w:rPr>
              <w:t xml:space="preserve">Document </w:t>
            </w:r>
            <w:hyperlink r:id="rId13" w:history="1">
              <w:r w:rsidR="00C261DB" w:rsidRPr="00797DDC">
                <w:rPr>
                  <w:rStyle w:val="Hyperlink"/>
                  <w:rFonts w:asciiTheme="minorHAnsi" w:hAnsiTheme="minorHAnsi" w:cstheme="majorBidi"/>
                  <w:i/>
                  <w:iCs/>
                </w:rPr>
                <w:t>C17/133</w:t>
              </w:r>
            </w:hyperlink>
            <w:r w:rsidR="00C261DB" w:rsidRPr="00797DDC">
              <w:rPr>
                <w:i/>
                <w:iCs/>
              </w:rPr>
              <w:t xml:space="preserve">; </w:t>
            </w:r>
            <w:hyperlink r:id="rId14" w:history="1">
              <w:r w:rsidR="00C261DB" w:rsidRPr="00797DDC">
                <w:rPr>
                  <w:rStyle w:val="Hyperlink"/>
                  <w:rFonts w:asciiTheme="minorHAnsi" w:hAnsiTheme="minorHAnsi" w:cstheme="majorBidi"/>
                  <w:i/>
                  <w:iCs/>
                </w:rPr>
                <w:t>C17/134</w:t>
              </w:r>
            </w:hyperlink>
            <w:r w:rsidR="00C261DB" w:rsidRPr="00797DDC">
              <w:rPr>
                <w:i/>
                <w:iCs/>
              </w:rPr>
              <w:t xml:space="preserve">; </w:t>
            </w:r>
            <w:hyperlink r:id="rId15" w:history="1">
              <w:r w:rsidR="00C261DB" w:rsidRPr="00797DDC">
                <w:rPr>
                  <w:rStyle w:val="Hyperlink"/>
                  <w:rFonts w:cstheme="majorBidi"/>
                  <w:i/>
                  <w:iCs/>
                </w:rPr>
                <w:t>C18/100</w:t>
              </w:r>
            </w:hyperlink>
            <w:r w:rsidR="00C261DB" w:rsidRPr="00797DDC">
              <w:rPr>
                <w:i/>
                <w:iCs/>
              </w:rPr>
              <w:t xml:space="preserve">; </w:t>
            </w:r>
            <w:hyperlink r:id="rId16" w:history="1">
              <w:r w:rsidR="00C261DB" w:rsidRPr="00797DDC">
                <w:rPr>
                  <w:rStyle w:val="Hyperlink"/>
                  <w:rFonts w:asciiTheme="minorHAnsi" w:hAnsiTheme="minorHAnsi"/>
                  <w:i/>
                  <w:iCs/>
                  <w:spacing w:val="4"/>
                  <w:szCs w:val="24"/>
                  <w:lang w:val="en-US"/>
                </w:rPr>
                <w:t>CWG-FHR 9/1</w:t>
              </w:r>
            </w:hyperlink>
            <w:r w:rsidR="00C261DB" w:rsidRPr="00797DDC">
              <w:rPr>
                <w:rStyle w:val="Hyperlink"/>
                <w:rFonts w:asciiTheme="minorHAnsi" w:hAnsiTheme="minorHAnsi"/>
                <w:i/>
                <w:iCs/>
                <w:spacing w:val="4"/>
                <w:szCs w:val="24"/>
                <w:lang w:val="en-US"/>
              </w:rPr>
              <w:t>4</w:t>
            </w:r>
            <w:r w:rsidR="00C261DB" w:rsidRPr="00797DDC">
              <w:rPr>
                <w:i/>
                <w:iCs/>
              </w:rPr>
              <w:t xml:space="preserve">; </w:t>
            </w:r>
            <w:hyperlink r:id="rId17" w:history="1">
              <w:r w:rsidR="00C261DB" w:rsidRPr="00797DDC">
                <w:rPr>
                  <w:rStyle w:val="Hyperlink"/>
                  <w:rFonts w:cstheme="majorBidi"/>
                  <w:i/>
                  <w:iCs/>
                  <w:spacing w:val="4"/>
                  <w:lang w:val="en-US"/>
                </w:rPr>
                <w:t>CWG-FHR 9/15</w:t>
              </w:r>
            </w:hyperlink>
            <w:r w:rsidR="00C261DB" w:rsidRPr="00797DDC">
              <w:rPr>
                <w:rStyle w:val="Hyperlink"/>
                <w:rFonts w:cstheme="majorBidi"/>
                <w:i/>
                <w:iCs/>
                <w:spacing w:val="4"/>
                <w:lang w:val="en-US"/>
              </w:rPr>
              <w:t xml:space="preserve">; </w:t>
            </w:r>
            <w:hyperlink r:id="rId18" w:history="1">
              <w:r w:rsidR="00C261DB" w:rsidRPr="00797DDC">
                <w:rPr>
                  <w:rStyle w:val="Hyperlink"/>
                  <w:rFonts w:cstheme="majorBidi"/>
                  <w:i/>
                  <w:iCs/>
                  <w:spacing w:val="4"/>
                  <w:lang w:val="en-US"/>
                </w:rPr>
                <w:t>C19/47</w:t>
              </w:r>
            </w:hyperlink>
            <w:r w:rsidR="00C261DB" w:rsidRPr="00797DDC">
              <w:rPr>
                <w:rStyle w:val="Hyperlink"/>
                <w:rFonts w:cstheme="majorBidi"/>
                <w:i/>
                <w:iCs/>
                <w:spacing w:val="4"/>
                <w:lang w:val="en-US"/>
              </w:rPr>
              <w:t>,</w:t>
            </w:r>
            <w:r w:rsidR="00C261DB" w:rsidRPr="00797DDC">
              <w:rPr>
                <w:rStyle w:val="Hyperlink"/>
                <w:rFonts w:cstheme="majorBidi"/>
                <w:i/>
                <w:iCs/>
                <w:spacing w:val="4"/>
              </w:rPr>
              <w:t xml:space="preserve"> </w:t>
            </w:r>
            <w:hyperlink r:id="rId19" w:history="1">
              <w:r w:rsidR="00C261DB" w:rsidRPr="00797DDC">
                <w:rPr>
                  <w:rStyle w:val="Hyperlink"/>
                  <w:rFonts w:cs="Calibri"/>
                  <w:bCs/>
                  <w:i/>
                  <w:iCs/>
                  <w:szCs w:val="24"/>
                  <w:lang w:val="en-US"/>
                </w:rPr>
                <w:t>C19/120</w:t>
              </w:r>
            </w:hyperlink>
            <w:r w:rsidR="00C261DB" w:rsidRPr="00797DDC">
              <w:t xml:space="preserve">; </w:t>
            </w:r>
            <w:hyperlink r:id="rId20" w:history="1">
              <w:r w:rsidR="00C261DB" w:rsidRPr="00797DDC">
                <w:rPr>
                  <w:rStyle w:val="Hyperlink"/>
                  <w:i/>
                  <w:iCs/>
                </w:rPr>
                <w:t>C20/47</w:t>
              </w:r>
            </w:hyperlink>
            <w:r w:rsidR="00C261DB" w:rsidRPr="00797DDC">
              <w:t xml:space="preserve">; </w:t>
            </w:r>
            <w:bookmarkStart w:id="10" w:name="_Hlk132728228"/>
            <w:r w:rsidR="00C261DB" w:rsidRPr="00797DDC">
              <w:rPr>
                <w:i/>
                <w:iCs/>
              </w:rPr>
              <w:fldChar w:fldCharType="begin"/>
            </w:r>
            <w:r w:rsidR="00C261DB" w:rsidRPr="00797DDC">
              <w:rPr>
                <w:i/>
                <w:iCs/>
              </w:rPr>
              <w:instrText xml:space="preserve"> HYPERLINK "https://www.itu.int/md/S21-CL-C-0047/en" </w:instrText>
            </w:r>
            <w:r w:rsidR="00C261DB" w:rsidRPr="00797DDC">
              <w:rPr>
                <w:i/>
                <w:iCs/>
              </w:rPr>
            </w:r>
            <w:r w:rsidR="00C261DB" w:rsidRPr="00797DDC">
              <w:rPr>
                <w:i/>
                <w:iCs/>
              </w:rPr>
              <w:fldChar w:fldCharType="separate"/>
            </w:r>
            <w:r w:rsidR="00C261DB" w:rsidRPr="00797DDC">
              <w:rPr>
                <w:rStyle w:val="Hyperlink"/>
                <w:i/>
                <w:iCs/>
              </w:rPr>
              <w:t>C21/47</w:t>
            </w:r>
            <w:r w:rsidR="00C261DB" w:rsidRPr="00797DDC">
              <w:rPr>
                <w:i/>
                <w:iCs/>
              </w:rPr>
              <w:fldChar w:fldCharType="end"/>
            </w:r>
            <w:bookmarkEnd w:id="10"/>
            <w:r w:rsidR="00C261DB" w:rsidRPr="00797DDC">
              <w:t xml:space="preserve">; </w:t>
            </w:r>
            <w:hyperlink r:id="rId21" w:history="1">
              <w:r w:rsidR="00C261DB" w:rsidRPr="00797DDC">
                <w:rPr>
                  <w:rStyle w:val="Hyperlink"/>
                  <w:rFonts w:asciiTheme="minorHAnsi" w:hAnsiTheme="minorHAnsi" w:cstheme="majorBidi"/>
                  <w:i/>
                  <w:iCs/>
                </w:rPr>
                <w:t>CWG-FHR-14/6</w:t>
              </w:r>
            </w:hyperlink>
            <w:r w:rsidR="00C261DB" w:rsidRPr="00797DDC">
              <w:rPr>
                <w:i/>
                <w:iCs/>
              </w:rPr>
              <w:t xml:space="preserve">; </w:t>
            </w:r>
            <w:hyperlink r:id="rId22" w:history="1">
              <w:r w:rsidR="00C261DB" w:rsidRPr="00797DDC">
                <w:rPr>
                  <w:rStyle w:val="Hyperlink"/>
                  <w:i/>
                  <w:iCs/>
                </w:rPr>
                <w:t>CWG-FHR-14/7</w:t>
              </w:r>
            </w:hyperlink>
            <w:r w:rsidR="00C261DB" w:rsidRPr="00797DDC">
              <w:rPr>
                <w:i/>
                <w:iCs/>
              </w:rPr>
              <w:t>;</w:t>
            </w:r>
            <w:hyperlink r:id="rId23" w:history="1">
              <w:r w:rsidR="00C261DB" w:rsidRPr="00797DDC">
                <w:rPr>
                  <w:rStyle w:val="Hyperlink"/>
                  <w:rFonts w:asciiTheme="minorHAnsi" w:hAnsiTheme="minorHAnsi" w:cstheme="majorBidi"/>
                  <w:i/>
                  <w:iCs/>
                </w:rPr>
                <w:t>CWG-FHR-14/12</w:t>
              </w:r>
            </w:hyperlink>
            <w:r w:rsidR="00C261DB">
              <w:rPr>
                <w:rStyle w:val="Hyperlink"/>
                <w:rFonts w:asciiTheme="minorHAnsi" w:hAnsiTheme="minorHAnsi" w:cstheme="majorBidi"/>
                <w:i/>
                <w:iCs/>
              </w:rPr>
              <w:t>;</w:t>
            </w:r>
            <w:r w:rsidR="00C261DB" w:rsidRPr="00D32144">
              <w:rPr>
                <w:rFonts w:asciiTheme="minorHAnsi" w:hAnsiTheme="minorHAnsi"/>
                <w:szCs w:val="24"/>
              </w:rPr>
              <w:t xml:space="preserve"> </w:t>
            </w:r>
            <w:hyperlink r:id="rId24" w:history="1">
              <w:r w:rsidR="00C261DB" w:rsidRPr="00D32144">
                <w:rPr>
                  <w:rStyle w:val="Hyperlink"/>
                  <w:rFonts w:asciiTheme="minorHAnsi" w:hAnsiTheme="minorHAnsi"/>
                  <w:szCs w:val="24"/>
                </w:rPr>
                <w:t>C22/50</w:t>
              </w:r>
            </w:hyperlink>
          </w:p>
        </w:tc>
      </w:tr>
    </w:tbl>
    <w:p w14:paraId="4CDB8B60" w14:textId="77777777" w:rsidR="00E227F3" w:rsidRPr="008B41D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1D7ED322" w14:textId="77777777" w:rsidR="0090147A" w:rsidRPr="008B41D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8B41D4">
        <w:br w:type="page"/>
      </w:r>
    </w:p>
    <w:p w14:paraId="7A6B04CA" w14:textId="77777777" w:rsidR="000A3753" w:rsidRPr="00617484" w:rsidRDefault="000A3753" w:rsidP="000A3753">
      <w:pPr>
        <w:pStyle w:val="Heading1"/>
        <w:spacing w:before="720" w:after="120"/>
        <w:rPr>
          <w:rFonts w:eastAsia="Calibri"/>
          <w:szCs w:val="28"/>
        </w:rPr>
      </w:pPr>
      <w:bookmarkStart w:id="12" w:name="_Hlk152235899"/>
      <w:bookmarkEnd w:id="5"/>
      <w:bookmarkEnd w:id="11"/>
      <w:r w:rsidRPr="00617484">
        <w:rPr>
          <w:rFonts w:eastAsia="Calibri"/>
          <w:szCs w:val="28"/>
        </w:rPr>
        <w:lastRenderedPageBreak/>
        <w:t>1</w:t>
      </w:r>
      <w:r w:rsidRPr="00617484">
        <w:rPr>
          <w:rFonts w:eastAsia="Calibri"/>
          <w:szCs w:val="28"/>
        </w:rPr>
        <w:tab/>
        <w:t>Background</w:t>
      </w:r>
    </w:p>
    <w:p w14:paraId="76A3AA39" w14:textId="022FDF5A" w:rsidR="000A3753" w:rsidRDefault="000A3753" w:rsidP="000A3753">
      <w:pPr>
        <w:spacing w:after="120"/>
        <w:jc w:val="both"/>
        <w:rPr>
          <w:rFonts w:asciiTheme="minorHAnsi" w:hAnsiTheme="minorHAnsi"/>
          <w:szCs w:val="24"/>
        </w:rPr>
      </w:pPr>
      <w:r>
        <w:rPr>
          <w:rFonts w:asciiTheme="minorHAnsi" w:hAnsiTheme="minorHAnsi"/>
          <w:szCs w:val="24"/>
        </w:rPr>
        <w:t>1.1</w:t>
      </w:r>
      <w:r>
        <w:rPr>
          <w:rFonts w:asciiTheme="minorHAnsi" w:hAnsiTheme="minorHAnsi"/>
          <w:szCs w:val="24"/>
        </w:rPr>
        <w:tab/>
      </w:r>
      <w:r w:rsidRPr="00720A57">
        <w:rPr>
          <w:rFonts w:asciiTheme="minorHAnsi" w:hAnsiTheme="minorHAnsi"/>
          <w:szCs w:val="24"/>
        </w:rPr>
        <w:t>Following the approval of Decision</w:t>
      </w:r>
      <w:r>
        <w:rPr>
          <w:rFonts w:asciiTheme="minorHAnsi" w:hAnsiTheme="minorHAnsi"/>
          <w:szCs w:val="24"/>
        </w:rPr>
        <w:t>s</w:t>
      </w:r>
      <w:r w:rsidRPr="00720A57">
        <w:rPr>
          <w:rFonts w:asciiTheme="minorHAnsi" w:hAnsiTheme="minorHAnsi"/>
          <w:szCs w:val="24"/>
        </w:rPr>
        <w:t xml:space="preserve"> 600 </w:t>
      </w:r>
      <w:r w:rsidRPr="00720A57">
        <w:rPr>
          <w:rFonts w:asciiTheme="minorHAnsi" w:hAnsiTheme="minorHAnsi" w:cstheme="majorBidi"/>
          <w:color w:val="000000"/>
        </w:rPr>
        <w:t>(</w:t>
      </w:r>
      <w:hyperlink r:id="rId25" w:history="1">
        <w:r w:rsidRPr="00720A57">
          <w:rPr>
            <w:rStyle w:val="Hyperlink"/>
            <w:rFonts w:asciiTheme="minorHAnsi" w:hAnsiTheme="minorHAnsi" w:cstheme="majorBidi"/>
          </w:rPr>
          <w:t>C17/133</w:t>
        </w:r>
      </w:hyperlink>
      <w:r w:rsidRPr="00720A57">
        <w:rPr>
          <w:rFonts w:asciiTheme="minorHAnsi" w:hAnsiTheme="minorHAnsi" w:cstheme="majorBidi"/>
          <w:color w:val="000000"/>
        </w:rPr>
        <w:t xml:space="preserve">) </w:t>
      </w:r>
      <w:r w:rsidRPr="00720A57">
        <w:rPr>
          <w:rFonts w:asciiTheme="minorHAnsi" w:hAnsiTheme="minorHAnsi"/>
          <w:szCs w:val="24"/>
        </w:rPr>
        <w:t xml:space="preserve">and 601 </w:t>
      </w:r>
      <w:r w:rsidRPr="00720A57">
        <w:rPr>
          <w:rFonts w:asciiTheme="minorHAnsi" w:hAnsiTheme="minorHAnsi" w:cstheme="majorBidi"/>
          <w:color w:val="000000"/>
        </w:rPr>
        <w:t>(</w:t>
      </w:r>
      <w:hyperlink r:id="rId26" w:history="1">
        <w:r w:rsidRPr="00720A57">
          <w:rPr>
            <w:rStyle w:val="Hyperlink"/>
            <w:rFonts w:asciiTheme="minorHAnsi" w:hAnsiTheme="minorHAnsi" w:cstheme="majorBidi"/>
          </w:rPr>
          <w:t>C17/134</w:t>
        </w:r>
      </w:hyperlink>
      <w:r w:rsidRPr="00720A57">
        <w:rPr>
          <w:rFonts w:asciiTheme="minorHAnsi" w:hAnsiTheme="minorHAnsi" w:cstheme="majorBidi"/>
          <w:color w:val="000000"/>
        </w:rPr>
        <w:t xml:space="preserve">) </w:t>
      </w:r>
      <w:r w:rsidRPr="00720A57">
        <w:rPr>
          <w:rFonts w:asciiTheme="minorHAnsi" w:hAnsiTheme="minorHAnsi"/>
          <w:szCs w:val="24"/>
        </w:rPr>
        <w:t>at the</w:t>
      </w:r>
      <w:r>
        <w:rPr>
          <w:rFonts w:asciiTheme="minorHAnsi" w:hAnsiTheme="minorHAnsi"/>
          <w:szCs w:val="24"/>
        </w:rPr>
        <w:t xml:space="preserve"> Council 2017 session, the ITU s</w:t>
      </w:r>
      <w:r w:rsidRPr="00720A57">
        <w:rPr>
          <w:rFonts w:asciiTheme="minorHAnsi" w:hAnsiTheme="minorHAnsi"/>
          <w:szCs w:val="24"/>
        </w:rPr>
        <w:t xml:space="preserve">ecretariat has been in the process of implementing these Decisions. </w:t>
      </w:r>
    </w:p>
    <w:p w14:paraId="7FC63BD2" w14:textId="6336E5C7" w:rsidR="000A3753" w:rsidRDefault="000A3753" w:rsidP="000A3753">
      <w:pPr>
        <w:spacing w:after="120"/>
        <w:jc w:val="both"/>
        <w:rPr>
          <w:rFonts w:asciiTheme="minorHAnsi" w:hAnsiTheme="minorHAnsi"/>
          <w:szCs w:val="24"/>
        </w:rPr>
      </w:pPr>
      <w:r>
        <w:rPr>
          <w:rFonts w:asciiTheme="minorHAnsi" w:hAnsiTheme="minorHAnsi"/>
          <w:szCs w:val="24"/>
        </w:rPr>
        <w:t>1.2</w:t>
      </w:r>
      <w:r>
        <w:rPr>
          <w:rFonts w:asciiTheme="minorHAnsi" w:hAnsiTheme="minorHAnsi"/>
          <w:szCs w:val="24"/>
        </w:rPr>
        <w:tab/>
      </w:r>
      <w:r w:rsidRPr="003E2DD4">
        <w:rPr>
          <w:rFonts w:asciiTheme="minorHAnsi" w:hAnsiTheme="minorHAnsi"/>
          <w:szCs w:val="24"/>
        </w:rPr>
        <w:t>TSB presented document</w:t>
      </w:r>
      <w:r w:rsidRPr="003E2DD4">
        <w:rPr>
          <w:rFonts w:asciiTheme="majorBidi" w:hAnsiTheme="majorBidi" w:cstheme="majorBidi"/>
        </w:rPr>
        <w:t xml:space="preserve"> </w:t>
      </w:r>
      <w:hyperlink r:id="rId27" w:history="1">
        <w:r w:rsidRPr="003E2DD4">
          <w:rPr>
            <w:rStyle w:val="Hyperlink"/>
            <w:rFonts w:cstheme="majorBidi"/>
            <w:spacing w:val="4"/>
            <w:lang w:val="en-US"/>
          </w:rPr>
          <w:t>C19/47</w:t>
        </w:r>
      </w:hyperlink>
      <w:r w:rsidRPr="003E2DD4">
        <w:rPr>
          <w:rFonts w:asciiTheme="majorBidi" w:hAnsiTheme="majorBidi" w:cstheme="majorBidi"/>
        </w:rPr>
        <w:t xml:space="preserve"> </w:t>
      </w:r>
      <w:r w:rsidRPr="003E2DD4">
        <w:rPr>
          <w:rFonts w:asciiTheme="minorHAnsi" w:hAnsiTheme="minorHAnsi"/>
          <w:szCs w:val="24"/>
        </w:rPr>
        <w:t>to Council 2019 which provided updates of the status of implementation of Council Decisions 600 and 601, including the status of the contacts for UIFN service providers and IIN assignees.</w:t>
      </w:r>
      <w:r w:rsidRPr="003D309C">
        <w:rPr>
          <w:rFonts w:asciiTheme="minorHAnsi" w:hAnsiTheme="minorHAnsi"/>
          <w:szCs w:val="24"/>
        </w:rPr>
        <w:t xml:space="preserve"> </w:t>
      </w:r>
    </w:p>
    <w:p w14:paraId="72F1F5E0" w14:textId="25F9CE0F" w:rsidR="000A3753" w:rsidRPr="00797DDC" w:rsidRDefault="000A3753" w:rsidP="000A3753">
      <w:pPr>
        <w:spacing w:after="120"/>
        <w:jc w:val="both"/>
        <w:rPr>
          <w:rFonts w:asciiTheme="minorHAnsi" w:hAnsiTheme="minorHAnsi"/>
          <w:szCs w:val="24"/>
        </w:rPr>
      </w:pPr>
      <w:r w:rsidRPr="00797DDC">
        <w:rPr>
          <w:rFonts w:asciiTheme="minorHAnsi" w:hAnsiTheme="minorHAnsi"/>
          <w:szCs w:val="24"/>
        </w:rPr>
        <w:t>TSB presented document</w:t>
      </w:r>
      <w:r w:rsidRPr="00797DDC">
        <w:rPr>
          <w:rFonts w:asciiTheme="majorBidi" w:hAnsiTheme="majorBidi" w:cstheme="majorBidi"/>
        </w:rPr>
        <w:t xml:space="preserve"> </w:t>
      </w:r>
      <w:hyperlink r:id="rId28" w:history="1">
        <w:r w:rsidRPr="00797DDC">
          <w:rPr>
            <w:rStyle w:val="Hyperlink"/>
            <w:rFonts w:cstheme="majorBidi"/>
            <w:spacing w:val="4"/>
            <w:lang w:val="en-US"/>
          </w:rPr>
          <w:t>C21/47</w:t>
        </w:r>
      </w:hyperlink>
      <w:r w:rsidRPr="00797DDC">
        <w:rPr>
          <w:rFonts w:asciiTheme="majorBidi" w:hAnsiTheme="majorBidi" w:cstheme="majorBidi"/>
        </w:rPr>
        <w:t xml:space="preserve"> </w:t>
      </w:r>
      <w:r w:rsidRPr="00797DDC">
        <w:rPr>
          <w:rFonts w:asciiTheme="minorHAnsi" w:hAnsiTheme="minorHAnsi"/>
          <w:szCs w:val="24"/>
        </w:rPr>
        <w:t>to Council 2021 in April 2021 and document</w:t>
      </w:r>
      <w:r w:rsidRPr="00797DDC">
        <w:rPr>
          <w:rFonts w:asciiTheme="majorBidi" w:hAnsiTheme="majorBidi" w:cstheme="majorBidi"/>
        </w:rPr>
        <w:t xml:space="preserve"> </w:t>
      </w:r>
      <w:hyperlink r:id="rId29" w:history="1">
        <w:r w:rsidRPr="00797DDC">
          <w:rPr>
            <w:rStyle w:val="Hyperlink"/>
            <w:rFonts w:asciiTheme="minorHAnsi" w:hAnsiTheme="minorHAnsi" w:cstheme="majorBidi"/>
          </w:rPr>
          <w:t>CWG-FHR-14/6</w:t>
        </w:r>
      </w:hyperlink>
      <w:r w:rsidRPr="00797DDC">
        <w:rPr>
          <w:rFonts w:asciiTheme="majorBidi" w:hAnsiTheme="majorBidi" w:cstheme="majorBidi"/>
        </w:rPr>
        <w:t xml:space="preserve"> </w:t>
      </w:r>
      <w:r w:rsidRPr="00797DDC">
        <w:rPr>
          <w:rFonts w:asciiTheme="minorHAnsi" w:hAnsiTheme="minorHAnsi"/>
          <w:szCs w:val="24"/>
        </w:rPr>
        <w:t>to the fourteenth CWG-FHR meeting in July 2021, which provided updates of the status of implementation of Council Decisions 600 and 601, including the status of the contacts for UIFN service providers and IIN assignees.</w:t>
      </w:r>
    </w:p>
    <w:p w14:paraId="477285B1" w14:textId="2728C82B" w:rsidR="000A3753" w:rsidRDefault="000A3753" w:rsidP="000A3753">
      <w:pPr>
        <w:spacing w:after="120"/>
        <w:jc w:val="both"/>
        <w:rPr>
          <w:rFonts w:asciiTheme="minorHAnsi" w:hAnsiTheme="minorHAnsi"/>
          <w:szCs w:val="24"/>
        </w:rPr>
      </w:pPr>
      <w:r w:rsidRPr="00797DDC">
        <w:rPr>
          <w:rFonts w:asciiTheme="minorHAnsi" w:hAnsiTheme="minorHAnsi"/>
          <w:szCs w:val="24"/>
        </w:rPr>
        <w:t>TSB presented document</w:t>
      </w:r>
      <w:r w:rsidRPr="00797DDC">
        <w:rPr>
          <w:rFonts w:asciiTheme="majorBidi" w:hAnsiTheme="majorBidi" w:cstheme="majorBidi"/>
        </w:rPr>
        <w:t xml:space="preserve"> </w:t>
      </w:r>
      <w:hyperlink r:id="rId30" w:history="1">
        <w:r w:rsidRPr="00797DDC">
          <w:rPr>
            <w:rStyle w:val="Hyperlink"/>
            <w:rFonts w:asciiTheme="minorHAnsi" w:hAnsiTheme="minorHAnsi" w:cstheme="majorBidi"/>
          </w:rPr>
          <w:t>CWG-FHR-14/7</w:t>
        </w:r>
      </w:hyperlink>
      <w:r w:rsidRPr="00797DDC">
        <w:rPr>
          <w:rFonts w:asciiTheme="minorHAnsi" w:hAnsiTheme="minorHAnsi"/>
          <w:szCs w:val="24"/>
        </w:rPr>
        <w:t xml:space="preserve"> to the fourteenth CWG-FHR meeting which summarized the proposed advice to the Director of TSB from an ITU-T SG2 meeting regarding International Numbering Resource revenue collection and the possibility of reclaiming International Numbering Resource where payment to the ITU is outstanding.</w:t>
      </w:r>
    </w:p>
    <w:p w14:paraId="0F7F9FC2" w14:textId="2793C3E7" w:rsidR="000A3753" w:rsidRPr="00797DDC" w:rsidRDefault="000A3753" w:rsidP="000A3753">
      <w:pPr>
        <w:spacing w:after="120"/>
        <w:jc w:val="both"/>
        <w:rPr>
          <w:rFonts w:asciiTheme="minorHAnsi" w:hAnsiTheme="minorHAnsi"/>
          <w:szCs w:val="24"/>
        </w:rPr>
      </w:pPr>
      <w:r w:rsidRPr="000E578A">
        <w:rPr>
          <w:rFonts w:asciiTheme="minorHAnsi" w:hAnsiTheme="minorHAnsi"/>
          <w:szCs w:val="24"/>
        </w:rPr>
        <w:t xml:space="preserve">As a result of the COVID-19 pandemic, Council meetings were conducted in a virtual format. These virtual </w:t>
      </w:r>
      <w:r>
        <w:rPr>
          <w:rFonts w:asciiTheme="minorHAnsi" w:hAnsiTheme="minorHAnsi"/>
          <w:szCs w:val="24"/>
        </w:rPr>
        <w:t>meeting</w:t>
      </w:r>
      <w:r w:rsidRPr="000E578A">
        <w:rPr>
          <w:rFonts w:asciiTheme="minorHAnsi" w:hAnsiTheme="minorHAnsi"/>
          <w:szCs w:val="24"/>
        </w:rPr>
        <w:t>s were time constrain</w:t>
      </w:r>
      <w:r>
        <w:rPr>
          <w:rFonts w:asciiTheme="minorHAnsi" w:hAnsiTheme="minorHAnsi"/>
          <w:szCs w:val="24"/>
        </w:rPr>
        <w:t xml:space="preserve">ed </w:t>
      </w:r>
      <w:r w:rsidRPr="000E578A">
        <w:rPr>
          <w:rFonts w:asciiTheme="minorHAnsi" w:hAnsiTheme="minorHAnsi"/>
          <w:szCs w:val="24"/>
        </w:rPr>
        <w:t xml:space="preserve">and </w:t>
      </w:r>
      <w:r>
        <w:rPr>
          <w:rFonts w:asciiTheme="minorHAnsi" w:hAnsiTheme="minorHAnsi"/>
          <w:szCs w:val="24"/>
        </w:rPr>
        <w:t xml:space="preserve">focusing </w:t>
      </w:r>
      <w:r w:rsidRPr="000E578A">
        <w:rPr>
          <w:rFonts w:asciiTheme="minorHAnsi" w:hAnsiTheme="minorHAnsi"/>
          <w:szCs w:val="24"/>
        </w:rPr>
        <w:t>on addressing specific tasks. Consequently, no formal reports were presented during these meetings.</w:t>
      </w:r>
    </w:p>
    <w:p w14:paraId="2E20A1C1" w14:textId="6B81A741" w:rsidR="000A3753" w:rsidRPr="00797DDC" w:rsidRDefault="000A3753" w:rsidP="4F69C17D">
      <w:pPr>
        <w:spacing w:after="120"/>
        <w:jc w:val="both"/>
        <w:rPr>
          <w:rFonts w:asciiTheme="minorHAnsi" w:hAnsiTheme="minorHAnsi"/>
        </w:rPr>
      </w:pPr>
      <w:r w:rsidRPr="000A3753">
        <w:rPr>
          <w:noProof/>
          <w:lang w:val="es-ES"/>
        </w:rPr>
        <mc:AlternateContent>
          <mc:Choice Requires="wps">
            <w:drawing>
              <wp:anchor distT="0" distB="0" distL="114300" distR="114300" simplePos="0" relativeHeight="251658240" behindDoc="0" locked="0" layoutInCell="1" allowOverlap="1" wp14:anchorId="0A8C28B6" wp14:editId="45CB63A4">
                <wp:simplePos x="0" y="0"/>
                <wp:positionH relativeFrom="column">
                  <wp:posOffset>-364490</wp:posOffset>
                </wp:positionH>
                <wp:positionV relativeFrom="page">
                  <wp:posOffset>5156835</wp:posOffset>
                </wp:positionV>
                <wp:extent cx="6542405" cy="4705985"/>
                <wp:effectExtent l="0" t="0" r="10795" b="18415"/>
                <wp:wrapSquare wrapText="bothSides"/>
                <wp:docPr id="4512766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2405" cy="4705985"/>
                        </a:xfrm>
                        <a:prstGeom prst="rect">
                          <a:avLst/>
                        </a:prstGeom>
                        <a:solidFill>
                          <a:srgbClr val="FFFFFF"/>
                        </a:solidFill>
                        <a:ln w="9525">
                          <a:solidFill>
                            <a:srgbClr val="000000"/>
                          </a:solidFill>
                          <a:miter lim="800000"/>
                          <a:headEnd/>
                          <a:tailEnd/>
                        </a:ln>
                      </wps:spPr>
                      <wps:txbx>
                        <w:txbxContent>
                          <w:p w14:paraId="62A4831D" w14:textId="77777777" w:rsidR="000A3753" w:rsidRPr="000A3753" w:rsidRDefault="000A3753" w:rsidP="00617484">
                            <w:pPr>
                              <w:spacing w:before="80"/>
                              <w:jc w:val="both"/>
                              <w:rPr>
                                <w:b/>
                                <w:bCs/>
                                <w:i/>
                                <w:iCs/>
                                <w:lang w:val="en-US"/>
                              </w:rPr>
                            </w:pPr>
                            <w:bookmarkStart w:id="13" w:name="_Hlk152235927"/>
                            <w:r w:rsidRPr="000A3753">
                              <w:rPr>
                                <w:b/>
                                <w:bCs/>
                                <w:i/>
                                <w:iCs/>
                                <w:lang w:val="en-US"/>
                              </w:rPr>
                              <w:t>Recommendation</w:t>
                            </w:r>
                          </w:p>
                          <w:p w14:paraId="5C46CDDE" w14:textId="77777777" w:rsidR="000A3753" w:rsidRPr="000A3753" w:rsidRDefault="000A3753" w:rsidP="000A3753">
                            <w:pPr>
                              <w:jc w:val="both"/>
                              <w:rPr>
                                <w:lang w:val="en-US"/>
                              </w:rPr>
                            </w:pPr>
                            <w:r w:rsidRPr="000A3753">
                              <w:rPr>
                                <w:lang w:val="en-US"/>
                              </w:rPr>
                              <w:t>The list of UIFN service providers in Annex A to Document C19/47 will be marked as “not reachable” in the ITU database. The records for these UIFN service providers are subject to removal from the ITU database and the UIFNs assigned to them are subject for reclamation based on confirmations/notifications from national Administrations/regulators as recommended by Council 2018. Among these UIFN service providers, for the ones to whom invoices for the maintenance fee for 2018 have been sent, the invoices will be cancelled.</w:t>
                            </w:r>
                          </w:p>
                          <w:p w14:paraId="2354B1CA" w14:textId="77777777" w:rsidR="000A3753" w:rsidRPr="000A3753" w:rsidRDefault="000A3753" w:rsidP="000A3753">
                            <w:pPr>
                              <w:jc w:val="both"/>
                              <w:rPr>
                                <w:lang w:val="en-US"/>
                              </w:rPr>
                            </w:pPr>
                            <w:r w:rsidRPr="000A3753">
                              <w:rPr>
                                <w:lang w:val="en-US"/>
                              </w:rPr>
                              <w:t>If the invoices sent to the UIFN service providers in Annex B to Document C19/47 remain unpaid for an extended period, the secretariat will seek assistance from Member States to recover the debt.</w:t>
                            </w:r>
                          </w:p>
                          <w:p w14:paraId="03355AB1" w14:textId="06F6E4FF" w:rsidR="000A3753" w:rsidRPr="000A3753" w:rsidRDefault="000A3753" w:rsidP="000A3753">
                            <w:pPr>
                              <w:jc w:val="both"/>
                              <w:rPr>
                                <w:lang w:val="en-US"/>
                              </w:rPr>
                            </w:pPr>
                            <w:r w:rsidRPr="000A3753">
                              <w:rPr>
                                <w:iCs/>
                                <w:lang w:val="en-US"/>
                              </w:rPr>
                              <w:t>National Administrations/regulators or</w:t>
                            </w:r>
                            <w:r w:rsidRPr="000A3753">
                              <w:rPr>
                                <w:lang w:val="en-US"/>
                              </w:rPr>
                              <w:t xml:space="preserve"> authorized agencies</w:t>
                            </w:r>
                            <w:r w:rsidRPr="000A3753">
                              <w:rPr>
                                <w:iCs/>
                                <w:lang w:val="en-US"/>
                              </w:rPr>
                              <w:t xml:space="preserve"> are encouraged to provide assistance in identifying the up-to-date contact or status of the UIFN service providers (e.g., if they are no longer in business) listed in Annex C to </w:t>
                            </w:r>
                            <w:r w:rsidRPr="000A3753">
                              <w:rPr>
                                <w:lang w:val="en-US"/>
                              </w:rPr>
                              <w:t>Document C19/47</w:t>
                            </w:r>
                            <w:r w:rsidRPr="000A3753">
                              <w:rPr>
                                <w:iCs/>
                                <w:lang w:val="en-US"/>
                              </w:rPr>
                              <w:t>.</w:t>
                            </w:r>
                          </w:p>
                          <w:p w14:paraId="30E4F6A4" w14:textId="77777777" w:rsidR="000A3753" w:rsidRPr="000A3753" w:rsidRDefault="000A3753" w:rsidP="000A3753">
                            <w:pPr>
                              <w:jc w:val="both"/>
                              <w:rPr>
                                <w:lang w:val="en-US"/>
                              </w:rPr>
                            </w:pPr>
                            <w:r w:rsidRPr="000A3753">
                              <w:rPr>
                                <w:lang w:val="en-US"/>
                              </w:rPr>
                              <w:t>The list of IINs for which contact information is pending will be published on ITU website as IINs with the status “assignee not reachable” and will be announced in the ITU Operational Bulletin. National Administrations/regulators or authorized agencies are encouraged to provide assistance in identifying their up-to-date status and/or contact information.</w:t>
                            </w:r>
                          </w:p>
                          <w:p w14:paraId="5AD6D037" w14:textId="77777777" w:rsidR="000A3753" w:rsidRPr="000A3753" w:rsidRDefault="000A3753" w:rsidP="000A3753">
                            <w:pPr>
                              <w:jc w:val="both"/>
                              <w:rPr>
                                <w:lang w:val="en-US"/>
                              </w:rPr>
                            </w:pPr>
                            <w:r w:rsidRPr="000A3753">
                              <w:rPr>
                                <w:iCs/>
                                <w:lang w:val="en-US"/>
                              </w:rPr>
                              <w:t>For the UIFNs and IINs which are still under consultation with national Administrations/regulators or authorized agencies, their status should be confirmed before 31 October 2019. If no objection is received from national Administrations/regulators or authorized agencies, the corresponding UIFNs and IINs will be considered as no longer active and removed from ITU databases.</w:t>
                            </w:r>
                          </w:p>
                          <w:p w14:paraId="7DFEA844" w14:textId="77777777" w:rsidR="000A3753" w:rsidRDefault="000A3753" w:rsidP="000A3753">
                            <w:pPr>
                              <w:jc w:val="both"/>
                            </w:pPr>
                            <w:r w:rsidRPr="000A3753">
                              <w:rPr>
                                <w:iCs/>
                                <w:lang w:val="en-US"/>
                              </w:rPr>
                              <w:t xml:space="preserve">UIFN service providers or IIN assignees with the status of </w:t>
                            </w:r>
                            <w:r w:rsidRPr="000A3753">
                              <w:rPr>
                                <w:i/>
                                <w:lang w:val="en-US"/>
                              </w:rPr>
                              <w:t>ADMIN RELATED</w:t>
                            </w:r>
                            <w:r w:rsidRPr="000A3753">
                              <w:rPr>
                                <w:iCs/>
                                <w:lang w:val="en-US"/>
                              </w:rPr>
                              <w:t xml:space="preserve"> are not subject to the annual maintenance fee.</w:t>
                            </w:r>
                            <w:bookmarkEnd w:id="1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C28B6" id="_x0000_t202" coordsize="21600,21600" o:spt="202" path="m,l,21600r21600,l21600,xe">
                <v:stroke joinstyle="miter"/>
                <v:path gradientshapeok="t" o:connecttype="rect"/>
              </v:shapetype>
              <v:shape id="Text Box 2" o:spid="_x0000_s1026" type="#_x0000_t202" style="position:absolute;left:0;text-align:left;margin-left:-28.7pt;margin-top:406.05pt;width:515.15pt;height:37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">
                <v:textbox>
                  <w:txbxContent>
                    <w:p w14:paraId="62A4831D" w14:textId="77777777" w:rsidR="000A3753" w:rsidRPr="000A3753" w:rsidRDefault="000A3753" w:rsidP="00617484">
                      <w:pPr>
                        <w:spacing w:before="80"/>
                        <w:jc w:val="both"/>
                        <w:rPr>
                          <w:b/>
                          <w:bCs/>
                          <w:i/>
                          <w:iCs/>
                          <w:lang w:val="en-US"/>
                        </w:rPr>
                      </w:pPr>
                      <w:bookmarkStart w:id="14" w:name="_Hlk152235927"/>
                      <w:r w:rsidRPr="000A3753">
                        <w:rPr>
                          <w:b/>
                          <w:bCs/>
                          <w:i/>
                          <w:iCs/>
                          <w:lang w:val="en-US"/>
                        </w:rPr>
                        <w:t>Recommendation</w:t>
                      </w:r>
                    </w:p>
                    <w:p w14:paraId="5C46CDDE" w14:textId="77777777" w:rsidR="000A3753" w:rsidRPr="000A3753" w:rsidRDefault="000A3753" w:rsidP="000A3753">
                      <w:pPr>
                        <w:jc w:val="both"/>
                        <w:rPr>
                          <w:lang w:val="en-US"/>
                        </w:rPr>
                      </w:pPr>
                      <w:r w:rsidRPr="000A3753">
                        <w:rPr>
                          <w:lang w:val="en-US"/>
                        </w:rPr>
                        <w:t>The list of UIFN service providers in Annex A to Document C19/47 will be marked as “not reachable” in the ITU database. The records for these UIFN service providers are subject to removal from the ITU database and the UIFNs assigned to them are subject for reclamation based on confirmations/notifications from national Administrations/regulators as recommended by Council 2018. Among these UIFN service providers, for the ones to whom invoices for the maintenance fee for 2018 have been sent, the invoices will be cancelled.</w:t>
                      </w:r>
                    </w:p>
                    <w:p w14:paraId="2354B1CA" w14:textId="77777777" w:rsidR="000A3753" w:rsidRPr="000A3753" w:rsidRDefault="000A3753" w:rsidP="000A3753">
                      <w:pPr>
                        <w:jc w:val="both"/>
                        <w:rPr>
                          <w:lang w:val="en-US"/>
                        </w:rPr>
                      </w:pPr>
                      <w:r w:rsidRPr="000A3753">
                        <w:rPr>
                          <w:lang w:val="en-US"/>
                        </w:rPr>
                        <w:t>If the invoices sent to the UIFN service providers in Annex B to Document C19/47 remain unpaid for an extended period, the secretariat will seek assistance from Member States to recover the debt.</w:t>
                      </w:r>
                    </w:p>
                    <w:p w14:paraId="03355AB1" w14:textId="06F6E4FF" w:rsidR="000A3753" w:rsidRPr="000A3753" w:rsidRDefault="000A3753" w:rsidP="000A3753">
                      <w:pPr>
                        <w:jc w:val="both"/>
                        <w:rPr>
                          <w:lang w:val="en-US"/>
                        </w:rPr>
                      </w:pPr>
                      <w:r w:rsidRPr="000A3753">
                        <w:rPr>
                          <w:iCs/>
                          <w:lang w:val="en-US"/>
                        </w:rPr>
                        <w:t>National Administrations/regulators or</w:t>
                      </w:r>
                      <w:r w:rsidRPr="000A3753">
                        <w:rPr>
                          <w:lang w:val="en-US"/>
                        </w:rPr>
                        <w:t xml:space="preserve"> authorized agencies</w:t>
                      </w:r>
                      <w:r w:rsidRPr="000A3753">
                        <w:rPr>
                          <w:iCs/>
                          <w:lang w:val="en-US"/>
                        </w:rPr>
                        <w:t xml:space="preserve"> are encouraged to </w:t>
                      </w:r>
                      <w:proofErr w:type="gramStart"/>
                      <w:r w:rsidRPr="000A3753">
                        <w:rPr>
                          <w:iCs/>
                          <w:lang w:val="en-US"/>
                        </w:rPr>
                        <w:t>provide assistance</w:t>
                      </w:r>
                      <w:proofErr w:type="gramEnd"/>
                      <w:r w:rsidRPr="000A3753">
                        <w:rPr>
                          <w:iCs/>
                          <w:lang w:val="en-US"/>
                        </w:rPr>
                        <w:t xml:space="preserve"> in identifying the up-to-date contact or status of the UIFN service providers (e.g., if they are no longer in business) listed in Annex C to </w:t>
                      </w:r>
                      <w:r w:rsidRPr="000A3753">
                        <w:rPr>
                          <w:lang w:val="en-US"/>
                        </w:rPr>
                        <w:t>Document C19/47</w:t>
                      </w:r>
                      <w:r w:rsidRPr="000A3753">
                        <w:rPr>
                          <w:iCs/>
                          <w:lang w:val="en-US"/>
                        </w:rPr>
                        <w:t>.</w:t>
                      </w:r>
                    </w:p>
                    <w:p w14:paraId="30E4F6A4" w14:textId="77777777" w:rsidR="000A3753" w:rsidRPr="000A3753" w:rsidRDefault="000A3753" w:rsidP="000A3753">
                      <w:pPr>
                        <w:jc w:val="both"/>
                        <w:rPr>
                          <w:lang w:val="en-US"/>
                        </w:rPr>
                      </w:pPr>
                      <w:r w:rsidRPr="000A3753">
                        <w:rPr>
                          <w:lang w:val="en-US"/>
                        </w:rPr>
                        <w:t xml:space="preserve">The list of IINs for which contact information is pending will be published on ITU website as IINs with the status “assignee not reachable” and will be announced in the ITU Operational Bulletin. National Administrations/regulators or authorized agencies are encouraged to </w:t>
                      </w:r>
                      <w:proofErr w:type="gramStart"/>
                      <w:r w:rsidRPr="000A3753">
                        <w:rPr>
                          <w:lang w:val="en-US"/>
                        </w:rPr>
                        <w:t>provide assistance</w:t>
                      </w:r>
                      <w:proofErr w:type="gramEnd"/>
                      <w:r w:rsidRPr="000A3753">
                        <w:rPr>
                          <w:lang w:val="en-US"/>
                        </w:rPr>
                        <w:t xml:space="preserve"> in identifying their up-to-date status and/or contact information.</w:t>
                      </w:r>
                    </w:p>
                    <w:p w14:paraId="5AD6D037" w14:textId="77777777" w:rsidR="000A3753" w:rsidRPr="000A3753" w:rsidRDefault="000A3753" w:rsidP="000A3753">
                      <w:pPr>
                        <w:jc w:val="both"/>
                        <w:rPr>
                          <w:lang w:val="en-US"/>
                        </w:rPr>
                      </w:pPr>
                      <w:r w:rsidRPr="000A3753">
                        <w:rPr>
                          <w:iCs/>
                          <w:lang w:val="en-US"/>
                        </w:rPr>
                        <w:t>For the UIFNs and IINs which are still under consultation with national Administrations/regulators or authorized agencies, their status should be confirmed before 31 October 2019. If no objection is received from national Administrations/regulators or authorized agencies, the corresponding UIFNs and IINs will be considered as no longer active and removed from ITU databases.</w:t>
                      </w:r>
                    </w:p>
                    <w:p w14:paraId="7DFEA844" w14:textId="77777777" w:rsidR="000A3753" w:rsidRDefault="000A3753" w:rsidP="000A3753">
                      <w:pPr>
                        <w:jc w:val="both"/>
                      </w:pPr>
                      <w:r w:rsidRPr="000A3753">
                        <w:rPr>
                          <w:iCs/>
                          <w:lang w:val="en-US"/>
                        </w:rPr>
                        <w:t xml:space="preserve">UIFN service providers or IIN assignees with the status of </w:t>
                      </w:r>
                      <w:r w:rsidRPr="000A3753">
                        <w:rPr>
                          <w:i/>
                          <w:lang w:val="en-US"/>
                        </w:rPr>
                        <w:t>ADMIN RELATED</w:t>
                      </w:r>
                      <w:r w:rsidRPr="000A3753">
                        <w:rPr>
                          <w:iCs/>
                          <w:lang w:val="en-US"/>
                        </w:rPr>
                        <w:t xml:space="preserve"> are not subject to the annual maintenance fee.</w:t>
                      </w:r>
                      <w:bookmarkEnd w:id="14"/>
                    </w:p>
                  </w:txbxContent>
                </v:textbox>
                <w10:wrap type="square" anchory="page"/>
              </v:shape>
            </w:pict>
          </mc:Fallback>
        </mc:AlternateContent>
      </w:r>
      <w:r w:rsidRPr="4F69C17D">
        <w:rPr>
          <w:rFonts w:asciiTheme="minorHAnsi" w:hAnsiTheme="minorHAnsi"/>
        </w:rPr>
        <w:t xml:space="preserve">1.3 </w:t>
      </w:r>
      <w:r w:rsidRPr="00797DDC">
        <w:rPr>
          <w:rFonts w:asciiTheme="minorHAnsi" w:hAnsiTheme="minorHAnsi"/>
          <w:szCs w:val="24"/>
        </w:rPr>
        <w:tab/>
      </w:r>
      <w:r w:rsidRPr="4F69C17D">
        <w:rPr>
          <w:rFonts w:asciiTheme="minorHAnsi" w:hAnsiTheme="minorHAnsi"/>
        </w:rPr>
        <w:t xml:space="preserve">Council 19 approved the recommendations captured in Section </w:t>
      </w:r>
      <w:r w:rsidRPr="4F69C17D">
        <w:rPr>
          <w:rFonts w:cs="Calibri"/>
          <w:lang w:val="en-US"/>
        </w:rPr>
        <w:t xml:space="preserve">2.2.25 of the summary record of the ninth and last council plenary meeting in document </w:t>
      </w:r>
      <w:hyperlink r:id="rId31" w:history="1">
        <w:r w:rsidRPr="00797DDC">
          <w:rPr>
            <w:rStyle w:val="Hyperlink"/>
          </w:rPr>
          <w:t>C19/120</w:t>
        </w:r>
      </w:hyperlink>
      <w:r w:rsidRPr="4F69C17D">
        <w:rPr>
          <w:rFonts w:asciiTheme="minorHAnsi" w:hAnsiTheme="minorHAnsi"/>
        </w:rPr>
        <w:t>. The approved recommendations are as follows:</w:t>
      </w:r>
    </w:p>
    <w:bookmarkEnd w:id="12"/>
    <w:p w14:paraId="257674B4" w14:textId="1E4F61F6" w:rsidR="00A514A4" w:rsidRDefault="000A3753" w:rsidP="000A3753">
      <w:pPr>
        <w:tabs>
          <w:tab w:val="clear" w:pos="567"/>
          <w:tab w:val="clear" w:pos="1134"/>
          <w:tab w:val="clear" w:pos="1701"/>
          <w:tab w:val="clear" w:pos="2268"/>
          <w:tab w:val="clear" w:pos="2835"/>
        </w:tabs>
        <w:overflowPunct/>
        <w:autoSpaceDE/>
        <w:autoSpaceDN/>
        <w:adjustRightInd/>
        <w:spacing w:before="0"/>
        <w:textAlignment w:val="auto"/>
        <w:rPr>
          <w:bCs/>
        </w:rPr>
      </w:pPr>
      <w:r w:rsidRPr="000A3753">
        <w:lastRenderedPageBreak/>
        <w:t xml:space="preserve">The fourteenth CWG-FHR meeting conclusions are captured in Section 9 of </w:t>
      </w:r>
      <w:r w:rsidRPr="000A3753">
        <w:rPr>
          <w:bCs/>
          <w:lang w:val="en-US"/>
        </w:rPr>
        <w:t xml:space="preserve">the summary report of the fourteenth meeting of CWG-FHR in document </w:t>
      </w:r>
      <w:hyperlink r:id="rId32" w:history="1">
        <w:r w:rsidRPr="000A3753">
          <w:rPr>
            <w:rStyle w:val="Hyperlink"/>
          </w:rPr>
          <w:t>CWG-FHR-14/12</w:t>
        </w:r>
      </w:hyperlink>
      <w:r w:rsidRPr="000A3753">
        <w:rPr>
          <w:bCs/>
        </w:rPr>
        <w:t>, in particular the conclusions below</w:t>
      </w:r>
      <w:r w:rsidR="00C261DB">
        <w:rPr>
          <w:bCs/>
        </w:rPr>
        <w:t>:</w:t>
      </w:r>
    </w:p>
    <w:p w14:paraId="3E18C424" w14:textId="666DD6E9" w:rsidR="00C261DB" w:rsidRPr="008B41D4" w:rsidRDefault="00617484" w:rsidP="000A3753">
      <w:pPr>
        <w:tabs>
          <w:tab w:val="clear" w:pos="567"/>
          <w:tab w:val="clear" w:pos="1134"/>
          <w:tab w:val="clear" w:pos="1701"/>
          <w:tab w:val="clear" w:pos="2268"/>
          <w:tab w:val="clear" w:pos="2835"/>
        </w:tabs>
        <w:overflowPunct/>
        <w:autoSpaceDE/>
        <w:autoSpaceDN/>
        <w:adjustRightInd/>
        <w:spacing w:before="0"/>
        <w:textAlignment w:val="auto"/>
      </w:pPr>
      <w:r w:rsidRPr="000A3753">
        <w:rPr>
          <w:noProof/>
          <w:lang w:val="es-ES"/>
        </w:rPr>
        <mc:AlternateContent>
          <mc:Choice Requires="wps">
            <w:drawing>
              <wp:anchor distT="0" distB="0" distL="114300" distR="114300" simplePos="0" relativeHeight="251660288" behindDoc="0" locked="0" layoutInCell="1" allowOverlap="1" wp14:anchorId="43E6E7EC" wp14:editId="1B214A22">
                <wp:simplePos x="0" y="0"/>
                <wp:positionH relativeFrom="column">
                  <wp:posOffset>-366395</wp:posOffset>
                </wp:positionH>
                <wp:positionV relativeFrom="page">
                  <wp:posOffset>1651762</wp:posOffset>
                </wp:positionV>
                <wp:extent cx="6479540" cy="7174230"/>
                <wp:effectExtent l="0" t="0" r="16510" b="26670"/>
                <wp:wrapSquare wrapText="bothSides"/>
                <wp:docPr id="439853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7174230"/>
                        </a:xfrm>
                        <a:prstGeom prst="rect">
                          <a:avLst/>
                        </a:prstGeom>
                        <a:solidFill>
                          <a:srgbClr val="FFFFFF"/>
                        </a:solidFill>
                        <a:ln w="9525">
                          <a:solidFill>
                            <a:srgbClr val="000000"/>
                          </a:solidFill>
                          <a:miter lim="800000"/>
                          <a:headEnd/>
                          <a:tailEnd/>
                        </a:ln>
                      </wps:spPr>
                      <wps:txbx>
                        <w:txbxContent>
                          <w:p w14:paraId="263A31A2" w14:textId="0C9E24EE" w:rsidR="000A3753" w:rsidRPr="000A3753" w:rsidRDefault="000A3753" w:rsidP="00C261DB">
                            <w:pPr>
                              <w:spacing w:before="240" w:after="120"/>
                              <w:jc w:val="both"/>
                              <w:rPr>
                                <w:lang w:val="en-US"/>
                              </w:rPr>
                            </w:pPr>
                            <w:r w:rsidRPr="00C261DB">
                              <w:rPr>
                                <w:lang w:val="en-US"/>
                              </w:rPr>
                              <w:t>C</w:t>
                            </w:r>
                            <w:r w:rsidRPr="000A3753">
                              <w:rPr>
                                <w:lang w:val="en-US"/>
                              </w:rPr>
                              <w:t>onclusion</w:t>
                            </w:r>
                          </w:p>
                          <w:p w14:paraId="218EEA79" w14:textId="63800DF3" w:rsidR="000A3753" w:rsidRPr="000A3753" w:rsidRDefault="000A3753" w:rsidP="00C261DB">
                            <w:pPr>
                              <w:spacing w:before="240" w:after="120"/>
                              <w:jc w:val="both"/>
                              <w:rPr>
                                <w:lang w:val="en-US"/>
                              </w:rPr>
                            </w:pPr>
                            <w:r w:rsidRPr="000A3753">
                              <w:rPr>
                                <w:lang w:val="en-US"/>
                              </w:rPr>
                              <w:t xml:space="preserve">9.7 </w:t>
                            </w:r>
                            <w:r w:rsidR="00326AFA">
                              <w:rPr>
                                <w:lang w:val="en-US"/>
                              </w:rPr>
                              <w:tab/>
                            </w:r>
                            <w:r w:rsidRPr="000A3753">
                              <w:rPr>
                                <w:lang w:val="en-US"/>
                              </w:rPr>
                              <w:t>The secretariat seeks the continued assistance of Members States in recovering the debt identified in Annex B.</w:t>
                            </w:r>
                          </w:p>
                          <w:p w14:paraId="02C5D68A" w14:textId="42A41BC3" w:rsidR="000A3753" w:rsidRPr="000A3753" w:rsidRDefault="000A3753" w:rsidP="00C261DB">
                            <w:pPr>
                              <w:spacing w:before="240" w:after="120"/>
                              <w:jc w:val="both"/>
                              <w:rPr>
                                <w:lang w:val="en-US"/>
                              </w:rPr>
                            </w:pPr>
                            <w:r w:rsidRPr="000A3753">
                              <w:rPr>
                                <w:lang w:val="en-US"/>
                              </w:rPr>
                              <w:t xml:space="preserve">9.8 </w:t>
                            </w:r>
                            <w:r w:rsidR="00326AFA">
                              <w:rPr>
                                <w:lang w:val="en-US"/>
                              </w:rPr>
                              <w:tab/>
                            </w:r>
                            <w:r w:rsidRPr="000A3753">
                              <w:rPr>
                                <w:lang w:val="en-US"/>
                              </w:rPr>
                              <w:t>National Administrations/regulators or authorized agencies are encouraged to aid the secretariat in identifying up-to-date status and/or contact information for UIFN identified in Annex C and IIN contacts in section 3.1.4.</w:t>
                            </w:r>
                          </w:p>
                          <w:p w14:paraId="7AC4108B" w14:textId="77777777" w:rsidR="000A3753" w:rsidRPr="000A3753" w:rsidRDefault="000A3753" w:rsidP="00C261DB">
                            <w:pPr>
                              <w:spacing w:before="240" w:after="120"/>
                              <w:jc w:val="both"/>
                              <w:rPr>
                                <w:lang w:val="en-US"/>
                              </w:rPr>
                            </w:pPr>
                            <w:r w:rsidRPr="000A3753">
                              <w:rPr>
                                <w:lang w:val="en-US"/>
                              </w:rPr>
                              <w:t>… …</w:t>
                            </w:r>
                          </w:p>
                          <w:p w14:paraId="4EBBAF57" w14:textId="2CC9E4AD" w:rsidR="000A3753" w:rsidRPr="000A3753" w:rsidRDefault="000A3753" w:rsidP="00C261DB">
                            <w:pPr>
                              <w:spacing w:before="240" w:after="120"/>
                              <w:jc w:val="both"/>
                              <w:rPr>
                                <w:lang w:val="en-US"/>
                              </w:rPr>
                            </w:pPr>
                            <w:r w:rsidRPr="000A3753">
                              <w:rPr>
                                <w:lang w:val="en-US"/>
                              </w:rPr>
                              <w:t xml:space="preserve">9.15 </w:t>
                            </w:r>
                            <w:r w:rsidR="00326AFA">
                              <w:rPr>
                                <w:lang w:val="en-US"/>
                              </w:rPr>
                              <w:tab/>
                            </w:r>
                            <w:r w:rsidRPr="000A3753">
                              <w:rPr>
                                <w:lang w:val="en-US"/>
                              </w:rPr>
                              <w:t>SG2 also advises the Director of TSB to invite Council to instruct him to proceed as follows in case of non-payment of fees for numbering resources:</w:t>
                            </w:r>
                          </w:p>
                          <w:p w14:paraId="11427D57" w14:textId="77777777" w:rsidR="000A3753" w:rsidRPr="000A3753" w:rsidRDefault="000A3753" w:rsidP="00C261DB">
                            <w:pPr>
                              <w:spacing w:before="240" w:after="120"/>
                              <w:jc w:val="both"/>
                              <w:rPr>
                                <w:lang w:val="en-US"/>
                              </w:rPr>
                            </w:pPr>
                            <w:r w:rsidRPr="000A3753">
                              <w:rPr>
                                <w:lang w:val="en-US"/>
                              </w:rPr>
                              <w:t>a) Send a request for payment within 90 days (if the contact information in the ITU-T database is incorrect, request the relevant Member State to assist in obtaining up-to-date contact information; if no up-to-date contact information can be obtained, send a notice of planned reclamation to the address in the database in accordance with step (c) below and proceed in accordance with step (d) below).</w:t>
                            </w:r>
                          </w:p>
                          <w:p w14:paraId="3ECF3930" w14:textId="77777777" w:rsidR="000A3753" w:rsidRPr="000A3753" w:rsidRDefault="000A3753" w:rsidP="00C261DB">
                            <w:pPr>
                              <w:spacing w:before="240" w:after="120"/>
                              <w:jc w:val="both"/>
                              <w:rPr>
                                <w:lang w:val="en-US"/>
                              </w:rPr>
                            </w:pPr>
                            <w:r w:rsidRPr="000A3753">
                              <w:rPr>
                                <w:lang w:val="en-US"/>
                              </w:rPr>
                              <w:t>b) If no payment is received within 90 days, send a second request for payment within 60 days.</w:t>
                            </w:r>
                          </w:p>
                          <w:p w14:paraId="2ED1C453" w14:textId="77777777" w:rsidR="000A3753" w:rsidRPr="000A3753" w:rsidRDefault="000A3753" w:rsidP="00C261DB">
                            <w:pPr>
                              <w:spacing w:before="240" w:after="120"/>
                              <w:jc w:val="both"/>
                              <w:rPr>
                                <w:lang w:val="en-US"/>
                              </w:rPr>
                            </w:pPr>
                            <w:r w:rsidRPr="000A3753">
                              <w:rPr>
                                <w:lang w:val="en-US"/>
                              </w:rPr>
                              <w:t>c) If no payment is received within 60 days, send a notice of planned reclamation if no payment is received within 30 days.</w:t>
                            </w:r>
                          </w:p>
                          <w:p w14:paraId="40656E7B" w14:textId="77777777" w:rsidR="000A3753" w:rsidRPr="000A3753" w:rsidRDefault="000A3753" w:rsidP="00C261DB">
                            <w:pPr>
                              <w:spacing w:before="240" w:after="120"/>
                              <w:jc w:val="both"/>
                              <w:rPr>
                                <w:lang w:val="en-US"/>
                              </w:rPr>
                            </w:pPr>
                            <w:r w:rsidRPr="000A3753">
                              <w:rPr>
                                <w:lang w:val="en-US"/>
                              </w:rPr>
                              <w:t>d) If no payment is received within 30 days, reclaim the resource (a notification of reclamation is sent to the assignee and the reclamation is published in the Operational Bulletin).</w:t>
                            </w:r>
                          </w:p>
                          <w:p w14:paraId="0E4C45B8" w14:textId="77777777" w:rsidR="000A3753" w:rsidRPr="000A3753" w:rsidRDefault="000A3753" w:rsidP="00C261DB">
                            <w:pPr>
                              <w:spacing w:before="240" w:after="120"/>
                              <w:jc w:val="both"/>
                              <w:rPr>
                                <w:lang w:val="en-US"/>
                              </w:rPr>
                            </w:pPr>
                            <w:r w:rsidRPr="000A3753">
                              <w:rPr>
                                <w:lang w:val="en-US"/>
                              </w:rPr>
                              <w:t>Conclusion</w:t>
                            </w:r>
                          </w:p>
                          <w:p w14:paraId="12F8783D" w14:textId="58569CB5" w:rsidR="000A3753" w:rsidRDefault="000A3753" w:rsidP="00C261DB">
                            <w:pPr>
                              <w:spacing w:before="240" w:after="120"/>
                              <w:jc w:val="both"/>
                            </w:pPr>
                            <w:r w:rsidRPr="00C261DB">
                              <w:t xml:space="preserve">9.16 </w:t>
                            </w:r>
                            <w:r w:rsidR="00326AFA">
                              <w:tab/>
                            </w:r>
                            <w:r w:rsidRPr="00C261DB">
                              <w:t>The TSB Director consulted with internal ITU departments, including the Financial Resources Management Department. The proposed advice and elements in section 2 of this document were considered useful as they give a clear basis to deal with non-payment issues related to numbering resources.</w:t>
                            </w:r>
                          </w:p>
                          <w:p w14:paraId="4966018D" w14:textId="0DC6C01F" w:rsidR="00C261DB" w:rsidRDefault="00C261DB" w:rsidP="00C261DB">
                            <w:pPr>
                              <w:spacing w:before="240" w:after="120"/>
                              <w:jc w:val="both"/>
                            </w:pPr>
                            <w:r w:rsidRPr="00C261DB">
                              <w:t xml:space="preserve">9.17 </w:t>
                            </w:r>
                            <w:r w:rsidR="00326AFA">
                              <w:tab/>
                            </w:r>
                            <w:r w:rsidRPr="00C261DB">
                              <w:t>The Financial Resources Management Department would apply the timeframes mentioned above in its billing system when collecting revenue for INRs. This approach helps to ensure consistent and efficient implementation.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6E7EC" id="_x0000_s1027" type="#_x0000_t202" style="position:absolute;margin-left:-28.85pt;margin-top:130.05pt;width:510.2pt;height:56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">
                <v:textbox>
                  <w:txbxContent>
                    <w:p w14:paraId="263A31A2" w14:textId="0C9E24EE" w:rsidR="000A3753" w:rsidRPr="000A3753" w:rsidRDefault="000A3753" w:rsidP="00C261DB">
                      <w:pPr>
                        <w:spacing w:before="240" w:after="120"/>
                        <w:jc w:val="both"/>
                        <w:rPr>
                          <w:lang w:val="en-US"/>
                        </w:rPr>
                      </w:pPr>
                      <w:r w:rsidRPr="00C261DB">
                        <w:rPr>
                          <w:lang w:val="en-US"/>
                        </w:rPr>
                        <w:t>C</w:t>
                      </w:r>
                      <w:r w:rsidRPr="000A3753">
                        <w:rPr>
                          <w:lang w:val="en-US"/>
                        </w:rPr>
                        <w:t>onclusion</w:t>
                      </w:r>
                    </w:p>
                    <w:p w14:paraId="218EEA79" w14:textId="63800DF3" w:rsidR="000A3753" w:rsidRPr="000A3753" w:rsidRDefault="000A3753" w:rsidP="00C261DB">
                      <w:pPr>
                        <w:spacing w:before="240" w:after="120"/>
                        <w:jc w:val="both"/>
                        <w:rPr>
                          <w:lang w:val="en-US"/>
                        </w:rPr>
                      </w:pPr>
                      <w:r w:rsidRPr="000A3753">
                        <w:rPr>
                          <w:lang w:val="en-US"/>
                        </w:rPr>
                        <w:t xml:space="preserve">9.7 </w:t>
                      </w:r>
                      <w:r w:rsidR="00326AFA">
                        <w:rPr>
                          <w:lang w:val="en-US"/>
                        </w:rPr>
                        <w:tab/>
                      </w:r>
                      <w:r w:rsidRPr="000A3753">
                        <w:rPr>
                          <w:lang w:val="en-US"/>
                        </w:rPr>
                        <w:t>The secretariat seeks the continued assistance of Members States in recovering the debt identified in Annex B.</w:t>
                      </w:r>
                    </w:p>
                    <w:p w14:paraId="02C5D68A" w14:textId="42A41BC3" w:rsidR="000A3753" w:rsidRPr="000A3753" w:rsidRDefault="000A3753" w:rsidP="00C261DB">
                      <w:pPr>
                        <w:spacing w:before="240" w:after="120"/>
                        <w:jc w:val="both"/>
                        <w:rPr>
                          <w:lang w:val="en-US"/>
                        </w:rPr>
                      </w:pPr>
                      <w:r w:rsidRPr="000A3753">
                        <w:rPr>
                          <w:lang w:val="en-US"/>
                        </w:rPr>
                        <w:t xml:space="preserve">9.8 </w:t>
                      </w:r>
                      <w:r w:rsidR="00326AFA">
                        <w:rPr>
                          <w:lang w:val="en-US"/>
                        </w:rPr>
                        <w:tab/>
                      </w:r>
                      <w:r w:rsidRPr="000A3753">
                        <w:rPr>
                          <w:lang w:val="en-US"/>
                        </w:rPr>
                        <w:t>National Administrations/regulators or authorized agencies are encouraged to aid the secretariat in identifying up-to-date status and/or contact information for UIFN identified in Annex C and IIN contacts in section 3.1.4.</w:t>
                      </w:r>
                    </w:p>
                    <w:p w14:paraId="7AC4108B" w14:textId="77777777" w:rsidR="000A3753" w:rsidRPr="000A3753" w:rsidRDefault="000A3753" w:rsidP="00C261DB">
                      <w:pPr>
                        <w:spacing w:before="240" w:after="120"/>
                        <w:jc w:val="both"/>
                        <w:rPr>
                          <w:lang w:val="en-US"/>
                        </w:rPr>
                      </w:pPr>
                      <w:r w:rsidRPr="000A3753">
                        <w:rPr>
                          <w:lang w:val="en-US"/>
                        </w:rPr>
                        <w:t>… …</w:t>
                      </w:r>
                    </w:p>
                    <w:p w14:paraId="4EBBAF57" w14:textId="2CC9E4AD" w:rsidR="000A3753" w:rsidRPr="000A3753" w:rsidRDefault="000A3753" w:rsidP="00C261DB">
                      <w:pPr>
                        <w:spacing w:before="240" w:after="120"/>
                        <w:jc w:val="both"/>
                        <w:rPr>
                          <w:lang w:val="en-US"/>
                        </w:rPr>
                      </w:pPr>
                      <w:r w:rsidRPr="000A3753">
                        <w:rPr>
                          <w:lang w:val="en-US"/>
                        </w:rPr>
                        <w:t xml:space="preserve">9.15 </w:t>
                      </w:r>
                      <w:r w:rsidR="00326AFA">
                        <w:rPr>
                          <w:lang w:val="en-US"/>
                        </w:rPr>
                        <w:tab/>
                      </w:r>
                      <w:r w:rsidRPr="000A3753">
                        <w:rPr>
                          <w:lang w:val="en-US"/>
                        </w:rPr>
                        <w:t>SG2 also advises the Director of TSB to invite Council to instruct him to proceed as follows in case of non-payment of fees for numbering resources:</w:t>
                      </w:r>
                    </w:p>
                    <w:p w14:paraId="11427D57" w14:textId="77777777" w:rsidR="000A3753" w:rsidRPr="000A3753" w:rsidRDefault="000A3753" w:rsidP="00C261DB">
                      <w:pPr>
                        <w:spacing w:before="240" w:after="120"/>
                        <w:jc w:val="both"/>
                        <w:rPr>
                          <w:lang w:val="en-US"/>
                        </w:rPr>
                      </w:pPr>
                      <w:r w:rsidRPr="000A3753">
                        <w:rPr>
                          <w:lang w:val="en-US"/>
                        </w:rPr>
                        <w:t>a) Send a request for payment within 90 days (if the contact information in the ITU-T database is incorrect, request the relevant Member State to assist in obtaining up-to-date contact information; if no up-to-date contact information can be obtained, send a notice of planned reclamation to the address in the database in accordance with step (c) below and proceed in accordance with step (d) below).</w:t>
                      </w:r>
                    </w:p>
                    <w:p w14:paraId="3ECF3930" w14:textId="77777777" w:rsidR="000A3753" w:rsidRPr="000A3753" w:rsidRDefault="000A3753" w:rsidP="00C261DB">
                      <w:pPr>
                        <w:spacing w:before="240" w:after="120"/>
                        <w:jc w:val="both"/>
                        <w:rPr>
                          <w:lang w:val="en-US"/>
                        </w:rPr>
                      </w:pPr>
                      <w:r w:rsidRPr="000A3753">
                        <w:rPr>
                          <w:lang w:val="en-US"/>
                        </w:rPr>
                        <w:t>b) If no payment is received within 90 days, send a second request for payment within 60 days.</w:t>
                      </w:r>
                    </w:p>
                    <w:p w14:paraId="2ED1C453" w14:textId="77777777" w:rsidR="000A3753" w:rsidRPr="000A3753" w:rsidRDefault="000A3753" w:rsidP="00C261DB">
                      <w:pPr>
                        <w:spacing w:before="240" w:after="120"/>
                        <w:jc w:val="both"/>
                        <w:rPr>
                          <w:lang w:val="en-US"/>
                        </w:rPr>
                      </w:pPr>
                      <w:r w:rsidRPr="000A3753">
                        <w:rPr>
                          <w:lang w:val="en-US"/>
                        </w:rPr>
                        <w:t>c) If no payment is received within 60 days, send a notice of planned reclamation if no payment is received within 30 days.</w:t>
                      </w:r>
                    </w:p>
                    <w:p w14:paraId="40656E7B" w14:textId="77777777" w:rsidR="000A3753" w:rsidRPr="000A3753" w:rsidRDefault="000A3753" w:rsidP="00C261DB">
                      <w:pPr>
                        <w:spacing w:before="240" w:after="120"/>
                        <w:jc w:val="both"/>
                        <w:rPr>
                          <w:lang w:val="en-US"/>
                        </w:rPr>
                      </w:pPr>
                      <w:r w:rsidRPr="000A3753">
                        <w:rPr>
                          <w:lang w:val="en-US"/>
                        </w:rPr>
                        <w:t>d) If no payment is received within 30 days, reclaim the resource (a notification of reclamation is sent to the assignee and the reclamation is published in the Operational Bulletin).</w:t>
                      </w:r>
                    </w:p>
                    <w:p w14:paraId="0E4C45B8" w14:textId="77777777" w:rsidR="000A3753" w:rsidRPr="000A3753" w:rsidRDefault="000A3753" w:rsidP="00C261DB">
                      <w:pPr>
                        <w:spacing w:before="240" w:after="120"/>
                        <w:jc w:val="both"/>
                        <w:rPr>
                          <w:lang w:val="en-US"/>
                        </w:rPr>
                      </w:pPr>
                      <w:r w:rsidRPr="000A3753">
                        <w:rPr>
                          <w:lang w:val="en-US"/>
                        </w:rPr>
                        <w:t>Conclusion</w:t>
                      </w:r>
                    </w:p>
                    <w:p w14:paraId="12F8783D" w14:textId="58569CB5" w:rsidR="000A3753" w:rsidRDefault="000A3753" w:rsidP="00C261DB">
                      <w:pPr>
                        <w:spacing w:before="240" w:after="120"/>
                        <w:jc w:val="both"/>
                      </w:pPr>
                      <w:r w:rsidRPr="00C261DB">
                        <w:t xml:space="preserve">9.16 </w:t>
                      </w:r>
                      <w:r w:rsidR="00326AFA">
                        <w:tab/>
                      </w:r>
                      <w:r w:rsidRPr="00C261DB">
                        <w:t>The TSB Director consulted with internal ITU departments, including the Financial Resources Management Department. The proposed advice and elements in section 2 of this document were considered useful as they give a clear basis to deal with non-payment issues related to numbering resources.</w:t>
                      </w:r>
                    </w:p>
                    <w:p w14:paraId="4966018D" w14:textId="0DC6C01F" w:rsidR="00C261DB" w:rsidRDefault="00C261DB" w:rsidP="00C261DB">
                      <w:pPr>
                        <w:spacing w:before="240" w:after="120"/>
                        <w:jc w:val="both"/>
                      </w:pPr>
                      <w:r w:rsidRPr="00C261DB">
                        <w:t xml:space="preserve">9.17 </w:t>
                      </w:r>
                      <w:r w:rsidR="00326AFA">
                        <w:tab/>
                      </w:r>
                      <w:r w:rsidRPr="00C261DB">
                        <w:t>The Financial Resources Management Department would apply the timeframes mentioned above in its billing system when collecting revenue for INRs. This approach helps to ensure consistent and efficient implementation.</w:t>
                      </w:r>
                    </w:p>
                  </w:txbxContent>
                </v:textbox>
                <w10:wrap type="square" anchory="page"/>
              </v:shape>
            </w:pict>
          </mc:Fallback>
        </mc:AlternateContent>
      </w:r>
      <w:r w:rsidR="00C261DB" w:rsidRPr="008B41D4">
        <w:br w:type="page"/>
      </w:r>
    </w:p>
    <w:p w14:paraId="62F93D73" w14:textId="77777777" w:rsidR="00C261DB" w:rsidRPr="00617484" w:rsidRDefault="00C261DB" w:rsidP="00C261DB">
      <w:pPr>
        <w:pStyle w:val="Heading1"/>
        <w:spacing w:after="120"/>
        <w:rPr>
          <w:rFonts w:eastAsia="Calibri"/>
          <w:szCs w:val="28"/>
        </w:rPr>
      </w:pPr>
      <w:r w:rsidRPr="00617484">
        <w:rPr>
          <w:rFonts w:eastAsia="Calibri"/>
          <w:szCs w:val="28"/>
        </w:rPr>
        <w:lastRenderedPageBreak/>
        <w:t>2</w:t>
      </w:r>
      <w:r w:rsidRPr="00617484">
        <w:rPr>
          <w:rFonts w:eastAsia="Calibri"/>
          <w:szCs w:val="28"/>
        </w:rPr>
        <w:tab/>
        <w:t>Financial updates</w:t>
      </w:r>
    </w:p>
    <w:p w14:paraId="0EB74164" w14:textId="401B143A" w:rsidR="00C261DB" w:rsidRPr="00797DDC" w:rsidRDefault="00C261DB" w:rsidP="00C261DB">
      <w:pPr>
        <w:keepNext/>
        <w:keepLines/>
        <w:spacing w:after="120"/>
        <w:jc w:val="both"/>
        <w:rPr>
          <w:rFonts w:asciiTheme="minorHAnsi" w:hAnsiTheme="minorHAnsi"/>
          <w:szCs w:val="24"/>
        </w:rPr>
      </w:pPr>
      <w:r w:rsidRPr="00797DDC">
        <w:rPr>
          <w:rFonts w:asciiTheme="minorHAnsi" w:hAnsiTheme="minorHAnsi"/>
          <w:szCs w:val="24"/>
        </w:rPr>
        <w:t xml:space="preserve">2.1 </w:t>
      </w:r>
      <w:r w:rsidR="00617484">
        <w:rPr>
          <w:rFonts w:asciiTheme="minorHAnsi" w:hAnsiTheme="minorHAnsi"/>
          <w:szCs w:val="24"/>
        </w:rPr>
        <w:tab/>
      </w:r>
      <w:r w:rsidRPr="00797DDC">
        <w:rPr>
          <w:rFonts w:asciiTheme="minorHAnsi" w:hAnsiTheme="minorHAnsi"/>
          <w:szCs w:val="24"/>
        </w:rPr>
        <w:t>UIFN (Council Decision 600)</w:t>
      </w:r>
    </w:p>
    <w:p w14:paraId="27546049" w14:textId="77777777" w:rsidR="00C261DB" w:rsidRDefault="00C261DB" w:rsidP="00617484">
      <w:pPr>
        <w:keepNext/>
        <w:keepLines/>
        <w:tabs>
          <w:tab w:val="clear" w:pos="567"/>
        </w:tabs>
        <w:spacing w:before="240" w:after="120"/>
        <w:jc w:val="both"/>
        <w:rPr>
          <w:rFonts w:asciiTheme="minorHAnsi" w:hAnsiTheme="minorHAnsi"/>
          <w:szCs w:val="24"/>
        </w:rPr>
      </w:pPr>
      <w:r>
        <w:rPr>
          <w:rFonts w:asciiTheme="minorHAnsi" w:hAnsiTheme="minorHAnsi"/>
          <w:szCs w:val="24"/>
        </w:rPr>
        <w:t>As shown in the figure below:</w:t>
      </w:r>
    </w:p>
    <w:p w14:paraId="6AFEAAE1" w14:textId="77777777" w:rsidR="00C261DB" w:rsidRDefault="00C261DB" w:rsidP="00617484">
      <w:pPr>
        <w:keepNext/>
        <w:keepLines/>
        <w:spacing w:before="240" w:after="240"/>
        <w:ind w:left="567"/>
        <w:jc w:val="center"/>
        <w:rPr>
          <w:rFonts w:asciiTheme="minorHAnsi" w:hAnsiTheme="minorHAnsi"/>
          <w:szCs w:val="24"/>
        </w:rPr>
      </w:pPr>
      <w:r>
        <w:rPr>
          <w:noProof/>
        </w:rPr>
        <w:drawing>
          <wp:inline distT="0" distB="0" distL="0" distR="0" wp14:anchorId="19C5CF6F" wp14:editId="54B39516">
            <wp:extent cx="3971720" cy="2331439"/>
            <wp:effectExtent l="0" t="0" r="0" b="0"/>
            <wp:docPr id="4" name="Picture 3" descr="A graph of a graph with numbers and a line&#10;&#10;Description automatically generated with medium confidence">
              <a:extLst xmlns:a="http://schemas.openxmlformats.org/drawingml/2006/main">
                <a:ext uri="{FF2B5EF4-FFF2-40B4-BE49-F238E27FC236}">
                  <a16:creationId xmlns:a16="http://schemas.microsoft.com/office/drawing/2014/main" id="{07825E65-2142-14EB-446E-15B6CF20EC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raph of a graph with numbers and a line&#10;&#10;Description automatically generated with medium confidence">
                      <a:extLst>
                        <a:ext uri="{FF2B5EF4-FFF2-40B4-BE49-F238E27FC236}">
                          <a16:creationId xmlns:a16="http://schemas.microsoft.com/office/drawing/2014/main" id="{07825E65-2142-14EB-446E-15B6CF20EC5C}"/>
                        </a:ext>
                      </a:extLst>
                    </pic:cNvPr>
                    <pic:cNvPicPr>
                      <a:picLocks noChangeAspect="1"/>
                    </pic:cNvPicPr>
                  </pic:nvPicPr>
                  <pic:blipFill>
                    <a:blip r:embed="rId33"/>
                    <a:stretch>
                      <a:fillRect/>
                    </a:stretch>
                  </pic:blipFill>
                  <pic:spPr>
                    <a:xfrm>
                      <a:off x="0" y="0"/>
                      <a:ext cx="3995790" cy="2345568"/>
                    </a:xfrm>
                    <a:prstGeom prst="rect">
                      <a:avLst/>
                    </a:prstGeom>
                  </pic:spPr>
                </pic:pic>
              </a:graphicData>
            </a:graphic>
          </wp:inline>
        </w:drawing>
      </w:r>
    </w:p>
    <w:p w14:paraId="46EE7C30" w14:textId="77777777" w:rsidR="00C261DB" w:rsidRPr="00797DDC" w:rsidRDefault="00C261DB" w:rsidP="00C261DB">
      <w:pPr>
        <w:keepNext/>
        <w:keepLines/>
        <w:tabs>
          <w:tab w:val="clear" w:pos="567"/>
        </w:tabs>
        <w:spacing w:after="120"/>
        <w:jc w:val="both"/>
        <w:rPr>
          <w:rFonts w:asciiTheme="minorHAnsi" w:hAnsiTheme="minorHAnsi"/>
          <w:szCs w:val="24"/>
        </w:rPr>
      </w:pPr>
      <w:r w:rsidRPr="00797DDC">
        <w:rPr>
          <w:rFonts w:asciiTheme="minorHAnsi" w:hAnsiTheme="minorHAnsi"/>
          <w:szCs w:val="24"/>
        </w:rPr>
        <w:t>In 2018, the invoices for the UIFN annual maintenance fee represented CHF 744 400. An amount of CHF 349 033 has been cancelled per Council 2019 recommendations for entities that are no longer in business. To date 94% of the valid invoices amounting to CHF </w:t>
      </w:r>
      <w:bookmarkStart w:id="14" w:name="_Hlk66811276"/>
      <w:r w:rsidRPr="00797DDC">
        <w:rPr>
          <w:rFonts w:asciiTheme="minorHAnsi" w:hAnsiTheme="minorHAnsi"/>
          <w:szCs w:val="24"/>
        </w:rPr>
        <w:t xml:space="preserve">395 367 </w:t>
      </w:r>
      <w:bookmarkEnd w:id="14"/>
      <w:r w:rsidRPr="00797DDC">
        <w:rPr>
          <w:rFonts w:asciiTheme="minorHAnsi" w:hAnsiTheme="minorHAnsi"/>
          <w:szCs w:val="24"/>
        </w:rPr>
        <w:t xml:space="preserve">have been paid and CHF 20 </w:t>
      </w:r>
      <w:r>
        <w:rPr>
          <w:rFonts w:asciiTheme="minorHAnsi" w:hAnsiTheme="minorHAnsi"/>
          <w:szCs w:val="24"/>
        </w:rPr>
        <w:t>3</w:t>
      </w:r>
      <w:r w:rsidRPr="00797DDC">
        <w:rPr>
          <w:rFonts w:asciiTheme="minorHAnsi" w:hAnsiTheme="minorHAnsi"/>
          <w:szCs w:val="24"/>
        </w:rPr>
        <w:t>00 still needs to be recovered.</w:t>
      </w:r>
    </w:p>
    <w:p w14:paraId="461F206B" w14:textId="77777777" w:rsidR="00C261DB" w:rsidRPr="00797DDC" w:rsidRDefault="00C261DB" w:rsidP="00C261DB">
      <w:pPr>
        <w:tabs>
          <w:tab w:val="clear" w:pos="567"/>
        </w:tabs>
        <w:spacing w:after="120"/>
        <w:jc w:val="both"/>
        <w:rPr>
          <w:rFonts w:asciiTheme="minorHAnsi" w:hAnsiTheme="minorHAnsi"/>
          <w:szCs w:val="24"/>
        </w:rPr>
      </w:pPr>
      <w:r w:rsidRPr="00797DDC">
        <w:rPr>
          <w:rFonts w:asciiTheme="minorHAnsi" w:hAnsiTheme="minorHAnsi"/>
          <w:szCs w:val="24"/>
        </w:rPr>
        <w:t>For 2019, the invoices sent represented CHF 193 100 and 99% of the payments have been received. The remainder still needs to be recovered.</w:t>
      </w:r>
    </w:p>
    <w:p w14:paraId="332B80B0" w14:textId="77777777" w:rsidR="00C261DB" w:rsidRPr="00797DDC" w:rsidRDefault="00C261DB" w:rsidP="00C261DB">
      <w:pPr>
        <w:tabs>
          <w:tab w:val="clear" w:pos="567"/>
        </w:tabs>
        <w:spacing w:after="120"/>
        <w:jc w:val="both"/>
        <w:rPr>
          <w:rFonts w:asciiTheme="minorHAnsi" w:hAnsiTheme="minorHAnsi"/>
          <w:szCs w:val="24"/>
        </w:rPr>
      </w:pPr>
      <w:r w:rsidRPr="00797DDC">
        <w:rPr>
          <w:rFonts w:asciiTheme="minorHAnsi" w:hAnsiTheme="minorHAnsi"/>
          <w:szCs w:val="24"/>
        </w:rPr>
        <w:t>For 2020, the invoices sent represented CHF 201 600 and 99% of the payments have been received. The remainder still needs to be recovered.</w:t>
      </w:r>
    </w:p>
    <w:p w14:paraId="26F4B548" w14:textId="77777777" w:rsidR="00C261DB" w:rsidRPr="00797DDC" w:rsidRDefault="00C261DB" w:rsidP="00C261DB">
      <w:pPr>
        <w:tabs>
          <w:tab w:val="clear" w:pos="567"/>
        </w:tabs>
        <w:spacing w:after="120"/>
        <w:jc w:val="both"/>
        <w:rPr>
          <w:rFonts w:asciiTheme="minorHAnsi" w:hAnsiTheme="minorHAnsi"/>
          <w:szCs w:val="24"/>
        </w:rPr>
      </w:pPr>
      <w:r w:rsidRPr="00797DDC">
        <w:rPr>
          <w:rFonts w:asciiTheme="minorHAnsi" w:hAnsiTheme="minorHAnsi"/>
          <w:szCs w:val="24"/>
        </w:rPr>
        <w:t xml:space="preserve">For 2021, the invoices sent represented CHF 204 400 and </w:t>
      </w:r>
      <w:r w:rsidRPr="00797DDC">
        <w:rPr>
          <w:rFonts w:asciiTheme="minorHAnsi" w:hAnsiTheme="minorHAnsi"/>
          <w:color w:val="000000" w:themeColor="text1"/>
          <w:szCs w:val="24"/>
        </w:rPr>
        <w:t>99%</w:t>
      </w:r>
      <w:r w:rsidRPr="00797DDC">
        <w:rPr>
          <w:rFonts w:asciiTheme="minorHAnsi" w:hAnsiTheme="minorHAnsi"/>
          <w:szCs w:val="24"/>
        </w:rPr>
        <w:t xml:space="preserve"> of the payments have been received. The remainder still needs to be recovered.</w:t>
      </w:r>
    </w:p>
    <w:p w14:paraId="14DB60BA" w14:textId="77777777" w:rsidR="00C261DB" w:rsidRPr="00797DDC" w:rsidRDefault="00C261DB" w:rsidP="00C261DB">
      <w:pPr>
        <w:tabs>
          <w:tab w:val="clear" w:pos="567"/>
        </w:tabs>
        <w:spacing w:after="120"/>
        <w:jc w:val="both"/>
        <w:rPr>
          <w:rFonts w:asciiTheme="minorHAnsi" w:hAnsiTheme="minorHAnsi"/>
          <w:szCs w:val="24"/>
        </w:rPr>
      </w:pPr>
      <w:r w:rsidRPr="00797DDC">
        <w:rPr>
          <w:rFonts w:asciiTheme="minorHAnsi" w:hAnsiTheme="minorHAnsi"/>
          <w:szCs w:val="24"/>
        </w:rPr>
        <w:t>For 2022, the invoices sent represented CHF 205 700 and 72% of the payments have been received. The remainder still needs to be recovered.</w:t>
      </w:r>
    </w:p>
    <w:p w14:paraId="3F1A83AE" w14:textId="77777777" w:rsidR="00C261DB" w:rsidRPr="00797DDC" w:rsidRDefault="00C261DB" w:rsidP="00C261DB">
      <w:pPr>
        <w:tabs>
          <w:tab w:val="clear" w:pos="567"/>
        </w:tabs>
        <w:spacing w:after="120"/>
        <w:jc w:val="both"/>
        <w:rPr>
          <w:rFonts w:asciiTheme="minorHAnsi" w:hAnsiTheme="minorHAnsi"/>
          <w:szCs w:val="24"/>
        </w:rPr>
      </w:pPr>
      <w:r w:rsidRPr="00797DDC">
        <w:rPr>
          <w:rFonts w:asciiTheme="minorHAnsi" w:hAnsiTheme="minorHAnsi"/>
          <w:szCs w:val="24"/>
        </w:rPr>
        <w:t>As of 31.10.2023, the total amount to be recovered for UIFN maintenance fee for 2018-2022 is CHF 7</w:t>
      </w:r>
      <w:r>
        <w:rPr>
          <w:rFonts w:asciiTheme="minorHAnsi" w:hAnsiTheme="minorHAnsi"/>
          <w:szCs w:val="24"/>
        </w:rPr>
        <w:t>7</w:t>
      </w:r>
      <w:r w:rsidRPr="00797DDC">
        <w:rPr>
          <w:rFonts w:asciiTheme="minorHAnsi" w:hAnsiTheme="minorHAnsi"/>
          <w:szCs w:val="24"/>
        </w:rPr>
        <w:t xml:space="preserve"> </w:t>
      </w:r>
      <w:r>
        <w:rPr>
          <w:rFonts w:asciiTheme="minorHAnsi" w:hAnsiTheme="minorHAnsi"/>
          <w:szCs w:val="24"/>
        </w:rPr>
        <w:t>6</w:t>
      </w:r>
      <w:r w:rsidRPr="00797DDC">
        <w:rPr>
          <w:rFonts w:asciiTheme="minorHAnsi" w:hAnsiTheme="minorHAnsi"/>
          <w:szCs w:val="24"/>
        </w:rPr>
        <w:t xml:space="preserve">00. </w:t>
      </w:r>
      <w:r>
        <w:rPr>
          <w:rFonts w:asciiTheme="minorHAnsi" w:hAnsiTheme="minorHAnsi"/>
          <w:szCs w:val="24"/>
        </w:rPr>
        <w:t>And the unpaid fee of one service provider occupies 72% of the total amount.</w:t>
      </w:r>
    </w:p>
    <w:p w14:paraId="773A8851" w14:textId="698FD439" w:rsidR="00C261DB" w:rsidRPr="00797DDC" w:rsidRDefault="00C261DB" w:rsidP="4F69C17D">
      <w:pPr>
        <w:tabs>
          <w:tab w:val="clear" w:pos="567"/>
        </w:tabs>
        <w:spacing w:after="120"/>
        <w:jc w:val="both"/>
        <w:rPr>
          <w:rFonts w:asciiTheme="minorHAnsi" w:hAnsiTheme="minorHAnsi"/>
        </w:rPr>
      </w:pPr>
      <w:r w:rsidRPr="4F69C17D">
        <w:rPr>
          <w:rFonts w:asciiTheme="minorHAnsi" w:hAnsiTheme="minorHAnsi"/>
        </w:rPr>
        <w:t xml:space="preserve">Annex B lists the entities for which TSB has a valid contact, that have been billed for 2018-2022 and have not paid their bills to date. The SG2 advice approved at the fourteenth meeting of CWG-FHR (document </w:t>
      </w:r>
      <w:hyperlink r:id="rId34">
        <w:r w:rsidRPr="4F69C17D">
          <w:rPr>
            <w:rStyle w:val="Hyperlink"/>
            <w:rFonts w:asciiTheme="minorHAnsi" w:hAnsiTheme="minorHAnsi"/>
          </w:rPr>
          <w:t>CWG-FHR-14/12</w:t>
        </w:r>
      </w:hyperlink>
      <w:r w:rsidRPr="4F69C17D">
        <w:rPr>
          <w:rFonts w:asciiTheme="minorHAnsi" w:hAnsiTheme="minorHAnsi"/>
        </w:rPr>
        <w:t xml:space="preserve">, </w:t>
      </w:r>
      <w:hyperlink r:id="rId35">
        <w:r w:rsidRPr="4F69C17D">
          <w:rPr>
            <w:rStyle w:val="Hyperlink"/>
            <w:rFonts w:asciiTheme="minorHAnsi" w:hAnsiTheme="minorHAnsi"/>
          </w:rPr>
          <w:t>C22/50</w:t>
        </w:r>
      </w:hyperlink>
      <w:r w:rsidRPr="4F69C17D">
        <w:rPr>
          <w:rFonts w:asciiTheme="minorHAnsi" w:hAnsiTheme="minorHAnsi"/>
        </w:rPr>
        <w:t>) has mostly implemented for the cases in the table except for few in 2022. The secretariat will start to remove the service providers in the table and write off the corresponding debts.</w:t>
      </w:r>
    </w:p>
    <w:p w14:paraId="1B8C9107" w14:textId="10CBA68A" w:rsidR="00C261DB" w:rsidRPr="00797DDC" w:rsidRDefault="00C261DB" w:rsidP="00617484">
      <w:pPr>
        <w:spacing w:before="240" w:after="120"/>
        <w:jc w:val="both"/>
        <w:rPr>
          <w:rFonts w:asciiTheme="minorHAnsi" w:hAnsiTheme="minorHAnsi"/>
          <w:szCs w:val="24"/>
        </w:rPr>
      </w:pPr>
      <w:r w:rsidRPr="00797DDC">
        <w:rPr>
          <w:rFonts w:asciiTheme="minorHAnsi" w:hAnsiTheme="minorHAnsi"/>
          <w:szCs w:val="24"/>
        </w:rPr>
        <w:t xml:space="preserve">2.2 </w:t>
      </w:r>
      <w:r w:rsidR="00617484">
        <w:rPr>
          <w:rFonts w:asciiTheme="minorHAnsi" w:hAnsiTheme="minorHAnsi"/>
          <w:szCs w:val="24"/>
        </w:rPr>
        <w:tab/>
      </w:r>
      <w:r w:rsidRPr="00797DDC">
        <w:rPr>
          <w:rFonts w:asciiTheme="minorHAnsi" w:hAnsiTheme="minorHAnsi"/>
          <w:szCs w:val="24"/>
        </w:rPr>
        <w:t>IIN (Council Decision 601)</w:t>
      </w:r>
    </w:p>
    <w:p w14:paraId="7AA467EC" w14:textId="77777777" w:rsidR="00C261DB" w:rsidRDefault="00C261DB" w:rsidP="00C261DB">
      <w:pPr>
        <w:tabs>
          <w:tab w:val="clear" w:pos="567"/>
        </w:tabs>
        <w:spacing w:before="0" w:after="120"/>
        <w:jc w:val="both"/>
        <w:rPr>
          <w:rFonts w:asciiTheme="minorHAnsi" w:hAnsiTheme="minorHAnsi"/>
          <w:szCs w:val="24"/>
        </w:rPr>
      </w:pPr>
      <w:r>
        <w:rPr>
          <w:rFonts w:asciiTheme="minorHAnsi" w:hAnsiTheme="minorHAnsi"/>
          <w:szCs w:val="24"/>
        </w:rPr>
        <w:t>Preparation of IIN invoices is in process. ITU FRMD will issue IIN invoices in the first semester of 2024.</w:t>
      </w:r>
    </w:p>
    <w:p w14:paraId="1033B349" w14:textId="0A9BC695" w:rsidR="00C261DB" w:rsidRDefault="00C261DB" w:rsidP="00617484">
      <w:pPr>
        <w:keepNext/>
        <w:keepLines/>
        <w:spacing w:before="0" w:after="120"/>
        <w:jc w:val="both"/>
        <w:rPr>
          <w:rFonts w:asciiTheme="minorHAnsi" w:hAnsiTheme="minorHAnsi"/>
          <w:szCs w:val="24"/>
        </w:rPr>
      </w:pPr>
      <w:r>
        <w:rPr>
          <w:rFonts w:asciiTheme="minorHAnsi" w:hAnsiTheme="minorHAnsi"/>
          <w:szCs w:val="24"/>
        </w:rPr>
        <w:lastRenderedPageBreak/>
        <w:t xml:space="preserve">2.3 </w:t>
      </w:r>
      <w:r w:rsidR="00617484">
        <w:rPr>
          <w:rFonts w:asciiTheme="minorHAnsi" w:hAnsiTheme="minorHAnsi"/>
          <w:szCs w:val="24"/>
        </w:rPr>
        <w:tab/>
        <w:t>R</w:t>
      </w:r>
      <w:r>
        <w:rPr>
          <w:rFonts w:asciiTheme="minorHAnsi" w:hAnsiTheme="minorHAnsi"/>
          <w:szCs w:val="24"/>
        </w:rPr>
        <w:t>evenue from UIFN and IIN</w:t>
      </w:r>
    </w:p>
    <w:p w14:paraId="2A71B663" w14:textId="77777777" w:rsidR="00C261DB" w:rsidRDefault="00C261DB" w:rsidP="00617484">
      <w:pPr>
        <w:keepNext/>
        <w:keepLines/>
        <w:tabs>
          <w:tab w:val="clear" w:pos="567"/>
        </w:tabs>
        <w:jc w:val="both"/>
      </w:pPr>
      <w:r>
        <w:t xml:space="preserve">For 2022, the revenue from UIFN is CHF 236 200 (Includes one-off fee and annual maintenance fee). For 2023, </w:t>
      </w:r>
      <w:r w:rsidRPr="00D563F4">
        <w:t xml:space="preserve">a forecast revenue from UIFN is around CHF 190 000 </w:t>
      </w:r>
      <w:r>
        <w:t xml:space="preserve">(Includes one-off fee and annual maintenance fee). </w:t>
      </w:r>
    </w:p>
    <w:p w14:paraId="676EB6A6" w14:textId="77777777" w:rsidR="00C261DB" w:rsidRDefault="00C261DB" w:rsidP="00C261DB">
      <w:pPr>
        <w:jc w:val="both"/>
      </w:pPr>
      <w:r>
        <w:t xml:space="preserve">Newly registered IINs were around 20 per year. This represents a revenue of CHF 5 000. </w:t>
      </w:r>
    </w:p>
    <w:p w14:paraId="1D61F179" w14:textId="77777777" w:rsidR="00C261DB" w:rsidRDefault="00C261DB" w:rsidP="00C261DB">
      <w:pPr>
        <w:jc w:val="both"/>
      </w:pPr>
      <w:r>
        <w:t>In general, CHF 200 000 would be a reasonable anticipated revenue per year.</w:t>
      </w:r>
    </w:p>
    <w:p w14:paraId="51796966" w14:textId="77777777" w:rsidR="00C261DB" w:rsidRPr="00617484" w:rsidRDefault="00C261DB" w:rsidP="00C261DB">
      <w:pPr>
        <w:pStyle w:val="Heading1"/>
        <w:spacing w:before="360" w:after="120"/>
        <w:rPr>
          <w:rFonts w:asciiTheme="minorHAnsi" w:hAnsiTheme="minorHAnsi"/>
          <w:szCs w:val="28"/>
        </w:rPr>
      </w:pPr>
      <w:r w:rsidRPr="00617484">
        <w:rPr>
          <w:rFonts w:eastAsia="Calibri"/>
          <w:szCs w:val="28"/>
        </w:rPr>
        <w:t>3</w:t>
      </w:r>
      <w:r w:rsidRPr="00617484">
        <w:rPr>
          <w:rFonts w:eastAsia="Calibri"/>
          <w:szCs w:val="28"/>
        </w:rPr>
        <w:tab/>
        <w:t>Status of the contacts for UIFN service providers and IIN assignees</w:t>
      </w:r>
      <w:r w:rsidRPr="00617484">
        <w:rPr>
          <w:rFonts w:asciiTheme="minorHAnsi" w:hAnsiTheme="minorHAnsi"/>
          <w:szCs w:val="28"/>
        </w:rPr>
        <w:t xml:space="preserve"> </w:t>
      </w:r>
    </w:p>
    <w:p w14:paraId="39CD61F8" w14:textId="29DC1A9C" w:rsidR="00C261DB" w:rsidRPr="00797DDC" w:rsidRDefault="00C261DB" w:rsidP="00C261DB">
      <w:pPr>
        <w:jc w:val="both"/>
        <w:rPr>
          <w:rFonts w:eastAsia="Calibri"/>
        </w:rPr>
      </w:pPr>
      <w:r>
        <w:t xml:space="preserve">3.1 </w:t>
      </w:r>
      <w:r>
        <w:tab/>
        <w:t>In accordance with Council 19</w:t>
      </w:r>
      <w:r w:rsidR="00482807">
        <w:t>,</w:t>
      </w:r>
      <w:r>
        <w:t xml:space="preserve"> approved recommendations captured in Section 2.2.25 document </w:t>
      </w:r>
      <w:hyperlink r:id="rId36">
        <w:r w:rsidRPr="4F69C17D">
          <w:rPr>
            <w:rStyle w:val="Hyperlink"/>
          </w:rPr>
          <w:t>C19/120</w:t>
        </w:r>
      </w:hyperlink>
      <w:r>
        <w:t xml:space="preserve">, </w:t>
      </w:r>
      <w:r w:rsidRPr="4F69C17D">
        <w:rPr>
          <w:rFonts w:asciiTheme="minorHAnsi" w:hAnsiTheme="minorHAnsi"/>
        </w:rPr>
        <w:t xml:space="preserve">the list of UIFN service providers in </w:t>
      </w:r>
      <w:r w:rsidRPr="4F69C17D">
        <w:rPr>
          <w:rFonts w:asciiTheme="minorHAnsi" w:hAnsiTheme="minorHAnsi"/>
          <w:b/>
          <w:bCs/>
        </w:rPr>
        <w:t>Annex A</w:t>
      </w:r>
      <w:r w:rsidRPr="4F69C17D">
        <w:rPr>
          <w:rFonts w:asciiTheme="minorHAnsi" w:hAnsiTheme="minorHAnsi"/>
        </w:rPr>
        <w:t xml:space="preserve"> have been removed from the list of UIFN service providers (</w:t>
      </w:r>
      <w:hyperlink r:id="rId37" w:history="1">
        <w:r w:rsidR="00660BA3" w:rsidRPr="00FE4A51">
          <w:rPr>
            <w:rStyle w:val="Hyperlink"/>
            <w:rFonts w:asciiTheme="minorHAnsi" w:hAnsiTheme="minorHAnsi"/>
          </w:rPr>
          <w:t>https://www.itu.int/en/ITU-T/inr/unum/Pages/uifn-service-provider.aspx</w:t>
        </w:r>
      </w:hyperlink>
      <w:r w:rsidRPr="4F69C17D">
        <w:rPr>
          <w:rFonts w:asciiTheme="minorHAnsi" w:hAnsiTheme="minorHAnsi"/>
        </w:rPr>
        <w:t xml:space="preserve">) </w:t>
      </w:r>
      <w:r w:rsidRPr="4F69C17D">
        <w:rPr>
          <w:rFonts w:eastAsia="Calibri"/>
        </w:rPr>
        <w:t>considering that no notifications have been received from Member States since Council 2019.</w:t>
      </w:r>
    </w:p>
    <w:p w14:paraId="173440DC" w14:textId="1395B3D0" w:rsidR="00C261DB" w:rsidRPr="00797DDC" w:rsidRDefault="00C261DB" w:rsidP="00C261DB">
      <w:pPr>
        <w:spacing w:after="120"/>
        <w:jc w:val="both"/>
        <w:rPr>
          <w:rFonts w:asciiTheme="minorHAnsi" w:hAnsiTheme="minorHAnsi"/>
          <w:szCs w:val="24"/>
        </w:rPr>
      </w:pPr>
      <w:r w:rsidRPr="00797DDC">
        <w:rPr>
          <w:rFonts w:asciiTheme="minorHAnsi" w:hAnsiTheme="minorHAnsi"/>
          <w:szCs w:val="24"/>
        </w:rPr>
        <w:t>3.</w:t>
      </w:r>
      <w:r>
        <w:rPr>
          <w:rFonts w:asciiTheme="minorHAnsi" w:hAnsiTheme="minorHAnsi"/>
          <w:szCs w:val="24"/>
        </w:rPr>
        <w:t>2</w:t>
      </w:r>
      <w:r w:rsidRPr="00797DDC">
        <w:rPr>
          <w:rFonts w:asciiTheme="minorHAnsi" w:hAnsiTheme="minorHAnsi"/>
          <w:szCs w:val="24"/>
        </w:rPr>
        <w:t xml:space="preserve"> </w:t>
      </w:r>
      <w:r>
        <w:rPr>
          <w:rFonts w:asciiTheme="minorHAnsi" w:hAnsiTheme="minorHAnsi"/>
          <w:szCs w:val="24"/>
        </w:rPr>
        <w:t xml:space="preserve"> </w:t>
      </w:r>
      <w:r w:rsidR="00617484">
        <w:rPr>
          <w:rFonts w:asciiTheme="minorHAnsi" w:hAnsiTheme="minorHAnsi"/>
          <w:szCs w:val="24"/>
        </w:rPr>
        <w:tab/>
      </w:r>
      <w:r w:rsidRPr="00797DDC">
        <w:rPr>
          <w:rFonts w:asciiTheme="minorHAnsi" w:hAnsiTheme="minorHAnsi"/>
          <w:szCs w:val="24"/>
        </w:rPr>
        <w:t xml:space="preserve">As per an announcement in ITU Operational Bulletin No. 1222 (15.VI.2021), the list of ITU-T E.118 IINs for which the assignee contact is still in progress and with the status “assignee not reachable” can be found on the following ITU web page: </w:t>
      </w:r>
      <w:r w:rsidRPr="00797DDC">
        <w:rPr>
          <w:rFonts w:asciiTheme="minorHAnsi" w:hAnsiTheme="minorHAnsi"/>
          <w:szCs w:val="24"/>
        </w:rPr>
        <w:br/>
      </w:r>
      <w:hyperlink r:id="rId38" w:anchor="assignee-contact-not-reachable" w:history="1">
        <w:r w:rsidRPr="00797DDC">
          <w:rPr>
            <w:rStyle w:val="Hyperlink"/>
            <w:rFonts w:asciiTheme="minorHAnsi" w:hAnsiTheme="minorHAnsi"/>
            <w:szCs w:val="24"/>
          </w:rPr>
          <w:t>https://www.itu.int/en/ITU-T/inr/forms/Pages/iin.aspx#assignee-contact-not-reachable</w:t>
        </w:r>
      </w:hyperlink>
      <w:r w:rsidRPr="00797DDC">
        <w:rPr>
          <w:rStyle w:val="Hyperlink"/>
          <w:rFonts w:asciiTheme="minorHAnsi" w:hAnsiTheme="minorHAnsi"/>
          <w:szCs w:val="24"/>
        </w:rPr>
        <w:br/>
      </w:r>
      <w:r w:rsidRPr="00797DDC">
        <w:rPr>
          <w:rFonts w:asciiTheme="minorHAnsi" w:hAnsiTheme="minorHAnsi"/>
          <w:szCs w:val="24"/>
        </w:rPr>
        <w:t>National Administrations/regulators or authorized agencies have been encouraged to provide assistance in identifying their up-to-date status and/or contact information. While little notification ha</w:t>
      </w:r>
      <w:r>
        <w:rPr>
          <w:rFonts w:asciiTheme="minorHAnsi" w:hAnsiTheme="minorHAnsi"/>
          <w:szCs w:val="24"/>
        </w:rPr>
        <w:t>s</w:t>
      </w:r>
      <w:r w:rsidRPr="00797DDC">
        <w:rPr>
          <w:rFonts w:asciiTheme="minorHAnsi" w:hAnsiTheme="minorHAnsi"/>
          <w:szCs w:val="24"/>
        </w:rPr>
        <w:t xml:space="preserve"> been received since years. The records of these IINs in ITU database have been marked as “contact_not_reachable”.</w:t>
      </w:r>
    </w:p>
    <w:p w14:paraId="4AA902A0" w14:textId="6FD17EEA" w:rsidR="00C261DB" w:rsidRPr="00797DDC" w:rsidRDefault="00C261DB" w:rsidP="00C261DB">
      <w:pPr>
        <w:spacing w:after="120"/>
        <w:jc w:val="both"/>
        <w:rPr>
          <w:rFonts w:asciiTheme="minorHAnsi" w:hAnsiTheme="minorHAnsi"/>
        </w:rPr>
      </w:pPr>
      <w:r w:rsidRPr="00797DDC">
        <w:rPr>
          <w:rFonts w:asciiTheme="minorHAnsi" w:hAnsiTheme="minorHAnsi"/>
        </w:rPr>
        <w:t>3.</w:t>
      </w:r>
      <w:r>
        <w:rPr>
          <w:rFonts w:asciiTheme="minorHAnsi" w:hAnsiTheme="minorHAnsi"/>
        </w:rPr>
        <w:t>3</w:t>
      </w:r>
      <w:r w:rsidR="00617484">
        <w:rPr>
          <w:rFonts w:asciiTheme="minorHAnsi" w:hAnsiTheme="minorHAnsi"/>
          <w:szCs w:val="24"/>
        </w:rPr>
        <w:tab/>
      </w:r>
      <w:r w:rsidRPr="00910B61">
        <w:rPr>
          <w:rFonts w:asciiTheme="minorHAnsi" w:hAnsiTheme="minorHAnsi"/>
        </w:rPr>
        <w:t xml:space="preserve">As of </w:t>
      </w:r>
      <w:r w:rsidRPr="00F5057A">
        <w:rPr>
          <w:rFonts w:asciiTheme="minorHAnsi" w:hAnsiTheme="minorHAnsi"/>
          <w:szCs w:val="24"/>
        </w:rPr>
        <w:t>31.10.2023</w:t>
      </w:r>
      <w:r w:rsidRPr="00797DDC">
        <w:rPr>
          <w:rFonts w:asciiTheme="minorHAnsi" w:hAnsiTheme="minorHAnsi"/>
        </w:rPr>
        <w:t>, the contact information status of 898 IINs kept in ITU database is shown in the figure below.</w:t>
      </w:r>
    </w:p>
    <w:p w14:paraId="50D691A3" w14:textId="44918E9F" w:rsidR="00C261DB" w:rsidRPr="00797DDC" w:rsidRDefault="008F5CD0" w:rsidP="4F69C17D">
      <w:pPr>
        <w:spacing w:before="240" w:after="240"/>
        <w:jc w:val="center"/>
        <w:rPr>
          <w:rFonts w:asciiTheme="minorHAnsi" w:hAnsiTheme="minorHAnsi"/>
        </w:rPr>
      </w:pPr>
      <w:r>
        <w:rPr>
          <w:noProof/>
        </w:rPr>
        <w:drawing>
          <wp:inline distT="0" distB="0" distL="0" distR="0" wp14:anchorId="1F194F11" wp14:editId="1B9925F7">
            <wp:extent cx="4705350" cy="2657475"/>
            <wp:effectExtent l="0" t="0" r="0" b="9525"/>
            <wp:docPr id="1930924617" name="Chart 1">
              <a:extLst xmlns:a="http://schemas.openxmlformats.org/drawingml/2006/main">
                <a:ext uri="{FF2B5EF4-FFF2-40B4-BE49-F238E27FC236}">
                  <a16:creationId xmlns:a16="http://schemas.microsoft.com/office/drawing/2014/main" id="{AEE98700-8A29-9569-809C-771618055D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29DE811" w14:textId="77777777" w:rsidR="00C261DB" w:rsidRPr="00797DDC" w:rsidRDefault="00C261DB" w:rsidP="00C261DB">
      <w:pPr>
        <w:rPr>
          <w:rFonts w:asciiTheme="minorHAnsi" w:hAnsiTheme="minorHAnsi"/>
          <w:sz w:val="20"/>
        </w:rPr>
      </w:pPr>
      <w:r w:rsidRPr="00797DDC">
        <w:rPr>
          <w:rFonts w:asciiTheme="minorHAnsi" w:hAnsiTheme="minorHAnsi"/>
          <w:sz w:val="20"/>
        </w:rPr>
        <w:t>Note: the number of IIN records for the countries listed in the above figure include geographic areas under their Administrations.</w:t>
      </w:r>
    </w:p>
    <w:p w14:paraId="0EDCA374" w14:textId="77777777" w:rsidR="00C261DB" w:rsidRPr="00617484" w:rsidRDefault="00C261DB" w:rsidP="00C261DB">
      <w:pPr>
        <w:pStyle w:val="Heading1"/>
        <w:spacing w:before="360"/>
        <w:jc w:val="both"/>
        <w:rPr>
          <w:rFonts w:eastAsia="Calibri"/>
          <w:szCs w:val="28"/>
        </w:rPr>
      </w:pPr>
      <w:r w:rsidRPr="00617484">
        <w:rPr>
          <w:rFonts w:asciiTheme="minorHAnsi" w:hAnsiTheme="minorHAnsi"/>
          <w:szCs w:val="28"/>
          <w:lang w:val="en-US"/>
        </w:rPr>
        <w:t>4</w:t>
      </w:r>
      <w:r w:rsidRPr="00617484">
        <w:rPr>
          <w:rFonts w:eastAsia="Calibri"/>
          <w:szCs w:val="28"/>
        </w:rPr>
        <w:tab/>
        <w:t>Conclusion</w:t>
      </w:r>
    </w:p>
    <w:p w14:paraId="4177535C" w14:textId="77777777" w:rsidR="00C261DB" w:rsidRPr="00797DDC" w:rsidRDefault="00C261DB" w:rsidP="00C261DB">
      <w:pPr>
        <w:keepNext/>
        <w:jc w:val="both"/>
        <w:rPr>
          <w:rFonts w:eastAsia="Calibri"/>
        </w:rPr>
      </w:pPr>
      <w:r w:rsidRPr="00797DDC">
        <w:rPr>
          <w:rFonts w:eastAsia="Calibri"/>
        </w:rPr>
        <w:t>The secretariat continues the implementation of Council Decision 600 and 601.</w:t>
      </w:r>
    </w:p>
    <w:p w14:paraId="4C1682EB" w14:textId="1F228261" w:rsidR="00C261DB" w:rsidRDefault="00C261DB" w:rsidP="000A3753">
      <w:pPr>
        <w:tabs>
          <w:tab w:val="clear" w:pos="567"/>
          <w:tab w:val="clear" w:pos="1134"/>
          <w:tab w:val="clear" w:pos="1701"/>
          <w:tab w:val="clear" w:pos="2268"/>
          <w:tab w:val="clear" w:pos="2835"/>
        </w:tabs>
        <w:overflowPunct/>
        <w:autoSpaceDE/>
        <w:autoSpaceDN/>
        <w:adjustRightInd/>
        <w:spacing w:before="0"/>
        <w:textAlignment w:val="auto"/>
      </w:pPr>
      <w:r>
        <w:br w:type="page"/>
      </w:r>
    </w:p>
    <w:p w14:paraId="6D3D0BA7" w14:textId="77777777" w:rsidR="00C261DB" w:rsidRDefault="00C261DB" w:rsidP="000A3753">
      <w:pPr>
        <w:tabs>
          <w:tab w:val="clear" w:pos="567"/>
          <w:tab w:val="clear" w:pos="1134"/>
          <w:tab w:val="clear" w:pos="1701"/>
          <w:tab w:val="clear" w:pos="2268"/>
          <w:tab w:val="clear" w:pos="2835"/>
        </w:tabs>
        <w:overflowPunct/>
        <w:autoSpaceDE/>
        <w:autoSpaceDN/>
        <w:adjustRightInd/>
        <w:spacing w:before="0"/>
        <w:textAlignment w:val="auto"/>
        <w:sectPr w:rsidR="00C261DB" w:rsidSect="00E5393F">
          <w:footerReference w:type="default" r:id="rId40"/>
          <w:headerReference w:type="first" r:id="rId41"/>
          <w:footerReference w:type="first" r:id="rId42"/>
          <w:pgSz w:w="11907" w:h="16834"/>
          <w:pgMar w:top="1361" w:right="1418" w:bottom="1304" w:left="1418" w:header="720" w:footer="720" w:gutter="0"/>
          <w:paperSrc w:first="15" w:other="15"/>
          <w:cols w:space="720"/>
          <w:titlePg/>
        </w:sectPr>
      </w:pPr>
    </w:p>
    <w:p w14:paraId="18747135" w14:textId="1AA7C0F5" w:rsidR="00C261DB" w:rsidRDefault="00C261DB" w:rsidP="00C261DB">
      <w:pPr>
        <w:pStyle w:val="ListParagraph"/>
        <w:tabs>
          <w:tab w:val="clear" w:pos="567"/>
          <w:tab w:val="clear" w:pos="1134"/>
          <w:tab w:val="clear" w:pos="1701"/>
          <w:tab w:val="clear" w:pos="2268"/>
          <w:tab w:val="clear" w:pos="2835"/>
        </w:tabs>
        <w:snapToGrid w:val="0"/>
        <w:spacing w:after="120"/>
        <w:ind w:left="0"/>
        <w:contextualSpacing w:val="0"/>
        <w:jc w:val="both"/>
        <w:outlineLvl w:val="2"/>
        <w:rPr>
          <w:b/>
          <w:szCs w:val="24"/>
        </w:rPr>
      </w:pPr>
      <w:r w:rsidRPr="001241AF">
        <w:rPr>
          <w:b/>
          <w:szCs w:val="24"/>
        </w:rPr>
        <w:lastRenderedPageBreak/>
        <w:t xml:space="preserve">Annex A </w:t>
      </w:r>
      <w:r>
        <w:rPr>
          <w:b/>
          <w:szCs w:val="24"/>
        </w:rPr>
        <w:t xml:space="preserve">- </w:t>
      </w:r>
      <w:r w:rsidRPr="001241AF">
        <w:rPr>
          <w:b/>
          <w:szCs w:val="24"/>
        </w:rPr>
        <w:t xml:space="preserve">list of UIFN service providers </w:t>
      </w:r>
      <w:r w:rsidR="00482807">
        <w:rPr>
          <w:b/>
          <w:szCs w:val="24"/>
        </w:rPr>
        <w:t>that have been removed</w:t>
      </w:r>
    </w:p>
    <w:p w14:paraId="4627B5A0" w14:textId="77777777" w:rsidR="00C261DB" w:rsidRPr="001D43E2" w:rsidRDefault="00C261DB" w:rsidP="00C261DB">
      <w:pPr>
        <w:pStyle w:val="NoSpacing"/>
        <w:rPr>
          <w:strike/>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992"/>
        <w:gridCol w:w="993"/>
        <w:gridCol w:w="2551"/>
        <w:gridCol w:w="2126"/>
        <w:gridCol w:w="2552"/>
      </w:tblGrid>
      <w:tr w:rsidR="00C261DB" w:rsidRPr="002B6E23" w14:paraId="353F436D" w14:textId="77777777" w:rsidTr="00E479BF">
        <w:trPr>
          <w:cantSplit/>
          <w:trHeight w:val="255"/>
          <w:tblHeader/>
        </w:trPr>
        <w:tc>
          <w:tcPr>
            <w:tcW w:w="709" w:type="dxa"/>
            <w:shd w:val="clear" w:color="auto" w:fill="DDDDDD"/>
          </w:tcPr>
          <w:p w14:paraId="7C6F9DE1" w14:textId="77777777" w:rsidR="00C261DB" w:rsidRPr="002B6E23" w:rsidRDefault="00C261DB" w:rsidP="00E479BF">
            <w:pPr>
              <w:rPr>
                <w:rFonts w:eastAsia="DengXian" w:cs="Arial"/>
                <w:b/>
                <w:color w:val="000000"/>
                <w:sz w:val="20"/>
              </w:rPr>
            </w:pPr>
            <w:r w:rsidRPr="002B6E23">
              <w:rPr>
                <w:rFonts w:eastAsia="DengXian" w:cs="Arial"/>
                <w:b/>
                <w:color w:val="000000"/>
                <w:sz w:val="20"/>
              </w:rPr>
              <w:t>year</w:t>
            </w:r>
          </w:p>
        </w:tc>
        <w:tc>
          <w:tcPr>
            <w:tcW w:w="1134" w:type="dxa"/>
            <w:shd w:val="clear" w:color="auto" w:fill="DDDDDD"/>
            <w:noWrap/>
          </w:tcPr>
          <w:p w14:paraId="6108AA03" w14:textId="77777777" w:rsidR="00C261DB" w:rsidRPr="002B6E23" w:rsidRDefault="00C261DB" w:rsidP="00E479BF">
            <w:pPr>
              <w:jc w:val="center"/>
              <w:rPr>
                <w:rFonts w:eastAsia="DengXian" w:cs="Arial"/>
                <w:b/>
                <w:color w:val="000000"/>
                <w:sz w:val="20"/>
              </w:rPr>
            </w:pPr>
            <w:r w:rsidRPr="002B6E23">
              <w:rPr>
                <w:rFonts w:eastAsia="DengXian" w:cs="Arial"/>
                <w:b/>
                <w:color w:val="000000"/>
                <w:sz w:val="20"/>
              </w:rPr>
              <w:t>Amount</w:t>
            </w:r>
          </w:p>
        </w:tc>
        <w:tc>
          <w:tcPr>
            <w:tcW w:w="992" w:type="dxa"/>
            <w:shd w:val="clear" w:color="auto" w:fill="DDDDDD"/>
            <w:noWrap/>
          </w:tcPr>
          <w:p w14:paraId="246F16E0" w14:textId="77777777" w:rsidR="00C261DB" w:rsidRPr="002B6E23" w:rsidRDefault="00C261DB" w:rsidP="00E479BF">
            <w:pPr>
              <w:jc w:val="center"/>
              <w:rPr>
                <w:rFonts w:eastAsia="DengXian" w:cs="Arial"/>
                <w:b/>
                <w:color w:val="000000"/>
                <w:sz w:val="20"/>
              </w:rPr>
            </w:pPr>
            <w:r w:rsidRPr="002B6E23">
              <w:rPr>
                <w:rFonts w:eastAsia="DengXian" w:cs="Arial"/>
                <w:b/>
                <w:color w:val="000000"/>
                <w:sz w:val="20"/>
              </w:rPr>
              <w:t>currency</w:t>
            </w:r>
          </w:p>
        </w:tc>
        <w:tc>
          <w:tcPr>
            <w:tcW w:w="993" w:type="dxa"/>
            <w:shd w:val="clear" w:color="auto" w:fill="DDDDDD"/>
          </w:tcPr>
          <w:p w14:paraId="54CD446C" w14:textId="77777777" w:rsidR="00C261DB" w:rsidRPr="002B6E23" w:rsidRDefault="00C261DB" w:rsidP="00E479BF">
            <w:pPr>
              <w:jc w:val="center"/>
              <w:rPr>
                <w:rFonts w:eastAsia="DengXian" w:cs="Arial"/>
                <w:b/>
                <w:color w:val="000000"/>
                <w:sz w:val="20"/>
              </w:rPr>
            </w:pPr>
            <w:r w:rsidRPr="002B6E23">
              <w:rPr>
                <w:rFonts w:eastAsia="DengXian" w:cs="Arial"/>
                <w:b/>
                <w:color w:val="000000"/>
                <w:sz w:val="20"/>
              </w:rPr>
              <w:t>UIFN quantity</w:t>
            </w:r>
          </w:p>
        </w:tc>
        <w:tc>
          <w:tcPr>
            <w:tcW w:w="2551" w:type="dxa"/>
            <w:shd w:val="clear" w:color="auto" w:fill="DDDDDD"/>
            <w:noWrap/>
          </w:tcPr>
          <w:p w14:paraId="61C6D426" w14:textId="77777777" w:rsidR="00C261DB" w:rsidRPr="002B6E23" w:rsidRDefault="00C261DB" w:rsidP="00E479BF">
            <w:pPr>
              <w:jc w:val="center"/>
              <w:rPr>
                <w:rFonts w:eastAsia="DengXian" w:cs="Arial"/>
                <w:b/>
                <w:color w:val="000000"/>
                <w:sz w:val="20"/>
              </w:rPr>
            </w:pPr>
            <w:r w:rsidRPr="002B6E23">
              <w:rPr>
                <w:rFonts w:eastAsia="DengXian" w:cs="Arial"/>
                <w:b/>
                <w:color w:val="000000"/>
                <w:sz w:val="20"/>
              </w:rPr>
              <w:t>Company's name</w:t>
            </w:r>
          </w:p>
        </w:tc>
        <w:tc>
          <w:tcPr>
            <w:tcW w:w="2126" w:type="dxa"/>
            <w:shd w:val="clear" w:color="auto" w:fill="DDDDDD"/>
            <w:noWrap/>
          </w:tcPr>
          <w:p w14:paraId="23C5ABBE" w14:textId="77777777" w:rsidR="00C261DB" w:rsidRPr="002B6E23" w:rsidRDefault="00C261DB" w:rsidP="00E479BF">
            <w:pPr>
              <w:jc w:val="center"/>
              <w:rPr>
                <w:rFonts w:eastAsia="DengXian" w:cs="Arial"/>
                <w:b/>
                <w:color w:val="000000"/>
                <w:sz w:val="20"/>
              </w:rPr>
            </w:pPr>
            <w:r w:rsidRPr="002B6E23">
              <w:rPr>
                <w:rFonts w:eastAsia="DengXian" w:cs="Arial"/>
                <w:b/>
                <w:color w:val="000000"/>
                <w:sz w:val="20"/>
              </w:rPr>
              <w:t>country</w:t>
            </w:r>
            <w:r w:rsidRPr="002B6E23">
              <w:rPr>
                <w:rFonts w:eastAsia="DengXian" w:cs="Arial"/>
                <w:b/>
                <w:sz w:val="20"/>
              </w:rPr>
              <w:t>/</w:t>
            </w:r>
            <w:r w:rsidRPr="002B6E23">
              <w:rPr>
                <w:rFonts w:eastAsia="DengXian" w:cs="Arial"/>
                <w:b/>
                <w:sz w:val="20"/>
              </w:rPr>
              <w:br/>
              <w:t>Geographic Area</w:t>
            </w:r>
          </w:p>
        </w:tc>
        <w:tc>
          <w:tcPr>
            <w:tcW w:w="2552" w:type="dxa"/>
            <w:shd w:val="clear" w:color="auto" w:fill="DDDDDD"/>
          </w:tcPr>
          <w:p w14:paraId="715A6E1D" w14:textId="77777777" w:rsidR="00C261DB" w:rsidRPr="002B6E23" w:rsidRDefault="00C261DB" w:rsidP="00E479BF">
            <w:pPr>
              <w:jc w:val="center"/>
              <w:rPr>
                <w:rFonts w:eastAsia="DengXian" w:cs="Arial"/>
                <w:b/>
                <w:color w:val="000000"/>
                <w:sz w:val="20"/>
              </w:rPr>
            </w:pPr>
            <w:r w:rsidRPr="002B6E23">
              <w:rPr>
                <w:rFonts w:eastAsia="DengXian" w:cs="Arial"/>
                <w:b/>
                <w:color w:val="000000"/>
                <w:sz w:val="20"/>
              </w:rPr>
              <w:t>note</w:t>
            </w:r>
          </w:p>
        </w:tc>
      </w:tr>
      <w:tr w:rsidR="00C261DB" w:rsidRPr="00D41067" w14:paraId="3939F58F" w14:textId="77777777" w:rsidTr="00E479BF">
        <w:trPr>
          <w:cantSplit/>
          <w:trHeight w:val="255"/>
        </w:trPr>
        <w:tc>
          <w:tcPr>
            <w:tcW w:w="709" w:type="dxa"/>
            <w:shd w:val="clear" w:color="auto" w:fill="auto"/>
          </w:tcPr>
          <w:p w14:paraId="570A6DDC" w14:textId="77777777" w:rsidR="00C261DB" w:rsidRPr="00D41067" w:rsidRDefault="00C261DB" w:rsidP="00E479BF">
            <w:pPr>
              <w:rPr>
                <w:rFonts w:eastAsia="DengXian" w:cs="Arial"/>
                <w:color w:val="000000"/>
                <w:sz w:val="20"/>
                <w:highlight w:val="green"/>
              </w:rPr>
            </w:pPr>
            <w:r w:rsidRPr="002B6E23">
              <w:rPr>
                <w:rFonts w:eastAsia="DengXian" w:cs="Arial"/>
                <w:color w:val="000000"/>
                <w:sz w:val="20"/>
              </w:rPr>
              <w:t>2018</w:t>
            </w:r>
          </w:p>
        </w:tc>
        <w:tc>
          <w:tcPr>
            <w:tcW w:w="1134" w:type="dxa"/>
            <w:shd w:val="clear" w:color="auto" w:fill="auto"/>
          </w:tcPr>
          <w:p w14:paraId="462572C7" w14:textId="77777777" w:rsidR="00C261DB" w:rsidRPr="00D41067" w:rsidRDefault="00C261DB" w:rsidP="00E479BF">
            <w:pPr>
              <w:rPr>
                <w:rFonts w:eastAsia="DengXian" w:cs="Arial"/>
                <w:color w:val="000000"/>
                <w:sz w:val="20"/>
                <w:highlight w:val="green"/>
              </w:rPr>
            </w:pPr>
            <w:r w:rsidRPr="002B6E23">
              <w:rPr>
                <w:rFonts w:eastAsia="DengXian" w:cs="Arial"/>
                <w:color w:val="000000"/>
                <w:sz w:val="20"/>
              </w:rPr>
              <w:t>-</w:t>
            </w:r>
          </w:p>
        </w:tc>
        <w:tc>
          <w:tcPr>
            <w:tcW w:w="992" w:type="dxa"/>
            <w:shd w:val="clear" w:color="auto" w:fill="auto"/>
          </w:tcPr>
          <w:p w14:paraId="25B11EAD" w14:textId="77777777" w:rsidR="00C261DB" w:rsidRPr="00D41067" w:rsidRDefault="00C261DB" w:rsidP="00E479BF">
            <w:pPr>
              <w:rPr>
                <w:rFonts w:eastAsia="DengXian" w:cs="Arial"/>
                <w:color w:val="000000"/>
                <w:sz w:val="20"/>
                <w:highlight w:val="green"/>
              </w:rPr>
            </w:pPr>
            <w:r w:rsidRPr="002B6E23">
              <w:rPr>
                <w:rFonts w:eastAsia="DengXian" w:cs="Arial"/>
                <w:color w:val="000000"/>
                <w:sz w:val="20"/>
              </w:rPr>
              <w:t>-</w:t>
            </w:r>
          </w:p>
        </w:tc>
        <w:tc>
          <w:tcPr>
            <w:tcW w:w="993" w:type="dxa"/>
            <w:shd w:val="clear" w:color="auto" w:fill="auto"/>
          </w:tcPr>
          <w:p w14:paraId="16F29948" w14:textId="77777777" w:rsidR="00C261DB" w:rsidRPr="00D41067" w:rsidRDefault="00C261DB" w:rsidP="00E479BF">
            <w:pPr>
              <w:jc w:val="center"/>
              <w:rPr>
                <w:rFonts w:eastAsia="DengXian" w:cs="Arial"/>
                <w:color w:val="000000"/>
                <w:sz w:val="20"/>
                <w:highlight w:val="green"/>
              </w:rPr>
            </w:pPr>
            <w:r w:rsidRPr="002B6E23">
              <w:rPr>
                <w:rFonts w:eastAsia="DengXian" w:cs="Arial"/>
                <w:color w:val="000000"/>
                <w:sz w:val="20"/>
              </w:rPr>
              <w:t>3</w:t>
            </w:r>
          </w:p>
        </w:tc>
        <w:tc>
          <w:tcPr>
            <w:tcW w:w="2551" w:type="dxa"/>
            <w:shd w:val="clear" w:color="auto" w:fill="auto"/>
            <w:noWrap/>
          </w:tcPr>
          <w:p w14:paraId="73EF2F1A" w14:textId="77777777" w:rsidR="00C261DB" w:rsidRPr="00D41067" w:rsidRDefault="00C261DB" w:rsidP="00E479BF">
            <w:pPr>
              <w:rPr>
                <w:rFonts w:eastAsia="DengXian" w:cs="Arial"/>
                <w:color w:val="000000"/>
                <w:sz w:val="20"/>
                <w:highlight w:val="green"/>
              </w:rPr>
            </w:pPr>
            <w:r w:rsidRPr="002B6E23">
              <w:rPr>
                <w:rFonts w:eastAsia="DengXian" w:cs="Arial"/>
                <w:color w:val="000000"/>
                <w:sz w:val="20"/>
              </w:rPr>
              <w:t>IT-Austria GmbH</w:t>
            </w:r>
          </w:p>
        </w:tc>
        <w:tc>
          <w:tcPr>
            <w:tcW w:w="2126" w:type="dxa"/>
            <w:shd w:val="clear" w:color="auto" w:fill="auto"/>
            <w:noWrap/>
          </w:tcPr>
          <w:p w14:paraId="39EEF161" w14:textId="77777777" w:rsidR="00C261DB" w:rsidRPr="00D41067" w:rsidRDefault="00C261DB" w:rsidP="00E479BF">
            <w:pPr>
              <w:rPr>
                <w:rFonts w:eastAsia="DengXian" w:cs="Arial"/>
                <w:color w:val="000000"/>
                <w:sz w:val="20"/>
                <w:highlight w:val="green"/>
              </w:rPr>
            </w:pPr>
            <w:r w:rsidRPr="002B6E23">
              <w:rPr>
                <w:rFonts w:eastAsia="DengXian" w:cs="Arial"/>
                <w:color w:val="000000"/>
                <w:sz w:val="20"/>
              </w:rPr>
              <w:t>Austria</w:t>
            </w:r>
          </w:p>
        </w:tc>
        <w:tc>
          <w:tcPr>
            <w:tcW w:w="2552" w:type="dxa"/>
            <w:shd w:val="clear" w:color="auto" w:fill="auto"/>
          </w:tcPr>
          <w:p w14:paraId="1EAEF6AC" w14:textId="77777777" w:rsidR="00C261DB" w:rsidRPr="00D41067" w:rsidRDefault="00C261DB" w:rsidP="00E479BF">
            <w:pPr>
              <w:rPr>
                <w:rFonts w:eastAsia="DengXian" w:cs="Arial"/>
                <w:color w:val="000000"/>
                <w:sz w:val="20"/>
                <w:highlight w:val="green"/>
              </w:rPr>
            </w:pPr>
          </w:p>
        </w:tc>
      </w:tr>
      <w:tr w:rsidR="00C261DB" w:rsidRPr="00D41067" w14:paraId="2F7FB847" w14:textId="77777777" w:rsidTr="00E479BF">
        <w:trPr>
          <w:cantSplit/>
          <w:trHeight w:val="255"/>
        </w:trPr>
        <w:tc>
          <w:tcPr>
            <w:tcW w:w="709" w:type="dxa"/>
            <w:shd w:val="clear" w:color="auto" w:fill="auto"/>
          </w:tcPr>
          <w:p w14:paraId="7F8E36F4" w14:textId="77777777" w:rsidR="00C261DB" w:rsidRPr="00D41067" w:rsidRDefault="00C261DB" w:rsidP="00E479BF">
            <w:pPr>
              <w:rPr>
                <w:rFonts w:eastAsia="DengXian" w:cs="Arial"/>
                <w:color w:val="000000"/>
                <w:sz w:val="20"/>
                <w:highlight w:val="green"/>
              </w:rPr>
            </w:pPr>
            <w:r w:rsidRPr="002B6E23">
              <w:rPr>
                <w:rFonts w:eastAsia="DengXian" w:cs="Arial"/>
                <w:color w:val="000000"/>
                <w:sz w:val="20"/>
              </w:rPr>
              <w:t>2018</w:t>
            </w:r>
          </w:p>
        </w:tc>
        <w:tc>
          <w:tcPr>
            <w:tcW w:w="1134" w:type="dxa"/>
            <w:shd w:val="clear" w:color="auto" w:fill="auto"/>
          </w:tcPr>
          <w:p w14:paraId="0DDF1DD6" w14:textId="77777777" w:rsidR="00C261DB" w:rsidRPr="00D41067" w:rsidRDefault="00C261DB" w:rsidP="00E479BF">
            <w:pPr>
              <w:rPr>
                <w:rFonts w:eastAsia="DengXian" w:cs="Arial"/>
                <w:color w:val="000000"/>
                <w:sz w:val="20"/>
                <w:highlight w:val="green"/>
              </w:rPr>
            </w:pPr>
            <w:r w:rsidRPr="002B6E23">
              <w:rPr>
                <w:rFonts w:eastAsia="DengXian" w:cs="Arial"/>
                <w:color w:val="000000"/>
                <w:sz w:val="20"/>
              </w:rPr>
              <w:t>-</w:t>
            </w:r>
          </w:p>
        </w:tc>
        <w:tc>
          <w:tcPr>
            <w:tcW w:w="992" w:type="dxa"/>
            <w:shd w:val="clear" w:color="auto" w:fill="auto"/>
          </w:tcPr>
          <w:p w14:paraId="4388637F" w14:textId="77777777" w:rsidR="00C261DB" w:rsidRPr="00D41067" w:rsidRDefault="00C261DB" w:rsidP="00E479BF">
            <w:pPr>
              <w:rPr>
                <w:rFonts w:eastAsia="DengXian" w:cs="Arial"/>
                <w:color w:val="000000"/>
                <w:sz w:val="20"/>
                <w:highlight w:val="green"/>
              </w:rPr>
            </w:pPr>
            <w:r w:rsidRPr="002B6E23">
              <w:rPr>
                <w:rFonts w:eastAsia="DengXian" w:cs="Arial"/>
                <w:color w:val="000000"/>
                <w:sz w:val="20"/>
              </w:rPr>
              <w:t>-</w:t>
            </w:r>
          </w:p>
        </w:tc>
        <w:tc>
          <w:tcPr>
            <w:tcW w:w="993" w:type="dxa"/>
            <w:shd w:val="clear" w:color="auto" w:fill="auto"/>
          </w:tcPr>
          <w:p w14:paraId="625DE749" w14:textId="77777777" w:rsidR="00C261DB" w:rsidRPr="00D41067" w:rsidRDefault="00C261DB" w:rsidP="00E479BF">
            <w:pPr>
              <w:jc w:val="center"/>
              <w:rPr>
                <w:rFonts w:eastAsia="DengXian" w:cs="Arial"/>
                <w:color w:val="000000"/>
                <w:sz w:val="20"/>
                <w:highlight w:val="green"/>
              </w:rPr>
            </w:pPr>
            <w:r w:rsidRPr="002B6E23">
              <w:rPr>
                <w:rFonts w:eastAsia="DengXian" w:cs="Arial"/>
                <w:color w:val="000000"/>
                <w:sz w:val="20"/>
              </w:rPr>
              <w:t>1</w:t>
            </w:r>
          </w:p>
        </w:tc>
        <w:tc>
          <w:tcPr>
            <w:tcW w:w="2551" w:type="dxa"/>
            <w:shd w:val="clear" w:color="auto" w:fill="auto"/>
            <w:noWrap/>
          </w:tcPr>
          <w:p w14:paraId="477EC7CA" w14:textId="77777777" w:rsidR="00C261DB" w:rsidRPr="00D41067" w:rsidRDefault="00C261DB" w:rsidP="00E479BF">
            <w:pPr>
              <w:rPr>
                <w:rFonts w:eastAsia="DengXian" w:cs="Arial"/>
                <w:color w:val="000000"/>
                <w:sz w:val="20"/>
                <w:highlight w:val="green"/>
                <w:lang w:val="es-ES_tradnl"/>
              </w:rPr>
            </w:pPr>
            <w:r w:rsidRPr="002B6E23">
              <w:rPr>
                <w:rFonts w:eastAsia="DengXian" w:cs="Arial"/>
                <w:color w:val="000000"/>
                <w:sz w:val="20"/>
                <w:lang w:val="es-ES_tradnl"/>
              </w:rPr>
              <w:t>AES Comunicaciónes Bolivia S.A.</w:t>
            </w:r>
          </w:p>
        </w:tc>
        <w:tc>
          <w:tcPr>
            <w:tcW w:w="2126" w:type="dxa"/>
            <w:shd w:val="clear" w:color="auto" w:fill="auto"/>
            <w:noWrap/>
          </w:tcPr>
          <w:p w14:paraId="65C37C47" w14:textId="77777777" w:rsidR="00C261DB" w:rsidRPr="00D41067" w:rsidRDefault="00C261DB" w:rsidP="00E479BF">
            <w:pPr>
              <w:rPr>
                <w:rFonts w:eastAsia="DengXian" w:cs="Arial"/>
                <w:color w:val="000000"/>
                <w:sz w:val="20"/>
                <w:highlight w:val="green"/>
              </w:rPr>
            </w:pPr>
            <w:r w:rsidRPr="002B6E23">
              <w:rPr>
                <w:rFonts w:eastAsia="DengXian" w:cs="Arial"/>
                <w:color w:val="000000"/>
                <w:sz w:val="20"/>
              </w:rPr>
              <w:t>Bolivia</w:t>
            </w:r>
          </w:p>
        </w:tc>
        <w:tc>
          <w:tcPr>
            <w:tcW w:w="2552" w:type="dxa"/>
            <w:shd w:val="clear" w:color="auto" w:fill="auto"/>
          </w:tcPr>
          <w:p w14:paraId="17839F37" w14:textId="77777777" w:rsidR="00C261DB" w:rsidRPr="00D41067" w:rsidRDefault="00C261DB" w:rsidP="00E479BF">
            <w:pPr>
              <w:rPr>
                <w:rFonts w:eastAsia="DengXian" w:cs="Arial"/>
                <w:color w:val="000000"/>
                <w:sz w:val="20"/>
                <w:highlight w:val="green"/>
              </w:rPr>
            </w:pPr>
          </w:p>
        </w:tc>
      </w:tr>
      <w:tr w:rsidR="00C261DB" w:rsidRPr="002B6E23" w14:paraId="4FCCC1B2" w14:textId="77777777" w:rsidTr="00E479BF">
        <w:trPr>
          <w:cantSplit/>
          <w:trHeight w:val="255"/>
        </w:trPr>
        <w:tc>
          <w:tcPr>
            <w:tcW w:w="709" w:type="dxa"/>
            <w:shd w:val="clear" w:color="auto" w:fill="auto"/>
          </w:tcPr>
          <w:p w14:paraId="51CD5794" w14:textId="77777777" w:rsidR="00C261DB" w:rsidRPr="00D41067" w:rsidRDefault="00C261DB" w:rsidP="00E479BF">
            <w:pPr>
              <w:rPr>
                <w:rFonts w:eastAsia="DengXian" w:cs="Arial"/>
                <w:color w:val="000000"/>
                <w:sz w:val="20"/>
                <w:highlight w:val="green"/>
              </w:rPr>
            </w:pPr>
            <w:r w:rsidRPr="002B6E23">
              <w:rPr>
                <w:rFonts w:eastAsia="DengXian" w:cs="Arial"/>
                <w:color w:val="000000"/>
                <w:sz w:val="20"/>
              </w:rPr>
              <w:t>2018</w:t>
            </w:r>
          </w:p>
        </w:tc>
        <w:tc>
          <w:tcPr>
            <w:tcW w:w="1134" w:type="dxa"/>
            <w:shd w:val="clear" w:color="auto" w:fill="auto"/>
          </w:tcPr>
          <w:p w14:paraId="4DA5B629" w14:textId="77777777" w:rsidR="00C261DB" w:rsidRPr="00D41067" w:rsidRDefault="00C261DB" w:rsidP="00E479BF">
            <w:pPr>
              <w:rPr>
                <w:rFonts w:eastAsia="DengXian" w:cs="Arial"/>
                <w:color w:val="000000"/>
                <w:sz w:val="20"/>
                <w:highlight w:val="green"/>
              </w:rPr>
            </w:pPr>
            <w:r w:rsidRPr="002B6E23">
              <w:rPr>
                <w:rFonts w:eastAsia="DengXian" w:cs="Arial"/>
                <w:color w:val="000000"/>
                <w:sz w:val="20"/>
              </w:rPr>
              <w:t>-</w:t>
            </w:r>
          </w:p>
        </w:tc>
        <w:tc>
          <w:tcPr>
            <w:tcW w:w="992" w:type="dxa"/>
            <w:shd w:val="clear" w:color="auto" w:fill="auto"/>
          </w:tcPr>
          <w:p w14:paraId="694A2439" w14:textId="77777777" w:rsidR="00C261DB" w:rsidRPr="00D41067" w:rsidRDefault="00C261DB" w:rsidP="00E479BF">
            <w:pPr>
              <w:rPr>
                <w:rFonts w:eastAsia="DengXian" w:cs="Arial"/>
                <w:color w:val="000000"/>
                <w:sz w:val="20"/>
                <w:highlight w:val="green"/>
              </w:rPr>
            </w:pPr>
            <w:r w:rsidRPr="002B6E23">
              <w:rPr>
                <w:rFonts w:eastAsia="DengXian" w:cs="Arial"/>
                <w:color w:val="000000"/>
                <w:sz w:val="20"/>
              </w:rPr>
              <w:t>-</w:t>
            </w:r>
          </w:p>
        </w:tc>
        <w:tc>
          <w:tcPr>
            <w:tcW w:w="993" w:type="dxa"/>
            <w:shd w:val="clear" w:color="auto" w:fill="auto"/>
          </w:tcPr>
          <w:p w14:paraId="5C5C9D09" w14:textId="77777777" w:rsidR="00C261DB" w:rsidRPr="00D41067" w:rsidRDefault="00C261DB" w:rsidP="00E479BF">
            <w:pPr>
              <w:jc w:val="center"/>
              <w:rPr>
                <w:rFonts w:eastAsia="DengXian" w:cs="Arial"/>
                <w:color w:val="000000"/>
                <w:sz w:val="20"/>
                <w:highlight w:val="green"/>
              </w:rPr>
            </w:pPr>
            <w:r w:rsidRPr="002B6E23">
              <w:rPr>
                <w:rFonts w:eastAsia="DengXian" w:cs="Arial"/>
                <w:color w:val="000000"/>
                <w:sz w:val="20"/>
              </w:rPr>
              <w:t>2</w:t>
            </w:r>
          </w:p>
        </w:tc>
        <w:tc>
          <w:tcPr>
            <w:tcW w:w="2551" w:type="dxa"/>
            <w:shd w:val="clear" w:color="auto" w:fill="auto"/>
            <w:noWrap/>
          </w:tcPr>
          <w:p w14:paraId="6801458C" w14:textId="77777777" w:rsidR="00C261DB" w:rsidRPr="00D41067" w:rsidRDefault="00C261DB" w:rsidP="00E479BF">
            <w:pPr>
              <w:rPr>
                <w:rFonts w:eastAsia="DengXian" w:cs="Arial"/>
                <w:color w:val="000000"/>
                <w:sz w:val="20"/>
                <w:highlight w:val="green"/>
              </w:rPr>
            </w:pPr>
            <w:r w:rsidRPr="002B6E23">
              <w:rPr>
                <w:rFonts w:eastAsia="DengXian" w:cs="Arial"/>
                <w:color w:val="000000"/>
                <w:sz w:val="20"/>
              </w:rPr>
              <w:t>BellSouth Chile</w:t>
            </w:r>
          </w:p>
        </w:tc>
        <w:tc>
          <w:tcPr>
            <w:tcW w:w="2126" w:type="dxa"/>
            <w:shd w:val="clear" w:color="auto" w:fill="auto"/>
            <w:noWrap/>
          </w:tcPr>
          <w:p w14:paraId="13D5FF8D" w14:textId="77777777" w:rsidR="00C261DB" w:rsidRPr="002B6E23" w:rsidRDefault="00C261DB" w:rsidP="00E479BF">
            <w:pPr>
              <w:rPr>
                <w:rFonts w:eastAsia="DengXian" w:cs="Arial"/>
                <w:color w:val="000000"/>
                <w:sz w:val="20"/>
              </w:rPr>
            </w:pPr>
            <w:r w:rsidRPr="002B6E23">
              <w:rPr>
                <w:rFonts w:eastAsia="DengXian" w:cs="Arial"/>
                <w:color w:val="000000"/>
                <w:sz w:val="20"/>
              </w:rPr>
              <w:t>Chile</w:t>
            </w:r>
          </w:p>
        </w:tc>
        <w:tc>
          <w:tcPr>
            <w:tcW w:w="2552" w:type="dxa"/>
            <w:shd w:val="clear" w:color="auto" w:fill="auto"/>
          </w:tcPr>
          <w:p w14:paraId="13B98916" w14:textId="77777777" w:rsidR="00C261DB" w:rsidRPr="002B6E23" w:rsidRDefault="00C261DB" w:rsidP="00E479BF">
            <w:pPr>
              <w:rPr>
                <w:rFonts w:eastAsia="DengXian" w:cs="Arial"/>
                <w:color w:val="000000"/>
                <w:sz w:val="20"/>
              </w:rPr>
            </w:pPr>
          </w:p>
        </w:tc>
      </w:tr>
    </w:tbl>
    <w:p w14:paraId="7D2FA60C" w14:textId="77777777" w:rsidR="00C261DB" w:rsidRDefault="00C261DB" w:rsidP="00C261DB">
      <w:pPr>
        <w:pStyle w:val="NoSpacing"/>
      </w:pPr>
    </w:p>
    <w:p w14:paraId="28021924" w14:textId="77777777" w:rsidR="00C261DB" w:rsidRPr="00142E78" w:rsidRDefault="00C261DB" w:rsidP="00C261DB">
      <w:pPr>
        <w:spacing w:before="360"/>
        <w:outlineLvl w:val="2"/>
        <w:rPr>
          <w:rFonts w:eastAsia="DengXian"/>
        </w:rPr>
      </w:pPr>
      <w:r w:rsidRPr="00142E78">
        <w:rPr>
          <w:rFonts w:eastAsia="DengXian"/>
          <w:b/>
          <w:szCs w:val="24"/>
        </w:rPr>
        <w:t xml:space="preserve">Annex B </w:t>
      </w:r>
      <w:r>
        <w:rPr>
          <w:rFonts w:eastAsia="DengXian"/>
          <w:b/>
          <w:szCs w:val="24"/>
        </w:rPr>
        <w:t xml:space="preserve">- </w:t>
      </w:r>
      <w:r w:rsidRPr="00142E78">
        <w:rPr>
          <w:rFonts w:eastAsia="DengXian"/>
          <w:b/>
          <w:szCs w:val="24"/>
        </w:rPr>
        <w:t>list of UIFN service providers pending payment for 2018</w:t>
      </w:r>
      <w:r>
        <w:rPr>
          <w:rFonts w:eastAsia="DengXian"/>
          <w:b/>
          <w:szCs w:val="24"/>
        </w:rPr>
        <w:t>, 2019,</w:t>
      </w:r>
      <w:r w:rsidRPr="00142E78">
        <w:rPr>
          <w:rFonts w:eastAsia="DengXian"/>
          <w:b/>
          <w:szCs w:val="24"/>
        </w:rPr>
        <w:t xml:space="preserve"> </w:t>
      </w:r>
      <w:r>
        <w:rPr>
          <w:rFonts w:eastAsia="DengXian"/>
          <w:b/>
          <w:szCs w:val="24"/>
        </w:rPr>
        <w:t xml:space="preserve">2020, 2021 </w:t>
      </w:r>
      <w:r w:rsidRPr="00142E78">
        <w:rPr>
          <w:rFonts w:eastAsia="DengXian"/>
          <w:b/>
          <w:szCs w:val="24"/>
        </w:rPr>
        <w:t>and 20</w:t>
      </w:r>
      <w:r>
        <w:rPr>
          <w:rFonts w:eastAsia="DengXian"/>
          <w:b/>
          <w:szCs w:val="24"/>
        </w:rPr>
        <w:t xml:space="preserve">22 </w:t>
      </w:r>
      <w:r w:rsidRPr="009C7B7E">
        <w:rPr>
          <w:rFonts w:eastAsia="DengXian"/>
          <w:bCs/>
          <w:color w:val="000000" w:themeColor="text1"/>
          <w:szCs w:val="24"/>
        </w:rPr>
        <w:t xml:space="preserve">(as of </w:t>
      </w:r>
      <w:r>
        <w:rPr>
          <w:rFonts w:eastAsia="DengXian"/>
          <w:bCs/>
          <w:color w:val="000000" w:themeColor="text1"/>
          <w:szCs w:val="24"/>
        </w:rPr>
        <w:t>31</w:t>
      </w:r>
      <w:r w:rsidRPr="00E22F61">
        <w:rPr>
          <w:rFonts w:eastAsia="DengXian"/>
          <w:bCs/>
          <w:color w:val="000000" w:themeColor="text1"/>
          <w:szCs w:val="24"/>
        </w:rPr>
        <w:t>.</w:t>
      </w:r>
      <w:r>
        <w:rPr>
          <w:rFonts w:eastAsia="DengXian"/>
          <w:bCs/>
          <w:color w:val="000000" w:themeColor="text1"/>
          <w:szCs w:val="24"/>
        </w:rPr>
        <w:t>10</w:t>
      </w:r>
      <w:r w:rsidRPr="00E22F61">
        <w:rPr>
          <w:rFonts w:eastAsia="DengXian"/>
          <w:bCs/>
          <w:color w:val="000000" w:themeColor="text1"/>
          <w:szCs w:val="24"/>
        </w:rPr>
        <w:t>.2023</w:t>
      </w:r>
      <w:r w:rsidRPr="009C7B7E">
        <w:rPr>
          <w:rFonts w:eastAsia="DengXian"/>
          <w:bCs/>
          <w:color w:val="000000" w:themeColor="text1"/>
          <w:szCs w:val="24"/>
        </w:rPr>
        <w:t>)</w:t>
      </w:r>
    </w:p>
    <w:p w14:paraId="738B3A70" w14:textId="77777777" w:rsidR="00C261DB" w:rsidRDefault="00C261DB" w:rsidP="00C261DB">
      <w:pPr>
        <w:rPr>
          <w:rFonts w:eastAsia="DengXian"/>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81"/>
        <w:gridCol w:w="945"/>
        <w:gridCol w:w="993"/>
        <w:gridCol w:w="2551"/>
        <w:gridCol w:w="2126"/>
        <w:gridCol w:w="2552"/>
      </w:tblGrid>
      <w:tr w:rsidR="00C261DB" w:rsidRPr="001047FE" w14:paraId="63F42043" w14:textId="77777777" w:rsidTr="00E479BF">
        <w:trPr>
          <w:cantSplit/>
          <w:trHeight w:val="255"/>
          <w:tblHeader/>
        </w:trPr>
        <w:tc>
          <w:tcPr>
            <w:tcW w:w="704" w:type="dxa"/>
            <w:shd w:val="clear" w:color="auto" w:fill="DDDDDD"/>
          </w:tcPr>
          <w:p w14:paraId="3F4DDC04" w14:textId="77777777" w:rsidR="00C261DB" w:rsidRPr="00094122" w:rsidRDefault="00C261DB" w:rsidP="00E479BF">
            <w:pPr>
              <w:jc w:val="center"/>
              <w:rPr>
                <w:rFonts w:eastAsia="DengXian" w:cs="Arial"/>
                <w:b/>
                <w:color w:val="000000"/>
                <w:sz w:val="20"/>
              </w:rPr>
            </w:pPr>
            <w:r w:rsidRPr="00094122">
              <w:rPr>
                <w:rFonts w:eastAsia="DengXian" w:cs="Arial"/>
                <w:b/>
                <w:color w:val="000000"/>
                <w:sz w:val="20"/>
              </w:rPr>
              <w:t>year</w:t>
            </w:r>
          </w:p>
        </w:tc>
        <w:tc>
          <w:tcPr>
            <w:tcW w:w="1181" w:type="dxa"/>
            <w:shd w:val="clear" w:color="auto" w:fill="DDDDDD"/>
            <w:noWrap/>
          </w:tcPr>
          <w:p w14:paraId="28FE4CB6" w14:textId="77777777" w:rsidR="00C261DB" w:rsidRPr="001047FE" w:rsidRDefault="00C261DB" w:rsidP="00E479BF">
            <w:pPr>
              <w:jc w:val="center"/>
              <w:rPr>
                <w:rFonts w:eastAsia="DengXian" w:cs="Arial"/>
                <w:b/>
                <w:color w:val="000000"/>
                <w:sz w:val="20"/>
              </w:rPr>
            </w:pPr>
            <w:r w:rsidRPr="001047FE">
              <w:rPr>
                <w:rFonts w:eastAsia="DengXian" w:cs="Arial"/>
                <w:b/>
                <w:color w:val="000000"/>
                <w:sz w:val="20"/>
              </w:rPr>
              <w:t>Amount</w:t>
            </w:r>
          </w:p>
        </w:tc>
        <w:tc>
          <w:tcPr>
            <w:tcW w:w="945" w:type="dxa"/>
            <w:shd w:val="clear" w:color="auto" w:fill="DDDDDD"/>
            <w:noWrap/>
          </w:tcPr>
          <w:p w14:paraId="3ED1B1FE" w14:textId="77777777" w:rsidR="00C261DB" w:rsidRPr="001047FE" w:rsidRDefault="00C261DB" w:rsidP="00E479BF">
            <w:pPr>
              <w:jc w:val="center"/>
              <w:rPr>
                <w:rFonts w:eastAsia="DengXian" w:cs="Arial"/>
                <w:b/>
                <w:color w:val="000000"/>
                <w:sz w:val="20"/>
              </w:rPr>
            </w:pPr>
            <w:r w:rsidRPr="001047FE">
              <w:rPr>
                <w:rFonts w:eastAsia="DengXian" w:cs="Arial"/>
                <w:b/>
                <w:color w:val="000000"/>
                <w:sz w:val="20"/>
              </w:rPr>
              <w:t>currency</w:t>
            </w:r>
          </w:p>
        </w:tc>
        <w:tc>
          <w:tcPr>
            <w:tcW w:w="993" w:type="dxa"/>
            <w:shd w:val="clear" w:color="auto" w:fill="DDDDDD"/>
          </w:tcPr>
          <w:p w14:paraId="0DA628E1" w14:textId="77777777" w:rsidR="00C261DB" w:rsidRPr="001047FE" w:rsidRDefault="00C261DB" w:rsidP="00E479BF">
            <w:pPr>
              <w:jc w:val="center"/>
              <w:rPr>
                <w:rFonts w:eastAsia="DengXian" w:cs="Arial"/>
                <w:b/>
                <w:color w:val="000000"/>
                <w:sz w:val="20"/>
              </w:rPr>
            </w:pPr>
            <w:r w:rsidRPr="001047FE">
              <w:rPr>
                <w:rFonts w:eastAsia="DengXian" w:cs="Arial"/>
                <w:b/>
                <w:color w:val="000000"/>
                <w:sz w:val="20"/>
              </w:rPr>
              <w:t>UIFN quantity</w:t>
            </w:r>
          </w:p>
        </w:tc>
        <w:tc>
          <w:tcPr>
            <w:tcW w:w="2551" w:type="dxa"/>
            <w:shd w:val="clear" w:color="auto" w:fill="DDDDDD"/>
            <w:noWrap/>
          </w:tcPr>
          <w:p w14:paraId="3A7AFDC8" w14:textId="77777777" w:rsidR="00C261DB" w:rsidRPr="001047FE" w:rsidRDefault="00C261DB" w:rsidP="00E479BF">
            <w:pPr>
              <w:jc w:val="center"/>
              <w:rPr>
                <w:rFonts w:eastAsia="DengXian" w:cs="Arial"/>
                <w:b/>
                <w:color w:val="000000"/>
                <w:sz w:val="20"/>
              </w:rPr>
            </w:pPr>
            <w:r w:rsidRPr="001047FE">
              <w:rPr>
                <w:rFonts w:eastAsia="DengXian" w:cs="Arial"/>
                <w:b/>
                <w:color w:val="000000"/>
                <w:sz w:val="20"/>
              </w:rPr>
              <w:t>Company's name</w:t>
            </w:r>
          </w:p>
        </w:tc>
        <w:tc>
          <w:tcPr>
            <w:tcW w:w="2126" w:type="dxa"/>
            <w:shd w:val="clear" w:color="auto" w:fill="DDDDDD"/>
            <w:noWrap/>
          </w:tcPr>
          <w:p w14:paraId="1B66A46B" w14:textId="77777777" w:rsidR="00C261DB" w:rsidRPr="001047FE" w:rsidRDefault="00C261DB" w:rsidP="00E479BF">
            <w:pPr>
              <w:rPr>
                <w:rFonts w:eastAsia="DengXian" w:cs="Arial"/>
                <w:b/>
                <w:color w:val="000000"/>
                <w:sz w:val="20"/>
              </w:rPr>
            </w:pPr>
            <w:r w:rsidRPr="001047FE">
              <w:rPr>
                <w:rFonts w:eastAsia="DengXian" w:cs="Arial"/>
                <w:b/>
                <w:color w:val="000000"/>
                <w:sz w:val="20"/>
              </w:rPr>
              <w:t>Country/</w:t>
            </w:r>
            <w:r w:rsidRPr="001047FE">
              <w:rPr>
                <w:rFonts w:eastAsia="DengXian" w:cs="Arial"/>
                <w:b/>
                <w:color w:val="000000"/>
                <w:sz w:val="20"/>
              </w:rPr>
              <w:br/>
              <w:t>Geographic Area</w:t>
            </w:r>
          </w:p>
        </w:tc>
        <w:tc>
          <w:tcPr>
            <w:tcW w:w="2552" w:type="dxa"/>
            <w:shd w:val="clear" w:color="auto" w:fill="DDDDDD"/>
          </w:tcPr>
          <w:p w14:paraId="4BBE70A4" w14:textId="77777777" w:rsidR="00C261DB" w:rsidRPr="001047FE" w:rsidRDefault="00C261DB" w:rsidP="00E479BF">
            <w:pPr>
              <w:rPr>
                <w:rFonts w:eastAsia="DengXian" w:cs="Arial"/>
                <w:b/>
                <w:color w:val="000000"/>
                <w:sz w:val="20"/>
              </w:rPr>
            </w:pPr>
            <w:r w:rsidRPr="001047FE">
              <w:rPr>
                <w:rFonts w:eastAsia="DengXian" w:cs="Arial"/>
                <w:b/>
                <w:color w:val="000000"/>
                <w:sz w:val="20"/>
              </w:rPr>
              <w:t>note</w:t>
            </w:r>
          </w:p>
        </w:tc>
      </w:tr>
      <w:tr w:rsidR="00C261DB" w:rsidRPr="001047FE" w14:paraId="1DA257C6" w14:textId="77777777" w:rsidTr="00E479BF">
        <w:trPr>
          <w:cantSplit/>
          <w:trHeight w:val="255"/>
        </w:trPr>
        <w:tc>
          <w:tcPr>
            <w:tcW w:w="704" w:type="dxa"/>
            <w:shd w:val="clear" w:color="auto" w:fill="auto"/>
          </w:tcPr>
          <w:p w14:paraId="27869EA1" w14:textId="77777777" w:rsidR="00C261DB" w:rsidRPr="00094122" w:rsidRDefault="00C261DB" w:rsidP="00E479BF">
            <w:pPr>
              <w:jc w:val="right"/>
              <w:outlineLvl w:val="2"/>
              <w:rPr>
                <w:rFonts w:eastAsia="DengXian" w:cs="Arial"/>
                <w:color w:val="000000" w:themeColor="text1"/>
                <w:sz w:val="20"/>
              </w:rPr>
            </w:pPr>
            <w:r w:rsidRPr="00094122">
              <w:rPr>
                <w:rFonts w:eastAsia="DengXian" w:cs="Arial"/>
                <w:color w:val="000000" w:themeColor="text1"/>
                <w:sz w:val="20"/>
              </w:rPr>
              <w:t>2022</w:t>
            </w:r>
          </w:p>
        </w:tc>
        <w:tc>
          <w:tcPr>
            <w:tcW w:w="1181" w:type="dxa"/>
            <w:shd w:val="clear" w:color="auto" w:fill="auto"/>
            <w:noWrap/>
          </w:tcPr>
          <w:p w14:paraId="72805CBA" w14:textId="77777777" w:rsidR="00C261DB" w:rsidRPr="00094122" w:rsidRDefault="00C261DB" w:rsidP="00E479BF">
            <w:pPr>
              <w:jc w:val="right"/>
              <w:outlineLvl w:val="2"/>
              <w:rPr>
                <w:rFonts w:eastAsia="DengXian" w:cs="Arial"/>
                <w:color w:val="000000" w:themeColor="text1"/>
                <w:sz w:val="20"/>
              </w:rPr>
            </w:pPr>
            <w:r w:rsidRPr="00094122">
              <w:rPr>
                <w:rFonts w:eastAsia="DengXian" w:cs="Arial"/>
                <w:color w:val="000000" w:themeColor="text1"/>
                <w:sz w:val="20"/>
              </w:rPr>
              <w:t>55,900.00</w:t>
            </w:r>
          </w:p>
        </w:tc>
        <w:tc>
          <w:tcPr>
            <w:tcW w:w="945" w:type="dxa"/>
            <w:shd w:val="clear" w:color="auto" w:fill="auto"/>
            <w:noWrap/>
          </w:tcPr>
          <w:p w14:paraId="41724E65" w14:textId="77777777" w:rsidR="00C261DB" w:rsidRPr="00094122" w:rsidRDefault="00C261DB" w:rsidP="00E479BF">
            <w:pPr>
              <w:outlineLvl w:val="2"/>
              <w:rPr>
                <w:rFonts w:eastAsia="DengXian" w:cs="Arial"/>
                <w:color w:val="000000" w:themeColor="text1"/>
                <w:sz w:val="20"/>
              </w:rPr>
            </w:pPr>
            <w:r w:rsidRPr="00094122">
              <w:rPr>
                <w:rFonts w:eastAsia="DengXian" w:cs="Arial"/>
                <w:color w:val="000000" w:themeColor="text1"/>
                <w:sz w:val="20"/>
              </w:rPr>
              <w:t>CHF</w:t>
            </w:r>
          </w:p>
        </w:tc>
        <w:tc>
          <w:tcPr>
            <w:tcW w:w="993" w:type="dxa"/>
            <w:shd w:val="clear" w:color="auto" w:fill="auto"/>
          </w:tcPr>
          <w:p w14:paraId="59365839" w14:textId="77777777" w:rsidR="00C261DB" w:rsidRPr="00094122" w:rsidRDefault="00C261DB" w:rsidP="00E479BF">
            <w:pPr>
              <w:jc w:val="center"/>
              <w:outlineLvl w:val="2"/>
              <w:rPr>
                <w:rFonts w:eastAsia="DengXian" w:cs="Arial"/>
                <w:color w:val="000000" w:themeColor="text1"/>
                <w:sz w:val="20"/>
              </w:rPr>
            </w:pPr>
            <w:r w:rsidRPr="00094122">
              <w:rPr>
                <w:rFonts w:eastAsia="DengXian" w:cs="Arial"/>
                <w:color w:val="000000" w:themeColor="text1"/>
                <w:sz w:val="20"/>
              </w:rPr>
              <w:t>559</w:t>
            </w:r>
          </w:p>
        </w:tc>
        <w:tc>
          <w:tcPr>
            <w:tcW w:w="2551" w:type="dxa"/>
            <w:shd w:val="clear" w:color="auto" w:fill="auto"/>
            <w:noWrap/>
          </w:tcPr>
          <w:p w14:paraId="14E37341" w14:textId="77777777" w:rsidR="00C261DB" w:rsidRPr="00094122" w:rsidRDefault="00C261DB" w:rsidP="00E479BF">
            <w:pPr>
              <w:outlineLvl w:val="2"/>
              <w:rPr>
                <w:rFonts w:eastAsia="DengXian" w:cs="Arial"/>
                <w:color w:val="000000" w:themeColor="text1"/>
                <w:sz w:val="20"/>
              </w:rPr>
            </w:pPr>
            <w:r w:rsidRPr="00094122">
              <w:rPr>
                <w:rFonts w:eastAsia="DengXian" w:cs="Arial"/>
                <w:color w:val="000000" w:themeColor="text1"/>
                <w:sz w:val="20"/>
              </w:rPr>
              <w:t>Eircom</w:t>
            </w:r>
          </w:p>
        </w:tc>
        <w:tc>
          <w:tcPr>
            <w:tcW w:w="2126" w:type="dxa"/>
            <w:shd w:val="clear" w:color="auto" w:fill="auto"/>
            <w:noWrap/>
          </w:tcPr>
          <w:p w14:paraId="74C93158" w14:textId="77777777" w:rsidR="00C261DB" w:rsidRPr="00094122" w:rsidRDefault="00C261DB" w:rsidP="00E479BF">
            <w:pPr>
              <w:outlineLvl w:val="2"/>
              <w:rPr>
                <w:rFonts w:eastAsia="DengXian" w:cs="Arial"/>
                <w:color w:val="000000" w:themeColor="text1"/>
                <w:sz w:val="20"/>
              </w:rPr>
            </w:pPr>
            <w:r w:rsidRPr="00094122">
              <w:rPr>
                <w:rFonts w:eastAsia="DengXian" w:cs="Arial"/>
                <w:color w:val="000000" w:themeColor="text1"/>
                <w:sz w:val="20"/>
              </w:rPr>
              <w:t>Ireland</w:t>
            </w:r>
          </w:p>
        </w:tc>
        <w:tc>
          <w:tcPr>
            <w:tcW w:w="2552" w:type="dxa"/>
            <w:shd w:val="clear" w:color="auto" w:fill="auto"/>
          </w:tcPr>
          <w:p w14:paraId="6576E7AA" w14:textId="77777777" w:rsidR="00C261DB" w:rsidRPr="00094122" w:rsidRDefault="00C261DB" w:rsidP="00E479BF">
            <w:pPr>
              <w:outlineLvl w:val="2"/>
              <w:rPr>
                <w:rFonts w:eastAsia="DengXian" w:cs="Arial"/>
                <w:color w:val="000000"/>
                <w:sz w:val="20"/>
              </w:rPr>
            </w:pPr>
          </w:p>
        </w:tc>
      </w:tr>
      <w:tr w:rsidR="00C261DB" w:rsidRPr="001047FE" w14:paraId="4DE6B194" w14:textId="77777777" w:rsidTr="00E479BF">
        <w:trPr>
          <w:cantSplit/>
          <w:trHeight w:val="255"/>
        </w:trPr>
        <w:tc>
          <w:tcPr>
            <w:tcW w:w="704" w:type="dxa"/>
            <w:shd w:val="clear" w:color="auto" w:fill="auto"/>
          </w:tcPr>
          <w:p w14:paraId="780E19CC" w14:textId="77777777" w:rsidR="00C261DB" w:rsidRPr="00094122" w:rsidRDefault="00C261DB" w:rsidP="00E479BF">
            <w:pPr>
              <w:jc w:val="right"/>
              <w:rPr>
                <w:rFonts w:eastAsia="DengXian" w:cs="Arial"/>
                <w:color w:val="000000"/>
                <w:sz w:val="20"/>
              </w:rPr>
            </w:pPr>
            <w:r w:rsidRPr="00094122">
              <w:rPr>
                <w:rFonts w:eastAsia="DengXian" w:cs="Arial"/>
                <w:color w:val="000000"/>
                <w:sz w:val="20"/>
              </w:rPr>
              <w:t>2018</w:t>
            </w:r>
          </w:p>
        </w:tc>
        <w:tc>
          <w:tcPr>
            <w:tcW w:w="1181" w:type="dxa"/>
            <w:shd w:val="clear" w:color="auto" w:fill="auto"/>
            <w:noWrap/>
            <w:hideMark/>
          </w:tcPr>
          <w:p w14:paraId="5000A344" w14:textId="77777777" w:rsidR="00C261DB" w:rsidRDefault="00C261DB" w:rsidP="00E479BF">
            <w:pPr>
              <w:jc w:val="right"/>
              <w:rPr>
                <w:rFonts w:eastAsia="DengXian" w:cs="Arial"/>
                <w:color w:val="000000"/>
                <w:sz w:val="20"/>
              </w:rPr>
            </w:pPr>
            <w:r w:rsidRPr="00094122">
              <w:rPr>
                <w:rFonts w:eastAsia="DengXian" w:cs="Arial"/>
                <w:color w:val="000000"/>
                <w:sz w:val="20"/>
              </w:rPr>
              <w:t>14,000.00</w:t>
            </w:r>
          </w:p>
          <w:p w14:paraId="438440CB" w14:textId="77777777" w:rsidR="00C261DB" w:rsidRPr="00094122" w:rsidRDefault="00C261DB" w:rsidP="00E479BF">
            <w:pPr>
              <w:jc w:val="both"/>
              <w:rPr>
                <w:rFonts w:eastAsia="DengXian" w:cs="Arial"/>
                <w:color w:val="000000"/>
                <w:sz w:val="20"/>
              </w:rPr>
            </w:pPr>
            <w:r w:rsidRPr="00C944FD">
              <w:rPr>
                <w:rFonts w:eastAsia="DengXian" w:cs="Arial"/>
                <w:color w:val="000000"/>
                <w:sz w:val="18"/>
                <w:szCs w:val="18"/>
              </w:rPr>
              <w:t>[partial payment:</w:t>
            </w:r>
            <w:r w:rsidRPr="00C944FD">
              <w:rPr>
                <w:rFonts w:eastAsia="DengXian" w:cs="Arial"/>
                <w:color w:val="000000"/>
                <w:sz w:val="18"/>
                <w:szCs w:val="18"/>
              </w:rPr>
              <w:br/>
              <w:t>CHF 2800</w:t>
            </w:r>
            <w:r w:rsidRPr="00094122">
              <w:rPr>
                <w:rFonts w:eastAsia="DengXian" w:cs="Arial"/>
                <w:color w:val="000000"/>
                <w:sz w:val="20"/>
              </w:rPr>
              <w:t>]</w:t>
            </w:r>
          </w:p>
          <w:p w14:paraId="43B68476" w14:textId="77777777" w:rsidR="00C261DB" w:rsidRPr="00094122" w:rsidRDefault="00C261DB" w:rsidP="00E479BF">
            <w:pPr>
              <w:rPr>
                <w:rFonts w:eastAsia="DengXian" w:cs="Arial"/>
                <w:color w:val="000000"/>
                <w:sz w:val="20"/>
              </w:rPr>
            </w:pPr>
          </w:p>
        </w:tc>
        <w:tc>
          <w:tcPr>
            <w:tcW w:w="945" w:type="dxa"/>
            <w:shd w:val="clear" w:color="auto" w:fill="auto"/>
            <w:noWrap/>
            <w:hideMark/>
          </w:tcPr>
          <w:p w14:paraId="4C047F1A" w14:textId="77777777" w:rsidR="00C261DB" w:rsidRPr="00094122" w:rsidRDefault="00C261DB" w:rsidP="00E479BF">
            <w:pPr>
              <w:rPr>
                <w:rFonts w:eastAsia="DengXian" w:cs="Arial"/>
                <w:color w:val="000000"/>
                <w:sz w:val="20"/>
              </w:rPr>
            </w:pPr>
            <w:r w:rsidRPr="00094122">
              <w:rPr>
                <w:rFonts w:eastAsia="DengXian" w:cs="Arial"/>
                <w:color w:val="000000"/>
                <w:sz w:val="20"/>
              </w:rPr>
              <w:t>CHF</w:t>
            </w:r>
          </w:p>
        </w:tc>
        <w:tc>
          <w:tcPr>
            <w:tcW w:w="993" w:type="dxa"/>
            <w:shd w:val="clear" w:color="auto" w:fill="auto"/>
          </w:tcPr>
          <w:p w14:paraId="638CF949" w14:textId="77777777" w:rsidR="00C261DB" w:rsidRPr="00094122" w:rsidRDefault="00C261DB" w:rsidP="00E479BF">
            <w:pPr>
              <w:jc w:val="center"/>
              <w:rPr>
                <w:rFonts w:eastAsia="DengXian" w:cs="Arial"/>
                <w:color w:val="000000"/>
                <w:sz w:val="20"/>
              </w:rPr>
            </w:pPr>
            <w:r w:rsidRPr="00094122">
              <w:rPr>
                <w:rFonts w:eastAsia="DengXian" w:cs="Arial"/>
                <w:color w:val="000000"/>
                <w:sz w:val="20"/>
              </w:rPr>
              <w:t>140</w:t>
            </w:r>
          </w:p>
        </w:tc>
        <w:tc>
          <w:tcPr>
            <w:tcW w:w="2551" w:type="dxa"/>
            <w:shd w:val="clear" w:color="auto" w:fill="auto"/>
            <w:noWrap/>
            <w:hideMark/>
          </w:tcPr>
          <w:p w14:paraId="3244547D" w14:textId="77777777" w:rsidR="00C261DB" w:rsidRPr="00094122" w:rsidRDefault="00C261DB" w:rsidP="00E479BF">
            <w:pPr>
              <w:rPr>
                <w:rFonts w:eastAsia="DengXian" w:cs="Arial"/>
                <w:color w:val="000000"/>
                <w:sz w:val="20"/>
              </w:rPr>
            </w:pPr>
            <w:r w:rsidRPr="00094122">
              <w:rPr>
                <w:rFonts w:eastAsia="DengXian" w:cs="Arial"/>
                <w:color w:val="000000"/>
                <w:sz w:val="20"/>
              </w:rPr>
              <w:t>Bezeq International</w:t>
            </w:r>
          </w:p>
        </w:tc>
        <w:tc>
          <w:tcPr>
            <w:tcW w:w="2126" w:type="dxa"/>
            <w:shd w:val="clear" w:color="auto" w:fill="auto"/>
            <w:noWrap/>
            <w:hideMark/>
          </w:tcPr>
          <w:p w14:paraId="026A19A1" w14:textId="77777777" w:rsidR="00C261DB" w:rsidRPr="00094122" w:rsidRDefault="00C261DB" w:rsidP="00E479BF">
            <w:pPr>
              <w:rPr>
                <w:rFonts w:eastAsia="DengXian" w:cs="Arial"/>
                <w:color w:val="000000"/>
                <w:sz w:val="20"/>
              </w:rPr>
            </w:pPr>
            <w:r w:rsidRPr="00094122">
              <w:rPr>
                <w:rFonts w:eastAsia="DengXian" w:cs="Arial"/>
                <w:color w:val="000000"/>
                <w:sz w:val="20"/>
              </w:rPr>
              <w:t>Israel</w:t>
            </w:r>
          </w:p>
        </w:tc>
        <w:tc>
          <w:tcPr>
            <w:tcW w:w="2552" w:type="dxa"/>
            <w:shd w:val="clear" w:color="auto" w:fill="auto"/>
          </w:tcPr>
          <w:p w14:paraId="3B65DD47" w14:textId="77777777" w:rsidR="00C261DB" w:rsidRPr="00094122" w:rsidRDefault="00C261DB" w:rsidP="00E479BF">
            <w:pPr>
              <w:rPr>
                <w:rFonts w:eastAsia="DengXian" w:cs="Arial"/>
                <w:color w:val="000000"/>
                <w:sz w:val="20"/>
              </w:rPr>
            </w:pPr>
          </w:p>
        </w:tc>
      </w:tr>
      <w:tr w:rsidR="00C261DB" w:rsidRPr="001047FE" w14:paraId="15EC8283" w14:textId="77777777" w:rsidTr="00E479BF">
        <w:trPr>
          <w:cantSplit/>
          <w:trHeight w:val="255"/>
        </w:trPr>
        <w:tc>
          <w:tcPr>
            <w:tcW w:w="704" w:type="dxa"/>
            <w:shd w:val="clear" w:color="auto" w:fill="auto"/>
          </w:tcPr>
          <w:p w14:paraId="263761DE"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t>2018</w:t>
            </w:r>
          </w:p>
        </w:tc>
        <w:tc>
          <w:tcPr>
            <w:tcW w:w="1181" w:type="dxa"/>
            <w:shd w:val="clear" w:color="auto" w:fill="auto"/>
            <w:noWrap/>
          </w:tcPr>
          <w:p w14:paraId="35B25917"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t>5,600.00</w:t>
            </w:r>
          </w:p>
        </w:tc>
        <w:tc>
          <w:tcPr>
            <w:tcW w:w="945" w:type="dxa"/>
            <w:shd w:val="clear" w:color="auto" w:fill="auto"/>
            <w:noWrap/>
          </w:tcPr>
          <w:p w14:paraId="1610A039"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CHF</w:t>
            </w:r>
          </w:p>
        </w:tc>
        <w:tc>
          <w:tcPr>
            <w:tcW w:w="993" w:type="dxa"/>
            <w:shd w:val="clear" w:color="auto" w:fill="auto"/>
          </w:tcPr>
          <w:p w14:paraId="16DF6E85" w14:textId="77777777" w:rsidR="00C261DB" w:rsidRPr="00094122" w:rsidRDefault="00C261DB" w:rsidP="00E479BF">
            <w:pPr>
              <w:jc w:val="center"/>
              <w:outlineLvl w:val="2"/>
              <w:rPr>
                <w:rFonts w:eastAsia="DengXian" w:cs="Arial"/>
                <w:color w:val="000000"/>
                <w:sz w:val="20"/>
              </w:rPr>
            </w:pPr>
            <w:r w:rsidRPr="00094122">
              <w:rPr>
                <w:rFonts w:eastAsia="DengXian" w:cs="Arial"/>
                <w:color w:val="000000"/>
                <w:sz w:val="20"/>
              </w:rPr>
              <w:t>56</w:t>
            </w:r>
          </w:p>
        </w:tc>
        <w:tc>
          <w:tcPr>
            <w:tcW w:w="2551" w:type="dxa"/>
            <w:shd w:val="clear" w:color="auto" w:fill="auto"/>
            <w:noWrap/>
          </w:tcPr>
          <w:p w14:paraId="149FA68E"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International Telcom Ltd.</w:t>
            </w:r>
          </w:p>
        </w:tc>
        <w:tc>
          <w:tcPr>
            <w:tcW w:w="2126" w:type="dxa"/>
            <w:shd w:val="clear" w:color="auto" w:fill="auto"/>
            <w:noWrap/>
          </w:tcPr>
          <w:p w14:paraId="4BC55EF1"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United States</w:t>
            </w:r>
          </w:p>
        </w:tc>
        <w:tc>
          <w:tcPr>
            <w:tcW w:w="2552" w:type="dxa"/>
            <w:shd w:val="clear" w:color="auto" w:fill="auto"/>
          </w:tcPr>
          <w:p w14:paraId="6DD816B8" w14:textId="77777777" w:rsidR="00C261DB" w:rsidRPr="00094122" w:rsidRDefault="00C261DB" w:rsidP="00E479BF">
            <w:pPr>
              <w:outlineLvl w:val="2"/>
              <w:rPr>
                <w:rFonts w:eastAsia="DengXian" w:cs="Arial"/>
                <w:sz w:val="20"/>
              </w:rPr>
            </w:pPr>
          </w:p>
        </w:tc>
      </w:tr>
      <w:tr w:rsidR="00C261DB" w:rsidRPr="001047FE" w14:paraId="76500F01" w14:textId="77777777" w:rsidTr="00E479BF">
        <w:trPr>
          <w:cantSplit/>
          <w:trHeight w:val="255"/>
        </w:trPr>
        <w:tc>
          <w:tcPr>
            <w:tcW w:w="704" w:type="dxa"/>
            <w:shd w:val="clear" w:color="auto" w:fill="auto"/>
          </w:tcPr>
          <w:p w14:paraId="2D57A432"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t>2018</w:t>
            </w:r>
          </w:p>
        </w:tc>
        <w:tc>
          <w:tcPr>
            <w:tcW w:w="1181" w:type="dxa"/>
            <w:shd w:val="clear" w:color="auto" w:fill="auto"/>
            <w:noWrap/>
            <w:hideMark/>
          </w:tcPr>
          <w:p w14:paraId="1642EC61"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t>1,000.00</w:t>
            </w:r>
          </w:p>
        </w:tc>
        <w:tc>
          <w:tcPr>
            <w:tcW w:w="945" w:type="dxa"/>
            <w:shd w:val="clear" w:color="auto" w:fill="auto"/>
            <w:noWrap/>
            <w:hideMark/>
          </w:tcPr>
          <w:p w14:paraId="20731364"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CHF</w:t>
            </w:r>
          </w:p>
        </w:tc>
        <w:tc>
          <w:tcPr>
            <w:tcW w:w="993" w:type="dxa"/>
            <w:shd w:val="clear" w:color="auto" w:fill="auto"/>
          </w:tcPr>
          <w:p w14:paraId="79BBA81C" w14:textId="77777777" w:rsidR="00C261DB" w:rsidRPr="00094122" w:rsidRDefault="00C261DB" w:rsidP="00E479BF">
            <w:pPr>
              <w:jc w:val="center"/>
              <w:outlineLvl w:val="2"/>
              <w:rPr>
                <w:rFonts w:eastAsia="DengXian" w:cs="Arial"/>
                <w:color w:val="000000"/>
                <w:sz w:val="20"/>
              </w:rPr>
            </w:pPr>
            <w:r w:rsidRPr="00094122">
              <w:rPr>
                <w:rFonts w:eastAsia="DengXian" w:cs="Arial"/>
                <w:color w:val="000000"/>
                <w:sz w:val="20"/>
              </w:rPr>
              <w:t>10</w:t>
            </w:r>
          </w:p>
        </w:tc>
        <w:tc>
          <w:tcPr>
            <w:tcW w:w="2551" w:type="dxa"/>
            <w:shd w:val="clear" w:color="auto" w:fill="auto"/>
            <w:noWrap/>
            <w:hideMark/>
          </w:tcPr>
          <w:p w14:paraId="2F2D30A3"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Eutelia S.p.A.</w:t>
            </w:r>
          </w:p>
        </w:tc>
        <w:tc>
          <w:tcPr>
            <w:tcW w:w="2126" w:type="dxa"/>
            <w:shd w:val="clear" w:color="auto" w:fill="auto"/>
            <w:noWrap/>
            <w:hideMark/>
          </w:tcPr>
          <w:p w14:paraId="73AF976E"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Italy</w:t>
            </w:r>
          </w:p>
        </w:tc>
        <w:tc>
          <w:tcPr>
            <w:tcW w:w="2552" w:type="dxa"/>
            <w:shd w:val="clear" w:color="auto" w:fill="auto"/>
          </w:tcPr>
          <w:p w14:paraId="32515C56"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partially purchased by CloudItalia with no UIFN responsibility, however,</w:t>
            </w:r>
            <w:r w:rsidRPr="00094122">
              <w:rPr>
                <w:rFonts w:eastAsia="DengXian" w:cs="Arial"/>
                <w:color w:val="000000"/>
                <w:sz w:val="20"/>
              </w:rPr>
              <w:br/>
              <w:t>3 UIFNs are reachable</w:t>
            </w:r>
          </w:p>
        </w:tc>
      </w:tr>
      <w:tr w:rsidR="00C261DB" w:rsidRPr="001047FE" w14:paraId="5AF91E17" w14:textId="77777777" w:rsidTr="00E479BF">
        <w:trPr>
          <w:cantSplit/>
          <w:trHeight w:val="255"/>
        </w:trPr>
        <w:tc>
          <w:tcPr>
            <w:tcW w:w="704" w:type="dxa"/>
            <w:shd w:val="clear" w:color="auto" w:fill="auto"/>
          </w:tcPr>
          <w:p w14:paraId="785C894E" w14:textId="77777777" w:rsidR="00C261DB" w:rsidRPr="00094122" w:rsidRDefault="00C261DB" w:rsidP="00E479BF">
            <w:pPr>
              <w:jc w:val="right"/>
              <w:outlineLvl w:val="2"/>
              <w:rPr>
                <w:rFonts w:eastAsia="DengXian" w:cs="Arial"/>
                <w:color w:val="000000" w:themeColor="text1"/>
                <w:sz w:val="20"/>
              </w:rPr>
            </w:pPr>
            <w:r w:rsidRPr="00094122">
              <w:rPr>
                <w:rFonts w:eastAsia="DengXian" w:cs="Arial"/>
                <w:color w:val="000000" w:themeColor="text1"/>
                <w:sz w:val="20"/>
              </w:rPr>
              <w:t>2022</w:t>
            </w:r>
          </w:p>
        </w:tc>
        <w:tc>
          <w:tcPr>
            <w:tcW w:w="1181" w:type="dxa"/>
            <w:shd w:val="clear" w:color="auto" w:fill="auto"/>
            <w:noWrap/>
          </w:tcPr>
          <w:p w14:paraId="110C5D90" w14:textId="77777777" w:rsidR="00C261DB" w:rsidRPr="00094122" w:rsidRDefault="00C261DB" w:rsidP="00E479BF">
            <w:pPr>
              <w:jc w:val="right"/>
              <w:outlineLvl w:val="2"/>
              <w:rPr>
                <w:rFonts w:eastAsia="DengXian" w:cs="Arial"/>
                <w:color w:val="000000" w:themeColor="text1"/>
                <w:sz w:val="20"/>
              </w:rPr>
            </w:pPr>
            <w:r w:rsidRPr="00094122">
              <w:rPr>
                <w:rFonts w:eastAsia="DengXian" w:cs="Arial"/>
                <w:color w:val="000000" w:themeColor="text1"/>
                <w:sz w:val="20"/>
              </w:rPr>
              <w:t>600.00</w:t>
            </w:r>
          </w:p>
        </w:tc>
        <w:tc>
          <w:tcPr>
            <w:tcW w:w="945" w:type="dxa"/>
            <w:shd w:val="clear" w:color="auto" w:fill="auto"/>
            <w:noWrap/>
          </w:tcPr>
          <w:p w14:paraId="226E2A44" w14:textId="77777777" w:rsidR="00C261DB" w:rsidRPr="00094122" w:rsidRDefault="00C261DB" w:rsidP="00E479BF">
            <w:pPr>
              <w:outlineLvl w:val="2"/>
              <w:rPr>
                <w:rFonts w:eastAsia="DengXian" w:cs="Arial"/>
                <w:color w:val="000000" w:themeColor="text1"/>
                <w:sz w:val="20"/>
              </w:rPr>
            </w:pPr>
            <w:r w:rsidRPr="00094122">
              <w:rPr>
                <w:rFonts w:eastAsia="DengXian" w:cs="Arial"/>
                <w:color w:val="000000" w:themeColor="text1"/>
                <w:sz w:val="20"/>
              </w:rPr>
              <w:t>CHF</w:t>
            </w:r>
          </w:p>
        </w:tc>
        <w:tc>
          <w:tcPr>
            <w:tcW w:w="993" w:type="dxa"/>
            <w:shd w:val="clear" w:color="auto" w:fill="auto"/>
          </w:tcPr>
          <w:p w14:paraId="77583B15" w14:textId="77777777" w:rsidR="00C261DB" w:rsidRPr="00094122" w:rsidRDefault="00C261DB" w:rsidP="00E479BF">
            <w:pPr>
              <w:jc w:val="center"/>
              <w:outlineLvl w:val="2"/>
              <w:rPr>
                <w:rFonts w:eastAsia="DengXian" w:cs="Arial"/>
                <w:color w:val="000000" w:themeColor="text1"/>
                <w:sz w:val="20"/>
              </w:rPr>
            </w:pPr>
            <w:r w:rsidRPr="00094122">
              <w:rPr>
                <w:rFonts w:eastAsia="DengXian" w:cs="Arial"/>
                <w:color w:val="000000" w:themeColor="text1"/>
                <w:sz w:val="20"/>
              </w:rPr>
              <w:t>6</w:t>
            </w:r>
          </w:p>
        </w:tc>
        <w:tc>
          <w:tcPr>
            <w:tcW w:w="2551" w:type="dxa"/>
            <w:shd w:val="clear" w:color="auto" w:fill="auto"/>
            <w:noWrap/>
          </w:tcPr>
          <w:p w14:paraId="0EDF804E" w14:textId="77777777" w:rsidR="00C261DB" w:rsidRPr="00094122" w:rsidRDefault="00C261DB" w:rsidP="00E479BF">
            <w:pPr>
              <w:outlineLvl w:val="2"/>
              <w:rPr>
                <w:rFonts w:eastAsia="DengXian" w:cs="Arial"/>
                <w:color w:val="000000" w:themeColor="text1"/>
                <w:sz w:val="20"/>
              </w:rPr>
            </w:pPr>
            <w:r w:rsidRPr="00094122">
              <w:rPr>
                <w:rFonts w:eastAsia="DengXian" w:cs="Arial"/>
                <w:color w:val="000000" w:themeColor="text1"/>
                <w:sz w:val="20"/>
              </w:rPr>
              <w:t>PLANinterNET VoIP-GmbH</w:t>
            </w:r>
          </w:p>
        </w:tc>
        <w:tc>
          <w:tcPr>
            <w:tcW w:w="2126" w:type="dxa"/>
            <w:shd w:val="clear" w:color="auto" w:fill="auto"/>
            <w:noWrap/>
          </w:tcPr>
          <w:p w14:paraId="2F49E490" w14:textId="77777777" w:rsidR="00C261DB" w:rsidRPr="00094122" w:rsidRDefault="00C261DB" w:rsidP="00E479BF">
            <w:pPr>
              <w:outlineLvl w:val="2"/>
              <w:rPr>
                <w:rFonts w:eastAsia="DengXian" w:cs="Arial"/>
                <w:color w:val="000000" w:themeColor="text1"/>
                <w:sz w:val="20"/>
              </w:rPr>
            </w:pPr>
            <w:r w:rsidRPr="00094122">
              <w:rPr>
                <w:rFonts w:eastAsia="DengXian" w:cs="Arial"/>
                <w:color w:val="000000" w:themeColor="text1"/>
                <w:sz w:val="20"/>
              </w:rPr>
              <w:t>Germany</w:t>
            </w:r>
          </w:p>
        </w:tc>
        <w:tc>
          <w:tcPr>
            <w:tcW w:w="2552" w:type="dxa"/>
            <w:shd w:val="clear" w:color="auto" w:fill="auto"/>
          </w:tcPr>
          <w:p w14:paraId="40D232F1" w14:textId="77777777" w:rsidR="00C261DB" w:rsidRPr="00094122" w:rsidRDefault="00C261DB" w:rsidP="00E479BF">
            <w:pPr>
              <w:outlineLvl w:val="2"/>
              <w:rPr>
                <w:rFonts w:eastAsia="DengXian" w:cs="Arial"/>
                <w:color w:val="000000" w:themeColor="text1"/>
                <w:sz w:val="20"/>
              </w:rPr>
            </w:pPr>
          </w:p>
        </w:tc>
      </w:tr>
      <w:tr w:rsidR="00C261DB" w:rsidRPr="001047FE" w14:paraId="60B1A535" w14:textId="77777777" w:rsidTr="00E479BF">
        <w:trPr>
          <w:cantSplit/>
          <w:trHeight w:val="255"/>
        </w:trPr>
        <w:tc>
          <w:tcPr>
            <w:tcW w:w="704" w:type="dxa"/>
            <w:shd w:val="clear" w:color="auto" w:fill="auto"/>
          </w:tcPr>
          <w:p w14:paraId="220450B1"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lastRenderedPageBreak/>
              <w:t>2018</w:t>
            </w:r>
          </w:p>
        </w:tc>
        <w:tc>
          <w:tcPr>
            <w:tcW w:w="1181" w:type="dxa"/>
            <w:shd w:val="clear" w:color="auto" w:fill="auto"/>
            <w:noWrap/>
          </w:tcPr>
          <w:p w14:paraId="1A986534"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t>500.00</w:t>
            </w:r>
          </w:p>
        </w:tc>
        <w:tc>
          <w:tcPr>
            <w:tcW w:w="945" w:type="dxa"/>
            <w:shd w:val="clear" w:color="auto" w:fill="auto"/>
            <w:noWrap/>
          </w:tcPr>
          <w:p w14:paraId="636F39A1"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CHF</w:t>
            </w:r>
          </w:p>
        </w:tc>
        <w:tc>
          <w:tcPr>
            <w:tcW w:w="993" w:type="dxa"/>
            <w:shd w:val="clear" w:color="auto" w:fill="auto"/>
          </w:tcPr>
          <w:p w14:paraId="3D02C91A" w14:textId="77777777" w:rsidR="00C261DB" w:rsidRPr="00094122" w:rsidRDefault="00C261DB" w:rsidP="00E479BF">
            <w:pPr>
              <w:jc w:val="center"/>
              <w:outlineLvl w:val="2"/>
              <w:rPr>
                <w:rFonts w:eastAsia="DengXian" w:cs="Arial"/>
                <w:color w:val="000000"/>
                <w:sz w:val="20"/>
              </w:rPr>
            </w:pPr>
            <w:r w:rsidRPr="00094122">
              <w:rPr>
                <w:rFonts w:eastAsia="DengXian" w:cs="Arial"/>
                <w:color w:val="000000"/>
                <w:sz w:val="20"/>
              </w:rPr>
              <w:t>5</w:t>
            </w:r>
          </w:p>
        </w:tc>
        <w:tc>
          <w:tcPr>
            <w:tcW w:w="2551" w:type="dxa"/>
            <w:shd w:val="clear" w:color="auto" w:fill="auto"/>
            <w:noWrap/>
          </w:tcPr>
          <w:p w14:paraId="2EE9CEB3" w14:textId="77777777" w:rsidR="00C261DB" w:rsidRPr="00094122" w:rsidRDefault="00C261DB" w:rsidP="00E479BF">
            <w:pPr>
              <w:outlineLvl w:val="2"/>
              <w:rPr>
                <w:rFonts w:eastAsia="DengXian" w:cs="Arial"/>
                <w:color w:val="000000"/>
                <w:sz w:val="20"/>
                <w:lang w:val="es-ES_tradnl"/>
              </w:rPr>
            </w:pPr>
            <w:r w:rsidRPr="00094122">
              <w:rPr>
                <w:rFonts w:eastAsia="DengXian" w:cs="Arial"/>
                <w:color w:val="000000" w:themeColor="text1"/>
                <w:sz w:val="20"/>
                <w:lang w:val="es-ES_tradnl"/>
              </w:rPr>
              <w:t xml:space="preserve">Telefónica S.A. </w:t>
            </w:r>
            <w:r w:rsidRPr="00094122">
              <w:rPr>
                <w:rFonts w:eastAsia="DengXian" w:cs="Arial"/>
                <w:color w:val="000000" w:themeColor="text1"/>
                <w:sz w:val="20"/>
                <w:lang w:val="es-ES_tradnl"/>
              </w:rPr>
              <w:br/>
              <w:t>(</w:t>
            </w:r>
            <w:r w:rsidRPr="008B41D4">
              <w:rPr>
                <w:rFonts w:eastAsia="DengXian" w:cs="Arial"/>
                <w:color w:val="000000" w:themeColor="text1"/>
                <w:sz w:val="20"/>
                <w:lang w:val="es-ES"/>
              </w:rPr>
              <w:t>formerly</w:t>
            </w:r>
            <w:r w:rsidRPr="00094122">
              <w:rPr>
                <w:rFonts w:eastAsia="DengXian" w:cs="Arial"/>
                <w:color w:val="000000" w:themeColor="text1"/>
                <w:sz w:val="20"/>
                <w:lang w:val="es-ES_tradnl"/>
              </w:rPr>
              <w:t xml:space="preserve"> Colombia Telecomunicaciones S.A. ESP - Telecom Colombia)</w:t>
            </w:r>
          </w:p>
        </w:tc>
        <w:tc>
          <w:tcPr>
            <w:tcW w:w="2126" w:type="dxa"/>
            <w:shd w:val="clear" w:color="auto" w:fill="auto"/>
            <w:noWrap/>
          </w:tcPr>
          <w:p w14:paraId="5AAB8437"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Colombia</w:t>
            </w:r>
          </w:p>
        </w:tc>
        <w:tc>
          <w:tcPr>
            <w:tcW w:w="2552" w:type="dxa"/>
            <w:shd w:val="clear" w:color="auto" w:fill="auto"/>
          </w:tcPr>
          <w:p w14:paraId="00FC0DFF" w14:textId="77777777" w:rsidR="00C261DB" w:rsidRPr="00094122" w:rsidRDefault="00C261DB" w:rsidP="00E479BF">
            <w:pPr>
              <w:outlineLvl w:val="2"/>
              <w:rPr>
                <w:rFonts w:eastAsia="DengXian" w:cs="Arial"/>
                <w:sz w:val="20"/>
              </w:rPr>
            </w:pPr>
          </w:p>
        </w:tc>
      </w:tr>
      <w:tr w:rsidR="00C261DB" w:rsidRPr="001047FE" w14:paraId="110D8B61" w14:textId="77777777" w:rsidTr="00E479BF">
        <w:trPr>
          <w:cantSplit/>
          <w:trHeight w:val="256"/>
        </w:trPr>
        <w:tc>
          <w:tcPr>
            <w:tcW w:w="704" w:type="dxa"/>
            <w:shd w:val="clear" w:color="auto" w:fill="auto"/>
          </w:tcPr>
          <w:p w14:paraId="1A1BDD97" w14:textId="77777777" w:rsidR="00C261DB" w:rsidRPr="00094122" w:rsidRDefault="00C261DB" w:rsidP="00E479BF">
            <w:pPr>
              <w:jc w:val="right"/>
              <w:outlineLvl w:val="2"/>
              <w:rPr>
                <w:rFonts w:eastAsia="DengXian" w:cs="Arial"/>
                <w:color w:val="000000" w:themeColor="text1"/>
                <w:sz w:val="20"/>
              </w:rPr>
            </w:pPr>
            <w:r w:rsidRPr="00094122">
              <w:rPr>
                <w:rFonts w:eastAsia="DengXian" w:cs="Arial"/>
                <w:color w:val="000000" w:themeColor="text1"/>
                <w:sz w:val="20"/>
              </w:rPr>
              <w:t>2021</w:t>
            </w:r>
          </w:p>
        </w:tc>
        <w:tc>
          <w:tcPr>
            <w:tcW w:w="1181" w:type="dxa"/>
            <w:shd w:val="clear" w:color="auto" w:fill="auto"/>
            <w:noWrap/>
          </w:tcPr>
          <w:p w14:paraId="3A10A80C" w14:textId="77777777" w:rsidR="00C261DB" w:rsidRPr="00094122" w:rsidRDefault="00C261DB" w:rsidP="00E479BF">
            <w:pPr>
              <w:jc w:val="right"/>
              <w:outlineLvl w:val="2"/>
              <w:rPr>
                <w:rFonts w:eastAsia="DengXian" w:cs="Arial"/>
                <w:color w:val="000000" w:themeColor="text1"/>
                <w:sz w:val="20"/>
              </w:rPr>
            </w:pPr>
            <w:r w:rsidRPr="00094122">
              <w:rPr>
                <w:rFonts w:eastAsia="DengXian" w:cs="Arial"/>
                <w:color w:val="000000" w:themeColor="text1"/>
                <w:sz w:val="20"/>
              </w:rPr>
              <w:t>500.00</w:t>
            </w:r>
          </w:p>
        </w:tc>
        <w:tc>
          <w:tcPr>
            <w:tcW w:w="945" w:type="dxa"/>
            <w:shd w:val="clear" w:color="auto" w:fill="auto"/>
            <w:noWrap/>
          </w:tcPr>
          <w:p w14:paraId="2C0BA50F" w14:textId="77777777" w:rsidR="00C261DB" w:rsidRPr="00094122" w:rsidRDefault="00C261DB" w:rsidP="00E479BF">
            <w:pPr>
              <w:outlineLvl w:val="2"/>
              <w:rPr>
                <w:rFonts w:eastAsia="DengXian" w:cs="Arial"/>
                <w:color w:val="000000" w:themeColor="text1"/>
                <w:sz w:val="20"/>
              </w:rPr>
            </w:pPr>
            <w:r w:rsidRPr="00094122">
              <w:rPr>
                <w:rFonts w:eastAsia="DengXian" w:cs="Arial"/>
                <w:color w:val="000000" w:themeColor="text1"/>
                <w:sz w:val="20"/>
              </w:rPr>
              <w:t>CHF</w:t>
            </w:r>
          </w:p>
        </w:tc>
        <w:tc>
          <w:tcPr>
            <w:tcW w:w="993" w:type="dxa"/>
            <w:shd w:val="clear" w:color="auto" w:fill="auto"/>
          </w:tcPr>
          <w:p w14:paraId="55C7FBFA" w14:textId="77777777" w:rsidR="00C261DB" w:rsidRPr="00094122" w:rsidRDefault="00C261DB" w:rsidP="00E479BF">
            <w:pPr>
              <w:jc w:val="center"/>
              <w:outlineLvl w:val="2"/>
              <w:rPr>
                <w:rFonts w:eastAsia="DengXian" w:cs="Arial"/>
                <w:color w:val="000000" w:themeColor="text1"/>
                <w:sz w:val="20"/>
              </w:rPr>
            </w:pPr>
            <w:r w:rsidRPr="00094122">
              <w:rPr>
                <w:rFonts w:eastAsia="DengXian" w:cs="Arial"/>
                <w:color w:val="000000" w:themeColor="text1"/>
                <w:sz w:val="20"/>
              </w:rPr>
              <w:t>5</w:t>
            </w:r>
          </w:p>
        </w:tc>
        <w:tc>
          <w:tcPr>
            <w:tcW w:w="2551" w:type="dxa"/>
            <w:shd w:val="clear" w:color="auto" w:fill="auto"/>
            <w:noWrap/>
          </w:tcPr>
          <w:p w14:paraId="741A8341" w14:textId="77777777" w:rsidR="00C261DB" w:rsidRPr="00094122" w:rsidRDefault="00C261DB" w:rsidP="00E479BF">
            <w:pPr>
              <w:outlineLvl w:val="2"/>
              <w:rPr>
                <w:rFonts w:eastAsia="DengXian" w:cs="Arial"/>
                <w:color w:val="000000" w:themeColor="text1"/>
                <w:sz w:val="20"/>
              </w:rPr>
            </w:pPr>
            <w:r w:rsidRPr="00094122">
              <w:rPr>
                <w:rFonts w:eastAsia="DengXian" w:cs="Arial"/>
                <w:color w:val="000000" w:themeColor="text1"/>
                <w:sz w:val="20"/>
              </w:rPr>
              <w:t>Qupra Wholesale</w:t>
            </w:r>
          </w:p>
        </w:tc>
        <w:tc>
          <w:tcPr>
            <w:tcW w:w="2126" w:type="dxa"/>
            <w:shd w:val="clear" w:color="auto" w:fill="auto"/>
            <w:noWrap/>
          </w:tcPr>
          <w:p w14:paraId="382A41DC" w14:textId="77777777" w:rsidR="00C261DB" w:rsidRPr="00094122" w:rsidRDefault="00C261DB" w:rsidP="00E479BF">
            <w:pPr>
              <w:outlineLvl w:val="2"/>
              <w:rPr>
                <w:rFonts w:eastAsia="DengXian" w:cs="Arial"/>
                <w:color w:val="000000" w:themeColor="text1"/>
                <w:sz w:val="20"/>
              </w:rPr>
            </w:pPr>
            <w:r w:rsidRPr="00094122">
              <w:rPr>
                <w:rFonts w:eastAsia="DengXian" w:cs="Arial"/>
                <w:color w:val="000000" w:themeColor="text1"/>
                <w:sz w:val="20"/>
              </w:rPr>
              <w:t>Netherlands</w:t>
            </w:r>
          </w:p>
        </w:tc>
        <w:tc>
          <w:tcPr>
            <w:tcW w:w="2552" w:type="dxa"/>
            <w:shd w:val="clear" w:color="auto" w:fill="auto"/>
          </w:tcPr>
          <w:p w14:paraId="482D6877" w14:textId="77777777" w:rsidR="00C261DB" w:rsidRPr="00094122" w:rsidRDefault="00C261DB" w:rsidP="00E479BF">
            <w:pPr>
              <w:outlineLvl w:val="2"/>
              <w:rPr>
                <w:rFonts w:eastAsia="DengXian" w:cs="Arial"/>
                <w:color w:val="000000"/>
                <w:sz w:val="20"/>
              </w:rPr>
            </w:pPr>
          </w:p>
        </w:tc>
      </w:tr>
      <w:tr w:rsidR="00C261DB" w:rsidRPr="001047FE" w14:paraId="619319F4" w14:textId="77777777" w:rsidTr="00E479BF">
        <w:trPr>
          <w:cantSplit/>
          <w:trHeight w:val="255"/>
        </w:trPr>
        <w:tc>
          <w:tcPr>
            <w:tcW w:w="704" w:type="dxa"/>
            <w:shd w:val="clear" w:color="auto" w:fill="auto"/>
          </w:tcPr>
          <w:p w14:paraId="4FA8BC2A" w14:textId="77777777" w:rsidR="00C261DB" w:rsidRPr="00094122" w:rsidRDefault="00C261DB" w:rsidP="00E479BF">
            <w:pPr>
              <w:keepNext/>
              <w:jc w:val="right"/>
              <w:outlineLvl w:val="2"/>
              <w:rPr>
                <w:rFonts w:eastAsia="DengXian" w:cs="Arial"/>
                <w:color w:val="000000"/>
                <w:sz w:val="20"/>
              </w:rPr>
            </w:pPr>
            <w:r w:rsidRPr="00094122">
              <w:rPr>
                <w:rFonts w:eastAsia="DengXian" w:cs="Arial"/>
                <w:color w:val="000000"/>
                <w:sz w:val="20"/>
              </w:rPr>
              <w:t>2018</w:t>
            </w:r>
          </w:p>
        </w:tc>
        <w:tc>
          <w:tcPr>
            <w:tcW w:w="1181" w:type="dxa"/>
            <w:shd w:val="clear" w:color="auto" w:fill="auto"/>
            <w:noWrap/>
            <w:hideMark/>
          </w:tcPr>
          <w:p w14:paraId="17476C61"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t>500.00</w:t>
            </w:r>
          </w:p>
        </w:tc>
        <w:tc>
          <w:tcPr>
            <w:tcW w:w="945" w:type="dxa"/>
            <w:shd w:val="clear" w:color="auto" w:fill="auto"/>
            <w:noWrap/>
            <w:hideMark/>
          </w:tcPr>
          <w:p w14:paraId="2A1585E7"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CHF</w:t>
            </w:r>
          </w:p>
        </w:tc>
        <w:tc>
          <w:tcPr>
            <w:tcW w:w="993" w:type="dxa"/>
            <w:shd w:val="clear" w:color="auto" w:fill="auto"/>
          </w:tcPr>
          <w:p w14:paraId="16BEBF65" w14:textId="77777777" w:rsidR="00C261DB" w:rsidRPr="00094122" w:rsidRDefault="00C261DB" w:rsidP="00E479BF">
            <w:pPr>
              <w:jc w:val="center"/>
              <w:outlineLvl w:val="2"/>
              <w:rPr>
                <w:rFonts w:eastAsia="DengXian" w:cs="Arial"/>
                <w:color w:val="000000"/>
                <w:sz w:val="20"/>
              </w:rPr>
            </w:pPr>
            <w:r w:rsidRPr="00094122">
              <w:rPr>
                <w:rFonts w:eastAsia="DengXian" w:cs="Arial"/>
                <w:color w:val="000000"/>
                <w:sz w:val="20"/>
              </w:rPr>
              <w:t>5</w:t>
            </w:r>
          </w:p>
        </w:tc>
        <w:tc>
          <w:tcPr>
            <w:tcW w:w="2551" w:type="dxa"/>
            <w:shd w:val="clear" w:color="auto" w:fill="auto"/>
            <w:noWrap/>
            <w:hideMark/>
          </w:tcPr>
          <w:p w14:paraId="2EC13C51"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Kingston communications/Affiniti</w:t>
            </w:r>
          </w:p>
        </w:tc>
        <w:tc>
          <w:tcPr>
            <w:tcW w:w="2126" w:type="dxa"/>
            <w:shd w:val="clear" w:color="auto" w:fill="auto"/>
            <w:noWrap/>
            <w:hideMark/>
          </w:tcPr>
          <w:p w14:paraId="4633B2DC"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United Kingdom</w:t>
            </w:r>
          </w:p>
        </w:tc>
        <w:tc>
          <w:tcPr>
            <w:tcW w:w="2552" w:type="dxa"/>
            <w:shd w:val="clear" w:color="auto" w:fill="auto"/>
          </w:tcPr>
          <w:p w14:paraId="48618E0B" w14:textId="77777777" w:rsidR="00C261DB" w:rsidRPr="00094122" w:rsidRDefault="00C261DB" w:rsidP="00E479BF">
            <w:pPr>
              <w:outlineLvl w:val="2"/>
              <w:rPr>
                <w:rFonts w:eastAsia="DengXian" w:cs="Arial"/>
                <w:sz w:val="20"/>
              </w:rPr>
            </w:pPr>
          </w:p>
        </w:tc>
      </w:tr>
      <w:tr w:rsidR="00C261DB" w:rsidRPr="001047FE" w14:paraId="23536EE5" w14:textId="77777777" w:rsidTr="00E479BF">
        <w:trPr>
          <w:cantSplit/>
          <w:trHeight w:val="255"/>
        </w:trPr>
        <w:tc>
          <w:tcPr>
            <w:tcW w:w="704" w:type="dxa"/>
            <w:shd w:val="clear" w:color="auto" w:fill="auto"/>
          </w:tcPr>
          <w:p w14:paraId="63579D4D"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t>2018</w:t>
            </w:r>
          </w:p>
        </w:tc>
        <w:tc>
          <w:tcPr>
            <w:tcW w:w="1181" w:type="dxa"/>
            <w:shd w:val="clear" w:color="auto" w:fill="auto"/>
            <w:noWrap/>
          </w:tcPr>
          <w:p w14:paraId="333A6FE3"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t>400.00</w:t>
            </w:r>
          </w:p>
        </w:tc>
        <w:tc>
          <w:tcPr>
            <w:tcW w:w="945" w:type="dxa"/>
            <w:shd w:val="clear" w:color="auto" w:fill="auto"/>
            <w:noWrap/>
          </w:tcPr>
          <w:p w14:paraId="63E313EE"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CHF</w:t>
            </w:r>
          </w:p>
        </w:tc>
        <w:tc>
          <w:tcPr>
            <w:tcW w:w="993" w:type="dxa"/>
            <w:shd w:val="clear" w:color="auto" w:fill="auto"/>
          </w:tcPr>
          <w:p w14:paraId="198081B5" w14:textId="77777777" w:rsidR="00C261DB" w:rsidRPr="00094122" w:rsidRDefault="00C261DB" w:rsidP="00E479BF">
            <w:pPr>
              <w:jc w:val="center"/>
              <w:outlineLvl w:val="2"/>
              <w:rPr>
                <w:rFonts w:eastAsia="DengXian" w:cs="Arial"/>
                <w:color w:val="000000"/>
                <w:sz w:val="20"/>
              </w:rPr>
            </w:pPr>
            <w:r w:rsidRPr="00094122">
              <w:rPr>
                <w:rFonts w:eastAsia="DengXian" w:cs="Arial"/>
                <w:color w:val="000000"/>
                <w:sz w:val="20"/>
              </w:rPr>
              <w:t>4</w:t>
            </w:r>
          </w:p>
        </w:tc>
        <w:tc>
          <w:tcPr>
            <w:tcW w:w="2551" w:type="dxa"/>
            <w:shd w:val="clear" w:color="auto" w:fill="auto"/>
            <w:noWrap/>
          </w:tcPr>
          <w:p w14:paraId="71FCB3F9" w14:textId="77777777" w:rsidR="00C261DB" w:rsidRPr="00094122" w:rsidRDefault="00C261DB" w:rsidP="00E479BF">
            <w:pPr>
              <w:outlineLvl w:val="2"/>
              <w:rPr>
                <w:rFonts w:eastAsia="DengXian" w:cs="Arial"/>
                <w:color w:val="000000"/>
                <w:sz w:val="20"/>
                <w:lang w:val="es-ES_tradnl"/>
              </w:rPr>
            </w:pPr>
            <w:r w:rsidRPr="00094122">
              <w:rPr>
                <w:rFonts w:eastAsia="DengXian" w:cs="Arial"/>
                <w:color w:val="000000"/>
                <w:sz w:val="20"/>
                <w:lang w:val="es-ES_tradnl"/>
              </w:rPr>
              <w:t>HKBN Enterprise Solutions HK Limited (ex-WTT HK Limited)</w:t>
            </w:r>
          </w:p>
        </w:tc>
        <w:tc>
          <w:tcPr>
            <w:tcW w:w="2126" w:type="dxa"/>
            <w:shd w:val="clear" w:color="auto" w:fill="auto"/>
            <w:noWrap/>
          </w:tcPr>
          <w:p w14:paraId="069152A5"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Hong Kong, China</w:t>
            </w:r>
          </w:p>
        </w:tc>
        <w:tc>
          <w:tcPr>
            <w:tcW w:w="2552" w:type="dxa"/>
            <w:shd w:val="clear" w:color="auto" w:fill="auto"/>
          </w:tcPr>
          <w:p w14:paraId="101C28BC" w14:textId="77777777" w:rsidR="00C261DB" w:rsidRPr="00094122" w:rsidRDefault="00C261DB" w:rsidP="00E479BF">
            <w:pPr>
              <w:outlineLvl w:val="2"/>
              <w:rPr>
                <w:rFonts w:eastAsia="DengXian" w:cs="Arial"/>
                <w:sz w:val="20"/>
              </w:rPr>
            </w:pPr>
          </w:p>
        </w:tc>
      </w:tr>
      <w:tr w:rsidR="00C261DB" w:rsidRPr="001047FE" w14:paraId="38FD945F" w14:textId="77777777" w:rsidTr="00E479BF">
        <w:trPr>
          <w:cantSplit/>
          <w:trHeight w:val="255"/>
        </w:trPr>
        <w:tc>
          <w:tcPr>
            <w:tcW w:w="704" w:type="dxa"/>
            <w:shd w:val="clear" w:color="auto" w:fill="auto"/>
          </w:tcPr>
          <w:p w14:paraId="52D1FC51"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t>2018</w:t>
            </w:r>
          </w:p>
        </w:tc>
        <w:tc>
          <w:tcPr>
            <w:tcW w:w="1181" w:type="dxa"/>
            <w:shd w:val="clear" w:color="auto" w:fill="auto"/>
            <w:noWrap/>
            <w:hideMark/>
          </w:tcPr>
          <w:p w14:paraId="5CC980F2" w14:textId="77777777" w:rsidR="00C261DB" w:rsidRDefault="00C261DB" w:rsidP="00E479BF">
            <w:pPr>
              <w:jc w:val="right"/>
              <w:outlineLvl w:val="2"/>
              <w:rPr>
                <w:rFonts w:eastAsia="DengXian" w:cs="Arial"/>
                <w:color w:val="000000"/>
                <w:sz w:val="20"/>
              </w:rPr>
            </w:pPr>
            <w:r w:rsidRPr="00094122">
              <w:rPr>
                <w:rFonts w:eastAsia="DengXian" w:cs="Arial"/>
                <w:color w:val="000000"/>
                <w:sz w:val="20"/>
              </w:rPr>
              <w:t>300.00</w:t>
            </w:r>
          </w:p>
          <w:p w14:paraId="3964B5BB" w14:textId="77777777" w:rsidR="00C261DB" w:rsidRPr="00C944FD" w:rsidRDefault="00C261DB" w:rsidP="00E479BF">
            <w:pPr>
              <w:jc w:val="both"/>
              <w:outlineLvl w:val="2"/>
              <w:rPr>
                <w:rFonts w:eastAsia="DengXian" w:cs="Arial"/>
                <w:color w:val="000000"/>
                <w:sz w:val="18"/>
                <w:szCs w:val="18"/>
              </w:rPr>
            </w:pPr>
            <w:r w:rsidRPr="00C944FD">
              <w:rPr>
                <w:rFonts w:eastAsia="DengXian" w:cs="Arial"/>
                <w:color w:val="000000"/>
                <w:sz w:val="18"/>
                <w:szCs w:val="18"/>
              </w:rPr>
              <w:t>[partial payment: CHF 200]</w:t>
            </w:r>
          </w:p>
          <w:p w14:paraId="679C9D66" w14:textId="77777777" w:rsidR="00C261DB" w:rsidRPr="00094122" w:rsidRDefault="00C261DB" w:rsidP="00E479BF">
            <w:pPr>
              <w:spacing w:before="0"/>
              <w:outlineLvl w:val="2"/>
              <w:rPr>
                <w:rFonts w:eastAsia="DengXian" w:cs="Arial"/>
                <w:color w:val="000000"/>
                <w:sz w:val="20"/>
              </w:rPr>
            </w:pPr>
          </w:p>
        </w:tc>
        <w:tc>
          <w:tcPr>
            <w:tcW w:w="945" w:type="dxa"/>
            <w:shd w:val="clear" w:color="auto" w:fill="auto"/>
            <w:noWrap/>
            <w:hideMark/>
          </w:tcPr>
          <w:p w14:paraId="7E4F436B"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CHF</w:t>
            </w:r>
          </w:p>
        </w:tc>
        <w:tc>
          <w:tcPr>
            <w:tcW w:w="993" w:type="dxa"/>
            <w:shd w:val="clear" w:color="auto" w:fill="auto"/>
          </w:tcPr>
          <w:p w14:paraId="41DA5941" w14:textId="77777777" w:rsidR="00C261DB" w:rsidRPr="00094122" w:rsidRDefault="00C261DB" w:rsidP="00E479BF">
            <w:pPr>
              <w:jc w:val="center"/>
              <w:outlineLvl w:val="2"/>
              <w:rPr>
                <w:rFonts w:eastAsia="DengXian" w:cs="Arial"/>
                <w:color w:val="000000"/>
                <w:sz w:val="20"/>
              </w:rPr>
            </w:pPr>
            <w:r w:rsidRPr="00094122">
              <w:rPr>
                <w:rFonts w:eastAsia="DengXian" w:cs="Arial"/>
                <w:color w:val="000000"/>
                <w:sz w:val="20"/>
              </w:rPr>
              <w:t>3</w:t>
            </w:r>
          </w:p>
        </w:tc>
        <w:tc>
          <w:tcPr>
            <w:tcW w:w="2551" w:type="dxa"/>
            <w:shd w:val="clear" w:color="auto" w:fill="auto"/>
            <w:noWrap/>
            <w:hideMark/>
          </w:tcPr>
          <w:p w14:paraId="709EF657"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Telefonica del Peru</w:t>
            </w:r>
          </w:p>
        </w:tc>
        <w:tc>
          <w:tcPr>
            <w:tcW w:w="2126" w:type="dxa"/>
            <w:shd w:val="clear" w:color="auto" w:fill="auto"/>
            <w:noWrap/>
            <w:hideMark/>
          </w:tcPr>
          <w:p w14:paraId="1D5D5EBE"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Peru</w:t>
            </w:r>
          </w:p>
        </w:tc>
        <w:tc>
          <w:tcPr>
            <w:tcW w:w="2552" w:type="dxa"/>
            <w:shd w:val="clear" w:color="auto" w:fill="auto"/>
          </w:tcPr>
          <w:p w14:paraId="220871AC" w14:textId="77777777" w:rsidR="00C261DB" w:rsidRPr="00094122" w:rsidRDefault="00C261DB" w:rsidP="00E479BF">
            <w:pPr>
              <w:outlineLvl w:val="2"/>
              <w:rPr>
                <w:rFonts w:eastAsia="DengXian" w:cs="Arial"/>
                <w:color w:val="000000"/>
                <w:sz w:val="20"/>
              </w:rPr>
            </w:pPr>
          </w:p>
        </w:tc>
      </w:tr>
      <w:tr w:rsidR="00C261DB" w:rsidRPr="001047FE" w14:paraId="6DD6E305" w14:textId="77777777" w:rsidTr="00E479BF">
        <w:trPr>
          <w:cantSplit/>
          <w:trHeight w:val="255"/>
        </w:trPr>
        <w:tc>
          <w:tcPr>
            <w:tcW w:w="704" w:type="dxa"/>
            <w:shd w:val="clear" w:color="auto" w:fill="auto"/>
          </w:tcPr>
          <w:p w14:paraId="7331E5E3"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t>2018</w:t>
            </w:r>
          </w:p>
        </w:tc>
        <w:tc>
          <w:tcPr>
            <w:tcW w:w="1181" w:type="dxa"/>
            <w:shd w:val="clear" w:color="auto" w:fill="auto"/>
            <w:noWrap/>
            <w:hideMark/>
          </w:tcPr>
          <w:p w14:paraId="5C4D2C73"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t>300.00</w:t>
            </w:r>
          </w:p>
        </w:tc>
        <w:tc>
          <w:tcPr>
            <w:tcW w:w="945" w:type="dxa"/>
            <w:shd w:val="clear" w:color="auto" w:fill="auto"/>
            <w:noWrap/>
            <w:hideMark/>
          </w:tcPr>
          <w:p w14:paraId="17AF22B4"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CHF</w:t>
            </w:r>
          </w:p>
        </w:tc>
        <w:tc>
          <w:tcPr>
            <w:tcW w:w="993" w:type="dxa"/>
            <w:shd w:val="clear" w:color="auto" w:fill="auto"/>
          </w:tcPr>
          <w:p w14:paraId="34D30E96" w14:textId="77777777" w:rsidR="00C261DB" w:rsidRPr="00094122" w:rsidRDefault="00C261DB" w:rsidP="00E479BF">
            <w:pPr>
              <w:jc w:val="center"/>
              <w:outlineLvl w:val="2"/>
              <w:rPr>
                <w:rFonts w:eastAsia="DengXian" w:cs="Arial"/>
                <w:color w:val="000000"/>
                <w:sz w:val="20"/>
              </w:rPr>
            </w:pPr>
            <w:r w:rsidRPr="00094122">
              <w:rPr>
                <w:rFonts w:eastAsia="DengXian" w:cs="Arial"/>
                <w:color w:val="000000"/>
                <w:sz w:val="20"/>
              </w:rPr>
              <w:t>3</w:t>
            </w:r>
          </w:p>
        </w:tc>
        <w:tc>
          <w:tcPr>
            <w:tcW w:w="2551" w:type="dxa"/>
            <w:shd w:val="clear" w:color="auto" w:fill="auto"/>
            <w:noWrap/>
            <w:hideMark/>
          </w:tcPr>
          <w:p w14:paraId="1FE35701" w14:textId="77777777" w:rsidR="00C261DB" w:rsidRPr="00094122" w:rsidRDefault="00C261DB" w:rsidP="00E479BF">
            <w:pPr>
              <w:outlineLvl w:val="2"/>
              <w:rPr>
                <w:rFonts w:eastAsia="DengXian" w:cs="Arial"/>
                <w:color w:val="000000" w:themeColor="text1"/>
                <w:sz w:val="20"/>
              </w:rPr>
            </w:pPr>
            <w:r w:rsidRPr="00094122">
              <w:rPr>
                <w:rFonts w:eastAsia="DengXian" w:cs="Arial"/>
                <w:color w:val="000000" w:themeColor="text1"/>
                <w:sz w:val="20"/>
              </w:rPr>
              <w:t xml:space="preserve">PTGI INTERNATIONAL CARRIER </w:t>
            </w:r>
            <w:r w:rsidRPr="00094122">
              <w:rPr>
                <w:rFonts w:eastAsia="DengXian" w:cs="Arial"/>
                <w:color w:val="000000" w:themeColor="text1"/>
                <w:sz w:val="20"/>
              </w:rPr>
              <w:br/>
              <w:t>(formerly PRIMUS Telecommunications Ltd.)</w:t>
            </w:r>
          </w:p>
        </w:tc>
        <w:tc>
          <w:tcPr>
            <w:tcW w:w="2126" w:type="dxa"/>
            <w:shd w:val="clear" w:color="auto" w:fill="auto"/>
            <w:noWrap/>
            <w:hideMark/>
          </w:tcPr>
          <w:p w14:paraId="6F8D71EA"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United Kingdom</w:t>
            </w:r>
          </w:p>
        </w:tc>
        <w:tc>
          <w:tcPr>
            <w:tcW w:w="2552" w:type="dxa"/>
            <w:shd w:val="clear" w:color="auto" w:fill="auto"/>
          </w:tcPr>
          <w:p w14:paraId="205812D3" w14:textId="77777777" w:rsidR="00C261DB" w:rsidRPr="00094122" w:rsidRDefault="00C261DB" w:rsidP="00E479BF">
            <w:pPr>
              <w:outlineLvl w:val="2"/>
              <w:rPr>
                <w:rFonts w:eastAsia="DengXian" w:cs="Arial"/>
                <w:color w:val="000000"/>
                <w:sz w:val="20"/>
              </w:rPr>
            </w:pPr>
          </w:p>
        </w:tc>
      </w:tr>
      <w:tr w:rsidR="00C261DB" w:rsidRPr="001047FE" w14:paraId="485D1F52" w14:textId="77777777" w:rsidTr="00E479BF">
        <w:trPr>
          <w:cantSplit/>
          <w:trHeight w:val="255"/>
        </w:trPr>
        <w:tc>
          <w:tcPr>
            <w:tcW w:w="704" w:type="dxa"/>
            <w:shd w:val="clear" w:color="auto" w:fill="auto"/>
          </w:tcPr>
          <w:p w14:paraId="67D023C3" w14:textId="77777777" w:rsidR="00C261DB" w:rsidRPr="00094122" w:rsidRDefault="00C261DB" w:rsidP="00E479BF">
            <w:pPr>
              <w:jc w:val="right"/>
              <w:outlineLvl w:val="2"/>
              <w:rPr>
                <w:rFonts w:eastAsia="DengXian" w:cs="Arial"/>
                <w:color w:val="000000" w:themeColor="text1"/>
                <w:sz w:val="20"/>
              </w:rPr>
            </w:pPr>
            <w:r w:rsidRPr="00094122">
              <w:rPr>
                <w:rFonts w:eastAsia="DengXian" w:cs="Arial"/>
                <w:color w:val="000000" w:themeColor="text1"/>
                <w:sz w:val="20"/>
              </w:rPr>
              <w:t>2020</w:t>
            </w:r>
          </w:p>
        </w:tc>
        <w:tc>
          <w:tcPr>
            <w:tcW w:w="1181" w:type="dxa"/>
            <w:shd w:val="clear" w:color="auto" w:fill="auto"/>
            <w:noWrap/>
          </w:tcPr>
          <w:p w14:paraId="36F8CDE0" w14:textId="77777777" w:rsidR="00C261DB" w:rsidRPr="00094122" w:rsidRDefault="00C261DB" w:rsidP="00E479BF">
            <w:pPr>
              <w:jc w:val="right"/>
              <w:outlineLvl w:val="2"/>
              <w:rPr>
                <w:rFonts w:eastAsia="DengXian" w:cs="Arial"/>
                <w:color w:val="000000" w:themeColor="text1"/>
                <w:sz w:val="20"/>
              </w:rPr>
            </w:pPr>
            <w:r w:rsidRPr="00094122">
              <w:rPr>
                <w:rFonts w:eastAsia="DengXian" w:cs="Arial"/>
                <w:color w:val="000000" w:themeColor="text1"/>
                <w:sz w:val="20"/>
              </w:rPr>
              <w:t>200.00</w:t>
            </w:r>
          </w:p>
        </w:tc>
        <w:tc>
          <w:tcPr>
            <w:tcW w:w="945" w:type="dxa"/>
            <w:shd w:val="clear" w:color="auto" w:fill="auto"/>
            <w:noWrap/>
          </w:tcPr>
          <w:p w14:paraId="01FEE2A5" w14:textId="77777777" w:rsidR="00C261DB" w:rsidRPr="00094122" w:rsidRDefault="00C261DB" w:rsidP="00E479BF">
            <w:pPr>
              <w:outlineLvl w:val="2"/>
              <w:rPr>
                <w:rFonts w:eastAsia="DengXian" w:cs="Arial"/>
                <w:color w:val="000000" w:themeColor="text1"/>
                <w:sz w:val="20"/>
              </w:rPr>
            </w:pPr>
            <w:r w:rsidRPr="00094122">
              <w:rPr>
                <w:rFonts w:eastAsia="DengXian" w:cs="Arial"/>
                <w:color w:val="000000" w:themeColor="text1"/>
                <w:sz w:val="20"/>
              </w:rPr>
              <w:t>CHF</w:t>
            </w:r>
          </w:p>
        </w:tc>
        <w:tc>
          <w:tcPr>
            <w:tcW w:w="993" w:type="dxa"/>
            <w:shd w:val="clear" w:color="auto" w:fill="auto"/>
          </w:tcPr>
          <w:p w14:paraId="2A49865F" w14:textId="77777777" w:rsidR="00C261DB" w:rsidRPr="00094122" w:rsidRDefault="00C261DB" w:rsidP="00E479BF">
            <w:pPr>
              <w:jc w:val="center"/>
              <w:outlineLvl w:val="2"/>
              <w:rPr>
                <w:rFonts w:eastAsia="DengXian" w:cs="Arial"/>
                <w:color w:val="000000" w:themeColor="text1"/>
                <w:sz w:val="20"/>
              </w:rPr>
            </w:pPr>
            <w:r w:rsidRPr="00094122">
              <w:rPr>
                <w:rFonts w:eastAsia="DengXian" w:cs="Arial"/>
                <w:color w:val="000000" w:themeColor="text1"/>
                <w:sz w:val="20"/>
              </w:rPr>
              <w:t>2</w:t>
            </w:r>
          </w:p>
        </w:tc>
        <w:tc>
          <w:tcPr>
            <w:tcW w:w="2551" w:type="dxa"/>
            <w:shd w:val="clear" w:color="auto" w:fill="auto"/>
            <w:noWrap/>
          </w:tcPr>
          <w:p w14:paraId="61B4A75B" w14:textId="77777777" w:rsidR="00C261DB" w:rsidRPr="00094122" w:rsidRDefault="00C261DB" w:rsidP="00E479BF">
            <w:pPr>
              <w:outlineLvl w:val="2"/>
              <w:rPr>
                <w:rFonts w:eastAsia="DengXian" w:cs="Arial"/>
                <w:color w:val="000000" w:themeColor="text1"/>
                <w:sz w:val="20"/>
                <w:lang w:val="es-ES_tradnl"/>
              </w:rPr>
            </w:pPr>
            <w:r w:rsidRPr="00094122">
              <w:rPr>
                <w:rFonts w:eastAsia="DengXian" w:cs="Arial"/>
                <w:color w:val="000000" w:themeColor="text1"/>
                <w:sz w:val="20"/>
                <w:lang w:val="es-ES_tradnl"/>
              </w:rPr>
              <w:t>Telefónica de Argentina S.A</w:t>
            </w:r>
          </w:p>
        </w:tc>
        <w:tc>
          <w:tcPr>
            <w:tcW w:w="2126" w:type="dxa"/>
            <w:shd w:val="clear" w:color="auto" w:fill="auto"/>
            <w:noWrap/>
          </w:tcPr>
          <w:p w14:paraId="6A852B6B" w14:textId="77777777" w:rsidR="00C261DB" w:rsidRPr="00094122" w:rsidRDefault="00C261DB" w:rsidP="00E479BF">
            <w:pPr>
              <w:outlineLvl w:val="2"/>
              <w:rPr>
                <w:rFonts w:eastAsia="DengXian" w:cs="Arial"/>
                <w:color w:val="000000" w:themeColor="text1"/>
                <w:sz w:val="20"/>
              </w:rPr>
            </w:pPr>
            <w:r w:rsidRPr="00094122">
              <w:rPr>
                <w:rFonts w:eastAsia="DengXian" w:cs="Arial"/>
                <w:color w:val="000000" w:themeColor="text1"/>
                <w:sz w:val="20"/>
              </w:rPr>
              <w:t>Argentina</w:t>
            </w:r>
          </w:p>
        </w:tc>
        <w:tc>
          <w:tcPr>
            <w:tcW w:w="2552" w:type="dxa"/>
            <w:shd w:val="clear" w:color="auto" w:fill="auto"/>
          </w:tcPr>
          <w:p w14:paraId="11DF8E27" w14:textId="77777777" w:rsidR="00C261DB" w:rsidRPr="001047FE" w:rsidRDefault="00C261DB" w:rsidP="00E479BF">
            <w:pPr>
              <w:outlineLvl w:val="2"/>
              <w:rPr>
                <w:rFonts w:eastAsia="DengXian" w:cs="Arial"/>
                <w:color w:val="000000" w:themeColor="text1"/>
                <w:sz w:val="20"/>
              </w:rPr>
            </w:pPr>
          </w:p>
        </w:tc>
      </w:tr>
      <w:tr w:rsidR="00C261DB" w:rsidRPr="001047FE" w14:paraId="3F1D5189" w14:textId="77777777" w:rsidTr="00E479BF">
        <w:trPr>
          <w:cantSplit/>
          <w:trHeight w:val="255"/>
        </w:trPr>
        <w:tc>
          <w:tcPr>
            <w:tcW w:w="704" w:type="dxa"/>
            <w:shd w:val="clear" w:color="auto" w:fill="auto"/>
          </w:tcPr>
          <w:p w14:paraId="37876CA0"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t>2018</w:t>
            </w:r>
          </w:p>
        </w:tc>
        <w:tc>
          <w:tcPr>
            <w:tcW w:w="1181" w:type="dxa"/>
            <w:shd w:val="clear" w:color="auto" w:fill="auto"/>
            <w:noWrap/>
            <w:hideMark/>
          </w:tcPr>
          <w:p w14:paraId="615EF5D0"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t>200.00</w:t>
            </w:r>
          </w:p>
        </w:tc>
        <w:tc>
          <w:tcPr>
            <w:tcW w:w="945" w:type="dxa"/>
            <w:shd w:val="clear" w:color="auto" w:fill="auto"/>
            <w:noWrap/>
            <w:hideMark/>
          </w:tcPr>
          <w:p w14:paraId="1309158A"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CHF</w:t>
            </w:r>
          </w:p>
        </w:tc>
        <w:tc>
          <w:tcPr>
            <w:tcW w:w="993" w:type="dxa"/>
            <w:shd w:val="clear" w:color="auto" w:fill="auto"/>
          </w:tcPr>
          <w:p w14:paraId="5E8C14F7" w14:textId="77777777" w:rsidR="00C261DB" w:rsidRPr="00094122" w:rsidRDefault="00C261DB" w:rsidP="00E479BF">
            <w:pPr>
              <w:jc w:val="center"/>
              <w:outlineLvl w:val="2"/>
              <w:rPr>
                <w:rFonts w:eastAsia="DengXian" w:cs="Arial"/>
                <w:color w:val="000000"/>
                <w:sz w:val="20"/>
              </w:rPr>
            </w:pPr>
            <w:r w:rsidRPr="00094122">
              <w:rPr>
                <w:rFonts w:eastAsia="DengXian" w:cs="Arial"/>
                <w:color w:val="000000"/>
                <w:sz w:val="20"/>
              </w:rPr>
              <w:t>2</w:t>
            </w:r>
          </w:p>
        </w:tc>
        <w:tc>
          <w:tcPr>
            <w:tcW w:w="2551" w:type="dxa"/>
            <w:shd w:val="clear" w:color="auto" w:fill="auto"/>
            <w:noWrap/>
            <w:hideMark/>
          </w:tcPr>
          <w:p w14:paraId="3F0D2CA9" w14:textId="77777777" w:rsidR="00C261DB" w:rsidRPr="00094122" w:rsidRDefault="00C261DB" w:rsidP="00E479BF">
            <w:pPr>
              <w:outlineLvl w:val="2"/>
              <w:rPr>
                <w:rFonts w:eastAsia="DengXian" w:cs="Arial"/>
                <w:color w:val="000000"/>
                <w:sz w:val="20"/>
                <w:lang w:val="fr-CH"/>
              </w:rPr>
            </w:pPr>
            <w:r w:rsidRPr="00094122">
              <w:rPr>
                <w:rFonts w:eastAsia="DengXian" w:cs="Arial"/>
                <w:color w:val="000000" w:themeColor="text1"/>
                <w:sz w:val="20"/>
                <w:lang w:val="fr-CH"/>
              </w:rPr>
              <w:t xml:space="preserve">Altice France </w:t>
            </w:r>
            <w:r w:rsidRPr="00094122">
              <w:rPr>
                <w:rFonts w:eastAsia="DengXian" w:cs="Arial"/>
                <w:color w:val="000000" w:themeColor="text1"/>
                <w:sz w:val="20"/>
                <w:lang w:val="fr-CH"/>
              </w:rPr>
              <w:br/>
              <w:t xml:space="preserve">(formerly </w:t>
            </w:r>
            <w:r w:rsidRPr="00094122">
              <w:rPr>
                <w:rFonts w:eastAsia="DengXian" w:cs="Arial"/>
                <w:color w:val="000000" w:themeColor="text1"/>
                <w:sz w:val="20"/>
                <w:lang w:val="fr-FR"/>
              </w:rPr>
              <w:t>Télécom Développement</w:t>
            </w:r>
            <w:r w:rsidRPr="00094122">
              <w:rPr>
                <w:rFonts w:eastAsia="DengXian" w:cs="Arial"/>
                <w:color w:val="000000" w:themeColor="text1"/>
                <w:sz w:val="20"/>
                <w:lang w:val="fr-CH"/>
              </w:rPr>
              <w:t>)</w:t>
            </w:r>
          </w:p>
        </w:tc>
        <w:tc>
          <w:tcPr>
            <w:tcW w:w="2126" w:type="dxa"/>
            <w:shd w:val="clear" w:color="auto" w:fill="auto"/>
            <w:noWrap/>
            <w:hideMark/>
          </w:tcPr>
          <w:p w14:paraId="77771C91"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France</w:t>
            </w:r>
          </w:p>
        </w:tc>
        <w:tc>
          <w:tcPr>
            <w:tcW w:w="2552" w:type="dxa"/>
            <w:shd w:val="clear" w:color="auto" w:fill="auto"/>
          </w:tcPr>
          <w:p w14:paraId="2F8FEA53" w14:textId="77777777" w:rsidR="00C261DB" w:rsidRPr="00094122" w:rsidRDefault="00C261DB" w:rsidP="00E479BF">
            <w:pPr>
              <w:outlineLvl w:val="2"/>
              <w:rPr>
                <w:rFonts w:eastAsia="DengXian" w:cs="Arial"/>
                <w:color w:val="000000"/>
                <w:sz w:val="20"/>
              </w:rPr>
            </w:pPr>
          </w:p>
        </w:tc>
      </w:tr>
      <w:tr w:rsidR="00C261DB" w:rsidRPr="001047FE" w14:paraId="130A9C69" w14:textId="77777777" w:rsidTr="00E479BF">
        <w:trPr>
          <w:cantSplit/>
          <w:trHeight w:val="255"/>
        </w:trPr>
        <w:tc>
          <w:tcPr>
            <w:tcW w:w="704" w:type="dxa"/>
            <w:shd w:val="clear" w:color="auto" w:fill="auto"/>
          </w:tcPr>
          <w:p w14:paraId="62CDD760"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t>2018</w:t>
            </w:r>
          </w:p>
        </w:tc>
        <w:tc>
          <w:tcPr>
            <w:tcW w:w="1181" w:type="dxa"/>
            <w:shd w:val="clear" w:color="auto" w:fill="auto"/>
            <w:noWrap/>
            <w:hideMark/>
          </w:tcPr>
          <w:p w14:paraId="0DCC5937"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t>100.00</w:t>
            </w:r>
          </w:p>
        </w:tc>
        <w:tc>
          <w:tcPr>
            <w:tcW w:w="945" w:type="dxa"/>
            <w:shd w:val="clear" w:color="auto" w:fill="auto"/>
            <w:noWrap/>
            <w:hideMark/>
          </w:tcPr>
          <w:p w14:paraId="73875690"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CHF</w:t>
            </w:r>
          </w:p>
        </w:tc>
        <w:tc>
          <w:tcPr>
            <w:tcW w:w="993" w:type="dxa"/>
            <w:shd w:val="clear" w:color="auto" w:fill="auto"/>
          </w:tcPr>
          <w:p w14:paraId="2A10CC5F" w14:textId="77777777" w:rsidR="00C261DB" w:rsidRPr="00094122" w:rsidRDefault="00C261DB" w:rsidP="00E479BF">
            <w:pPr>
              <w:jc w:val="center"/>
              <w:outlineLvl w:val="2"/>
              <w:rPr>
                <w:rFonts w:eastAsia="DengXian" w:cs="Arial"/>
                <w:color w:val="000000"/>
                <w:sz w:val="20"/>
              </w:rPr>
            </w:pPr>
            <w:r w:rsidRPr="00094122">
              <w:rPr>
                <w:rFonts w:eastAsia="DengXian" w:cs="Arial"/>
                <w:color w:val="000000"/>
                <w:sz w:val="20"/>
              </w:rPr>
              <w:t>1</w:t>
            </w:r>
          </w:p>
        </w:tc>
        <w:tc>
          <w:tcPr>
            <w:tcW w:w="2551" w:type="dxa"/>
            <w:shd w:val="clear" w:color="auto" w:fill="auto"/>
            <w:noWrap/>
            <w:hideMark/>
          </w:tcPr>
          <w:p w14:paraId="617D2E4E" w14:textId="77777777" w:rsidR="00C261DB" w:rsidRPr="00094122" w:rsidRDefault="00C261DB" w:rsidP="00E479BF">
            <w:pPr>
              <w:outlineLvl w:val="2"/>
              <w:rPr>
                <w:rFonts w:eastAsia="DengXian" w:cs="Arial"/>
                <w:color w:val="000000"/>
                <w:sz w:val="20"/>
                <w:lang w:val="es-ES_tradnl"/>
              </w:rPr>
            </w:pPr>
            <w:r w:rsidRPr="00094122">
              <w:rPr>
                <w:rFonts w:eastAsia="DengXian" w:cs="Arial"/>
                <w:color w:val="000000"/>
                <w:sz w:val="20"/>
                <w:lang w:val="es-ES_tradnl"/>
              </w:rPr>
              <w:t xml:space="preserve">Telecom Itália Móbile S.p.A. (TIM) </w:t>
            </w:r>
            <w:r w:rsidRPr="00094122">
              <w:rPr>
                <w:rFonts w:eastAsia="DengXian" w:cs="Arial"/>
                <w:color w:val="000000"/>
                <w:sz w:val="20"/>
                <w:lang w:val="es-ES_tradnl"/>
              </w:rPr>
              <w:br/>
              <w:t>(ex-INTELIG Telecomunicações Ltda.)</w:t>
            </w:r>
          </w:p>
        </w:tc>
        <w:tc>
          <w:tcPr>
            <w:tcW w:w="2126" w:type="dxa"/>
            <w:shd w:val="clear" w:color="auto" w:fill="auto"/>
            <w:noWrap/>
            <w:hideMark/>
          </w:tcPr>
          <w:p w14:paraId="1A663F5A"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Brazil</w:t>
            </w:r>
          </w:p>
        </w:tc>
        <w:tc>
          <w:tcPr>
            <w:tcW w:w="2552" w:type="dxa"/>
            <w:shd w:val="clear" w:color="auto" w:fill="auto"/>
          </w:tcPr>
          <w:p w14:paraId="5F993171" w14:textId="77777777" w:rsidR="00C261DB" w:rsidRPr="001047FE" w:rsidRDefault="00C261DB" w:rsidP="00E479BF">
            <w:pPr>
              <w:outlineLvl w:val="2"/>
              <w:rPr>
                <w:rFonts w:eastAsia="DengXian" w:cs="Arial"/>
                <w:color w:val="000000"/>
                <w:sz w:val="20"/>
              </w:rPr>
            </w:pPr>
          </w:p>
        </w:tc>
      </w:tr>
      <w:tr w:rsidR="00C261DB" w:rsidRPr="001047FE" w14:paraId="5601813A" w14:textId="77777777" w:rsidTr="00E479BF">
        <w:trPr>
          <w:cantSplit/>
          <w:trHeight w:val="255"/>
        </w:trPr>
        <w:tc>
          <w:tcPr>
            <w:tcW w:w="704" w:type="dxa"/>
            <w:shd w:val="clear" w:color="auto" w:fill="auto"/>
          </w:tcPr>
          <w:p w14:paraId="191F3240"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lastRenderedPageBreak/>
              <w:t>2018</w:t>
            </w:r>
          </w:p>
        </w:tc>
        <w:tc>
          <w:tcPr>
            <w:tcW w:w="1181" w:type="dxa"/>
            <w:shd w:val="clear" w:color="auto" w:fill="auto"/>
            <w:noWrap/>
            <w:hideMark/>
          </w:tcPr>
          <w:p w14:paraId="5CD78D60"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t>100.00</w:t>
            </w:r>
          </w:p>
        </w:tc>
        <w:tc>
          <w:tcPr>
            <w:tcW w:w="945" w:type="dxa"/>
            <w:shd w:val="clear" w:color="auto" w:fill="auto"/>
            <w:noWrap/>
            <w:hideMark/>
          </w:tcPr>
          <w:p w14:paraId="54578AB1"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CHF</w:t>
            </w:r>
          </w:p>
        </w:tc>
        <w:tc>
          <w:tcPr>
            <w:tcW w:w="993" w:type="dxa"/>
            <w:shd w:val="clear" w:color="auto" w:fill="auto"/>
          </w:tcPr>
          <w:p w14:paraId="3D709AF1" w14:textId="77777777" w:rsidR="00C261DB" w:rsidRPr="00094122" w:rsidRDefault="00C261DB" w:rsidP="00E479BF">
            <w:pPr>
              <w:jc w:val="center"/>
              <w:outlineLvl w:val="2"/>
              <w:rPr>
                <w:rFonts w:eastAsia="DengXian" w:cs="Arial"/>
                <w:color w:val="000000"/>
                <w:sz w:val="20"/>
              </w:rPr>
            </w:pPr>
            <w:r w:rsidRPr="00094122">
              <w:rPr>
                <w:rFonts w:eastAsia="DengXian" w:cs="Arial"/>
                <w:color w:val="000000"/>
                <w:sz w:val="20"/>
              </w:rPr>
              <w:t>1</w:t>
            </w:r>
          </w:p>
        </w:tc>
        <w:tc>
          <w:tcPr>
            <w:tcW w:w="2551" w:type="dxa"/>
            <w:shd w:val="clear" w:color="auto" w:fill="auto"/>
            <w:noWrap/>
            <w:hideMark/>
          </w:tcPr>
          <w:p w14:paraId="23F4E5F2" w14:textId="77777777" w:rsidR="00C261DB" w:rsidRPr="00094122" w:rsidRDefault="00C261DB" w:rsidP="00E479BF">
            <w:pPr>
              <w:outlineLvl w:val="2"/>
              <w:rPr>
                <w:rFonts w:eastAsia="DengXian" w:cs="Arial"/>
                <w:color w:val="000000"/>
                <w:sz w:val="20"/>
                <w:lang w:val="es-ES_tradnl"/>
              </w:rPr>
            </w:pPr>
            <w:r w:rsidRPr="00094122">
              <w:rPr>
                <w:rFonts w:eastAsia="DengXian" w:cs="Arial"/>
                <w:color w:val="000000"/>
                <w:sz w:val="20"/>
                <w:lang w:val="es-ES_tradnl"/>
              </w:rPr>
              <w:t>Empresa Hondureña de Telecommunicaciones (HONDUTEL)</w:t>
            </w:r>
          </w:p>
        </w:tc>
        <w:tc>
          <w:tcPr>
            <w:tcW w:w="2126" w:type="dxa"/>
            <w:shd w:val="clear" w:color="auto" w:fill="auto"/>
            <w:noWrap/>
            <w:hideMark/>
          </w:tcPr>
          <w:p w14:paraId="052638F4"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Honduras</w:t>
            </w:r>
          </w:p>
        </w:tc>
        <w:tc>
          <w:tcPr>
            <w:tcW w:w="2552" w:type="dxa"/>
            <w:shd w:val="clear" w:color="auto" w:fill="auto"/>
          </w:tcPr>
          <w:p w14:paraId="2663996C" w14:textId="77777777" w:rsidR="00C261DB" w:rsidRPr="00094122" w:rsidRDefault="00C261DB" w:rsidP="00E479BF">
            <w:pPr>
              <w:outlineLvl w:val="2"/>
              <w:rPr>
                <w:rFonts w:eastAsia="DengXian" w:cs="Arial"/>
                <w:color w:val="000000"/>
                <w:sz w:val="20"/>
              </w:rPr>
            </w:pPr>
          </w:p>
        </w:tc>
      </w:tr>
      <w:tr w:rsidR="00C261DB" w:rsidRPr="001047FE" w14:paraId="06ED3E9E" w14:textId="77777777" w:rsidTr="00E479BF">
        <w:trPr>
          <w:cantSplit/>
          <w:trHeight w:val="255"/>
        </w:trPr>
        <w:tc>
          <w:tcPr>
            <w:tcW w:w="704" w:type="dxa"/>
            <w:shd w:val="clear" w:color="auto" w:fill="auto"/>
          </w:tcPr>
          <w:p w14:paraId="12C7625E"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t>2018</w:t>
            </w:r>
          </w:p>
        </w:tc>
        <w:tc>
          <w:tcPr>
            <w:tcW w:w="1181" w:type="dxa"/>
            <w:shd w:val="clear" w:color="auto" w:fill="auto"/>
            <w:noWrap/>
            <w:hideMark/>
          </w:tcPr>
          <w:p w14:paraId="061570E4"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t>100.00</w:t>
            </w:r>
          </w:p>
        </w:tc>
        <w:tc>
          <w:tcPr>
            <w:tcW w:w="945" w:type="dxa"/>
            <w:shd w:val="clear" w:color="auto" w:fill="auto"/>
            <w:noWrap/>
            <w:hideMark/>
          </w:tcPr>
          <w:p w14:paraId="7F988BE7"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CHF</w:t>
            </w:r>
          </w:p>
        </w:tc>
        <w:tc>
          <w:tcPr>
            <w:tcW w:w="993" w:type="dxa"/>
            <w:shd w:val="clear" w:color="auto" w:fill="auto"/>
          </w:tcPr>
          <w:p w14:paraId="1A3C1C26" w14:textId="77777777" w:rsidR="00C261DB" w:rsidRPr="00094122" w:rsidRDefault="00C261DB" w:rsidP="00E479BF">
            <w:pPr>
              <w:jc w:val="center"/>
              <w:outlineLvl w:val="2"/>
              <w:rPr>
                <w:rFonts w:eastAsia="DengXian" w:cs="Arial"/>
                <w:color w:val="000000"/>
                <w:sz w:val="20"/>
              </w:rPr>
            </w:pPr>
            <w:r w:rsidRPr="00094122">
              <w:rPr>
                <w:rFonts w:eastAsia="DengXian" w:cs="Arial"/>
                <w:color w:val="000000"/>
                <w:sz w:val="20"/>
              </w:rPr>
              <w:t>1</w:t>
            </w:r>
          </w:p>
        </w:tc>
        <w:tc>
          <w:tcPr>
            <w:tcW w:w="2551" w:type="dxa"/>
            <w:shd w:val="clear" w:color="auto" w:fill="auto"/>
            <w:noWrap/>
            <w:hideMark/>
          </w:tcPr>
          <w:p w14:paraId="0F10A1C5"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SIA LATTELEKOM</w:t>
            </w:r>
          </w:p>
        </w:tc>
        <w:tc>
          <w:tcPr>
            <w:tcW w:w="2126" w:type="dxa"/>
            <w:shd w:val="clear" w:color="auto" w:fill="auto"/>
            <w:noWrap/>
            <w:hideMark/>
          </w:tcPr>
          <w:p w14:paraId="0C1AAC61"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Latvia</w:t>
            </w:r>
          </w:p>
        </w:tc>
        <w:tc>
          <w:tcPr>
            <w:tcW w:w="2552" w:type="dxa"/>
            <w:shd w:val="clear" w:color="auto" w:fill="auto"/>
          </w:tcPr>
          <w:p w14:paraId="7653C659" w14:textId="77777777" w:rsidR="00C261DB" w:rsidRPr="00094122" w:rsidRDefault="00C261DB" w:rsidP="00E479BF">
            <w:pPr>
              <w:outlineLvl w:val="2"/>
              <w:rPr>
                <w:rFonts w:eastAsia="DengXian" w:cs="Arial"/>
                <w:color w:val="000000"/>
                <w:sz w:val="20"/>
              </w:rPr>
            </w:pPr>
          </w:p>
        </w:tc>
      </w:tr>
      <w:tr w:rsidR="00C261DB" w:rsidRPr="001047FE" w14:paraId="610C8CA1" w14:textId="77777777" w:rsidTr="00E479BF">
        <w:trPr>
          <w:cantSplit/>
          <w:trHeight w:val="256"/>
        </w:trPr>
        <w:tc>
          <w:tcPr>
            <w:tcW w:w="704" w:type="dxa"/>
            <w:shd w:val="clear" w:color="auto" w:fill="auto"/>
          </w:tcPr>
          <w:p w14:paraId="5687F7A8"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t>2018</w:t>
            </w:r>
          </w:p>
        </w:tc>
        <w:tc>
          <w:tcPr>
            <w:tcW w:w="1181" w:type="dxa"/>
            <w:shd w:val="clear" w:color="auto" w:fill="auto"/>
            <w:noWrap/>
          </w:tcPr>
          <w:p w14:paraId="3934D414"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t>100.00</w:t>
            </w:r>
          </w:p>
        </w:tc>
        <w:tc>
          <w:tcPr>
            <w:tcW w:w="945" w:type="dxa"/>
            <w:shd w:val="clear" w:color="auto" w:fill="auto"/>
            <w:noWrap/>
          </w:tcPr>
          <w:p w14:paraId="3AB8DA42"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CHF</w:t>
            </w:r>
          </w:p>
        </w:tc>
        <w:tc>
          <w:tcPr>
            <w:tcW w:w="993" w:type="dxa"/>
            <w:shd w:val="clear" w:color="auto" w:fill="auto"/>
          </w:tcPr>
          <w:p w14:paraId="6099EB65" w14:textId="77777777" w:rsidR="00C261DB" w:rsidRPr="00094122" w:rsidRDefault="00C261DB" w:rsidP="00E479BF">
            <w:pPr>
              <w:jc w:val="center"/>
              <w:outlineLvl w:val="2"/>
              <w:rPr>
                <w:rFonts w:eastAsia="DengXian" w:cs="Arial"/>
                <w:color w:val="000000"/>
                <w:sz w:val="20"/>
              </w:rPr>
            </w:pPr>
            <w:r w:rsidRPr="00094122">
              <w:rPr>
                <w:rFonts w:eastAsia="DengXian" w:cs="Arial"/>
                <w:color w:val="000000"/>
                <w:sz w:val="20"/>
              </w:rPr>
              <w:t>1</w:t>
            </w:r>
          </w:p>
        </w:tc>
        <w:tc>
          <w:tcPr>
            <w:tcW w:w="2551" w:type="dxa"/>
            <w:shd w:val="clear" w:color="auto" w:fill="auto"/>
            <w:noWrap/>
          </w:tcPr>
          <w:p w14:paraId="0BE85E3B"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Vodafone New Zealand</w:t>
            </w:r>
          </w:p>
        </w:tc>
        <w:tc>
          <w:tcPr>
            <w:tcW w:w="2126" w:type="dxa"/>
            <w:shd w:val="clear" w:color="auto" w:fill="auto"/>
            <w:noWrap/>
          </w:tcPr>
          <w:p w14:paraId="6C73BD6C"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New Zealand</w:t>
            </w:r>
          </w:p>
        </w:tc>
        <w:tc>
          <w:tcPr>
            <w:tcW w:w="2552" w:type="dxa"/>
            <w:shd w:val="clear" w:color="auto" w:fill="auto"/>
          </w:tcPr>
          <w:p w14:paraId="2F36B6B8" w14:textId="77777777" w:rsidR="00C261DB" w:rsidRPr="00094122" w:rsidRDefault="00C261DB" w:rsidP="00E479BF">
            <w:pPr>
              <w:outlineLvl w:val="2"/>
              <w:rPr>
                <w:rFonts w:eastAsia="DengXian" w:cs="Arial"/>
                <w:color w:val="000000"/>
                <w:sz w:val="20"/>
              </w:rPr>
            </w:pPr>
          </w:p>
        </w:tc>
      </w:tr>
      <w:tr w:rsidR="00C261DB" w:rsidRPr="001047FE" w14:paraId="6D3ADB18" w14:textId="77777777" w:rsidTr="00E479BF">
        <w:trPr>
          <w:cantSplit/>
          <w:trHeight w:val="255"/>
        </w:trPr>
        <w:tc>
          <w:tcPr>
            <w:tcW w:w="704" w:type="dxa"/>
            <w:shd w:val="clear" w:color="auto" w:fill="auto"/>
          </w:tcPr>
          <w:p w14:paraId="397BE9E2"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t>2018</w:t>
            </w:r>
          </w:p>
        </w:tc>
        <w:tc>
          <w:tcPr>
            <w:tcW w:w="1181" w:type="dxa"/>
            <w:shd w:val="clear" w:color="auto" w:fill="auto"/>
            <w:noWrap/>
            <w:hideMark/>
          </w:tcPr>
          <w:p w14:paraId="61C8646F" w14:textId="77777777" w:rsidR="00C261DB" w:rsidRPr="00094122" w:rsidRDefault="00C261DB" w:rsidP="00E479BF">
            <w:pPr>
              <w:jc w:val="right"/>
              <w:outlineLvl w:val="2"/>
              <w:rPr>
                <w:rFonts w:eastAsia="DengXian" w:cs="Arial"/>
                <w:color w:val="000000"/>
                <w:sz w:val="20"/>
              </w:rPr>
            </w:pPr>
            <w:r w:rsidRPr="00094122">
              <w:rPr>
                <w:rFonts w:eastAsia="DengXian" w:cs="Arial"/>
                <w:color w:val="000000"/>
                <w:sz w:val="20"/>
              </w:rPr>
              <w:t>100.00</w:t>
            </w:r>
          </w:p>
        </w:tc>
        <w:tc>
          <w:tcPr>
            <w:tcW w:w="945" w:type="dxa"/>
            <w:shd w:val="clear" w:color="auto" w:fill="auto"/>
            <w:noWrap/>
            <w:hideMark/>
          </w:tcPr>
          <w:p w14:paraId="5FC1CE4A"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CHF</w:t>
            </w:r>
          </w:p>
        </w:tc>
        <w:tc>
          <w:tcPr>
            <w:tcW w:w="993" w:type="dxa"/>
            <w:shd w:val="clear" w:color="auto" w:fill="auto"/>
          </w:tcPr>
          <w:p w14:paraId="2913D02A" w14:textId="77777777" w:rsidR="00C261DB" w:rsidRPr="00094122" w:rsidRDefault="00C261DB" w:rsidP="00E479BF">
            <w:pPr>
              <w:jc w:val="center"/>
              <w:outlineLvl w:val="2"/>
              <w:rPr>
                <w:rFonts w:eastAsia="DengXian" w:cs="Arial"/>
                <w:color w:val="000000"/>
                <w:sz w:val="20"/>
              </w:rPr>
            </w:pPr>
            <w:r w:rsidRPr="00094122">
              <w:rPr>
                <w:rFonts w:eastAsia="DengXian" w:cs="Arial"/>
                <w:color w:val="000000"/>
                <w:sz w:val="20"/>
              </w:rPr>
              <w:t>1</w:t>
            </w:r>
          </w:p>
        </w:tc>
        <w:tc>
          <w:tcPr>
            <w:tcW w:w="2551" w:type="dxa"/>
            <w:shd w:val="clear" w:color="auto" w:fill="auto"/>
            <w:noWrap/>
            <w:hideMark/>
          </w:tcPr>
          <w:p w14:paraId="7825A895"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Telecable de Asturias SA</w:t>
            </w:r>
          </w:p>
        </w:tc>
        <w:tc>
          <w:tcPr>
            <w:tcW w:w="2126" w:type="dxa"/>
            <w:shd w:val="clear" w:color="auto" w:fill="auto"/>
            <w:noWrap/>
            <w:hideMark/>
          </w:tcPr>
          <w:p w14:paraId="57C1475A" w14:textId="77777777" w:rsidR="00C261DB" w:rsidRPr="00094122" w:rsidRDefault="00C261DB" w:rsidP="00E479BF">
            <w:pPr>
              <w:outlineLvl w:val="2"/>
              <w:rPr>
                <w:rFonts w:eastAsia="DengXian" w:cs="Arial"/>
                <w:color w:val="000000"/>
                <w:sz w:val="20"/>
              </w:rPr>
            </w:pPr>
            <w:r w:rsidRPr="00094122">
              <w:rPr>
                <w:rFonts w:eastAsia="DengXian" w:cs="Arial"/>
                <w:color w:val="000000"/>
                <w:sz w:val="20"/>
              </w:rPr>
              <w:t>Spain</w:t>
            </w:r>
          </w:p>
        </w:tc>
        <w:tc>
          <w:tcPr>
            <w:tcW w:w="2552" w:type="dxa"/>
            <w:shd w:val="clear" w:color="auto" w:fill="auto"/>
          </w:tcPr>
          <w:p w14:paraId="2CDB1ED7" w14:textId="77777777" w:rsidR="00C261DB" w:rsidRPr="00094122" w:rsidRDefault="00C261DB" w:rsidP="00E479BF">
            <w:pPr>
              <w:outlineLvl w:val="2"/>
              <w:rPr>
                <w:rFonts w:eastAsia="DengXian" w:cs="Arial"/>
                <w:color w:val="000000"/>
                <w:sz w:val="20"/>
              </w:rPr>
            </w:pPr>
          </w:p>
        </w:tc>
      </w:tr>
      <w:tr w:rsidR="00C261DB" w:rsidRPr="001047FE" w14:paraId="2E5A39DC" w14:textId="77777777" w:rsidTr="00E479BF">
        <w:trPr>
          <w:cantSplit/>
          <w:trHeight w:val="255"/>
        </w:trPr>
        <w:tc>
          <w:tcPr>
            <w:tcW w:w="704" w:type="dxa"/>
            <w:shd w:val="clear" w:color="auto" w:fill="auto"/>
          </w:tcPr>
          <w:p w14:paraId="05F42261" w14:textId="77777777" w:rsidR="00C261DB" w:rsidRPr="007957F1" w:rsidRDefault="00C261DB" w:rsidP="00E479BF">
            <w:pPr>
              <w:jc w:val="right"/>
              <w:outlineLvl w:val="2"/>
              <w:rPr>
                <w:rFonts w:eastAsia="DengXian" w:cs="Arial"/>
                <w:color w:val="000000"/>
                <w:sz w:val="20"/>
              </w:rPr>
            </w:pPr>
            <w:r w:rsidRPr="007957F1">
              <w:rPr>
                <w:rFonts w:eastAsia="DengXian" w:cs="Arial"/>
                <w:color w:val="000000"/>
                <w:sz w:val="20"/>
              </w:rPr>
              <w:t>2019</w:t>
            </w:r>
          </w:p>
        </w:tc>
        <w:tc>
          <w:tcPr>
            <w:tcW w:w="1181" w:type="dxa"/>
            <w:shd w:val="clear" w:color="auto" w:fill="auto"/>
            <w:noWrap/>
          </w:tcPr>
          <w:p w14:paraId="01D7A40E" w14:textId="77777777" w:rsidR="00C261DB" w:rsidRPr="007957F1" w:rsidRDefault="00C261DB" w:rsidP="00E479BF">
            <w:pPr>
              <w:jc w:val="right"/>
              <w:outlineLvl w:val="2"/>
              <w:rPr>
                <w:rFonts w:eastAsia="DengXian" w:cs="Arial"/>
                <w:color w:val="000000"/>
                <w:sz w:val="20"/>
              </w:rPr>
            </w:pPr>
            <w:r w:rsidRPr="007957F1">
              <w:rPr>
                <w:rFonts w:eastAsia="DengXian" w:cs="Arial"/>
                <w:color w:val="000000"/>
                <w:sz w:val="20"/>
              </w:rPr>
              <w:t>100.00</w:t>
            </w:r>
          </w:p>
        </w:tc>
        <w:tc>
          <w:tcPr>
            <w:tcW w:w="945" w:type="dxa"/>
            <w:shd w:val="clear" w:color="auto" w:fill="auto"/>
            <w:noWrap/>
          </w:tcPr>
          <w:p w14:paraId="48BD6522" w14:textId="77777777" w:rsidR="00C261DB" w:rsidRPr="007957F1" w:rsidRDefault="00C261DB" w:rsidP="00E479BF">
            <w:pPr>
              <w:outlineLvl w:val="2"/>
              <w:rPr>
                <w:rFonts w:eastAsia="DengXian" w:cs="Arial"/>
                <w:color w:val="000000"/>
                <w:sz w:val="20"/>
              </w:rPr>
            </w:pPr>
            <w:r w:rsidRPr="007957F1">
              <w:rPr>
                <w:rFonts w:eastAsia="DengXian" w:cs="Arial"/>
                <w:color w:val="000000"/>
                <w:sz w:val="20"/>
              </w:rPr>
              <w:t>CHF</w:t>
            </w:r>
          </w:p>
        </w:tc>
        <w:tc>
          <w:tcPr>
            <w:tcW w:w="993" w:type="dxa"/>
            <w:shd w:val="clear" w:color="auto" w:fill="auto"/>
          </w:tcPr>
          <w:p w14:paraId="24DD9E1A" w14:textId="77777777" w:rsidR="00C261DB" w:rsidRPr="007957F1" w:rsidRDefault="00C261DB" w:rsidP="00E479BF">
            <w:pPr>
              <w:jc w:val="center"/>
              <w:outlineLvl w:val="2"/>
              <w:rPr>
                <w:rFonts w:eastAsia="DengXian" w:cs="Arial"/>
                <w:color w:val="000000"/>
                <w:sz w:val="20"/>
              </w:rPr>
            </w:pPr>
            <w:r w:rsidRPr="007957F1">
              <w:rPr>
                <w:rFonts w:eastAsia="DengXian" w:cs="Arial"/>
                <w:color w:val="000000"/>
                <w:sz w:val="20"/>
              </w:rPr>
              <w:t>1</w:t>
            </w:r>
          </w:p>
        </w:tc>
        <w:tc>
          <w:tcPr>
            <w:tcW w:w="2551" w:type="dxa"/>
            <w:shd w:val="clear" w:color="auto" w:fill="auto"/>
            <w:noWrap/>
          </w:tcPr>
          <w:p w14:paraId="65070045" w14:textId="77777777" w:rsidR="00C261DB" w:rsidRPr="007957F1" w:rsidRDefault="00C261DB" w:rsidP="00E479BF">
            <w:pPr>
              <w:outlineLvl w:val="2"/>
              <w:rPr>
                <w:rFonts w:eastAsia="DengXian" w:cs="Arial"/>
                <w:color w:val="000000"/>
                <w:sz w:val="20"/>
                <w:lang w:val="es-ES"/>
              </w:rPr>
            </w:pPr>
            <w:r w:rsidRPr="007957F1">
              <w:rPr>
                <w:rFonts w:eastAsia="DengXian" w:cs="Arial"/>
                <w:color w:val="000000"/>
                <w:sz w:val="20"/>
                <w:lang w:val="es-ES"/>
              </w:rPr>
              <w:t>ComoreTel Holdings Ltd.</w:t>
            </w:r>
          </w:p>
        </w:tc>
        <w:tc>
          <w:tcPr>
            <w:tcW w:w="2126" w:type="dxa"/>
            <w:shd w:val="clear" w:color="auto" w:fill="auto"/>
            <w:noWrap/>
          </w:tcPr>
          <w:p w14:paraId="58A23314" w14:textId="77777777" w:rsidR="00C261DB" w:rsidRPr="007957F1" w:rsidRDefault="00C261DB" w:rsidP="00E479BF">
            <w:pPr>
              <w:outlineLvl w:val="2"/>
              <w:rPr>
                <w:rFonts w:eastAsia="DengXian" w:cs="Arial"/>
                <w:color w:val="000000"/>
                <w:sz w:val="20"/>
                <w:lang w:val="es-ES"/>
              </w:rPr>
            </w:pPr>
            <w:r w:rsidRPr="007957F1">
              <w:rPr>
                <w:rFonts w:eastAsia="DengXian" w:cs="Arial"/>
                <w:color w:val="000000"/>
                <w:sz w:val="20"/>
                <w:lang w:val="es-ES"/>
              </w:rPr>
              <w:t>United States</w:t>
            </w:r>
          </w:p>
        </w:tc>
        <w:tc>
          <w:tcPr>
            <w:tcW w:w="2552" w:type="dxa"/>
            <w:shd w:val="clear" w:color="auto" w:fill="auto"/>
          </w:tcPr>
          <w:p w14:paraId="618E6233" w14:textId="77777777" w:rsidR="00C261DB" w:rsidRPr="00094122" w:rsidRDefault="00C261DB" w:rsidP="00E479BF">
            <w:pPr>
              <w:outlineLvl w:val="2"/>
              <w:rPr>
                <w:rFonts w:eastAsia="DengXian" w:cs="Arial"/>
                <w:sz w:val="20"/>
                <w:lang w:val="es-ES"/>
              </w:rPr>
            </w:pPr>
          </w:p>
        </w:tc>
      </w:tr>
    </w:tbl>
    <w:p w14:paraId="566A8603" w14:textId="77777777" w:rsidR="00C261DB" w:rsidRPr="000401A7" w:rsidRDefault="00C261DB" w:rsidP="006A0225">
      <w:pPr>
        <w:pStyle w:val="ListParagraph"/>
        <w:tabs>
          <w:tab w:val="clear" w:pos="567"/>
          <w:tab w:val="clear" w:pos="1134"/>
          <w:tab w:val="clear" w:pos="1701"/>
          <w:tab w:val="clear" w:pos="2268"/>
          <w:tab w:val="clear" w:pos="2835"/>
        </w:tabs>
        <w:snapToGrid w:val="0"/>
        <w:spacing w:before="480"/>
        <w:ind w:left="0"/>
        <w:contextualSpacing w:val="0"/>
        <w:jc w:val="both"/>
        <w:outlineLvl w:val="2"/>
        <w:rPr>
          <w:b/>
          <w:szCs w:val="24"/>
        </w:rPr>
      </w:pPr>
      <w:r>
        <w:rPr>
          <w:b/>
          <w:szCs w:val="24"/>
        </w:rPr>
        <w:t>A</w:t>
      </w:r>
      <w:r w:rsidRPr="001241AF">
        <w:rPr>
          <w:b/>
          <w:szCs w:val="24"/>
        </w:rPr>
        <w:t xml:space="preserve">nnex C </w:t>
      </w:r>
      <w:r>
        <w:rPr>
          <w:b/>
          <w:szCs w:val="24"/>
        </w:rPr>
        <w:t xml:space="preserve">- </w:t>
      </w:r>
      <w:r w:rsidRPr="001241AF">
        <w:rPr>
          <w:b/>
          <w:szCs w:val="24"/>
        </w:rPr>
        <w:t xml:space="preserve">list of UIFN service providers requiring further information </w:t>
      </w:r>
    </w:p>
    <w:p w14:paraId="4FA3F9CE" w14:textId="77777777" w:rsidR="00C261DB" w:rsidRPr="00511A8C" w:rsidRDefault="00C261DB" w:rsidP="00C261DB">
      <w:pPr>
        <w:spacing w:after="120"/>
        <w:rPr>
          <w:rFonts w:eastAsia="DengXian"/>
          <w:sz w:val="22"/>
          <w:szCs w:val="22"/>
        </w:rPr>
      </w:pPr>
      <w:r w:rsidRPr="00511A8C">
        <w:rPr>
          <w:rFonts w:eastAsia="DengXian"/>
          <w:sz w:val="22"/>
          <w:szCs w:val="22"/>
        </w:rPr>
        <w:t>None</w:t>
      </w:r>
    </w:p>
    <w:p w14:paraId="09F092D1" w14:textId="1C51C25A" w:rsidR="000A3753" w:rsidRPr="00C261DB" w:rsidRDefault="00C261DB" w:rsidP="006A0225">
      <w:pPr>
        <w:spacing w:before="840"/>
        <w:jc w:val="center"/>
        <w:rPr>
          <w:lang w:val="en-US"/>
        </w:rPr>
      </w:pPr>
      <w:r>
        <w:rPr>
          <w:lang w:val="en-US"/>
        </w:rPr>
        <w:t>_____________________</w:t>
      </w:r>
    </w:p>
    <w:sectPr w:rsidR="000A3753" w:rsidRPr="00C261DB" w:rsidSect="00932DCC">
      <w:headerReference w:type="default" r:id="rId43"/>
      <w:footerReference w:type="default" r:id="rId44"/>
      <w:headerReference w:type="first" r:id="rId45"/>
      <w:footerReference w:type="first" r:id="rId46"/>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63CFC" w14:textId="77777777" w:rsidR="00ED1E2B" w:rsidRDefault="00ED1E2B">
      <w:r>
        <w:separator/>
      </w:r>
    </w:p>
  </w:endnote>
  <w:endnote w:type="continuationSeparator" w:id="0">
    <w:p w14:paraId="0B283E8F" w14:textId="77777777" w:rsidR="00ED1E2B" w:rsidRDefault="00ED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ADC8A39" w:rsidR="00EE49E8" w:rsidRDefault="00EE49E8" w:rsidP="00EE49E8">
          <w:pPr>
            <w:pStyle w:val="Header"/>
            <w:jc w:val="left"/>
            <w:rPr>
              <w:noProof/>
            </w:rPr>
          </w:pPr>
        </w:p>
      </w:tc>
      <w:tc>
        <w:tcPr>
          <w:tcW w:w="8261" w:type="dxa"/>
        </w:tcPr>
        <w:p w14:paraId="2D49E76E" w14:textId="7635CBAB"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w:t>
          </w:r>
          <w:r w:rsidR="00260ACE">
            <w:rPr>
              <w:bCs/>
            </w:rPr>
            <w:t>7</w:t>
          </w:r>
          <w:r w:rsidR="00A52C84" w:rsidRPr="00623AE3">
            <w:rPr>
              <w:bCs/>
            </w:rPr>
            <w:t>/</w:t>
          </w:r>
          <w:r w:rsidR="00EB1495">
            <w:rPr>
              <w:bCs/>
            </w:rPr>
            <w:t>8</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E5393F" w:rsidRDefault="00EE49E8" w:rsidP="00EE49E8">
    <w:pPr>
      <w:pStyle w:val="Header"/>
      <w:tabs>
        <w:tab w:val="left" w:pos="8080"/>
        <w:tab w:val="right" w:pos="9072"/>
      </w:tabs>
      <w:jc w:val="left"/>
      <w:rPr>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2C045F84"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w:t>
          </w:r>
          <w:r w:rsidR="00260ACE">
            <w:rPr>
              <w:bCs/>
            </w:rPr>
            <w:t>7</w:t>
          </w:r>
          <w:r w:rsidRPr="00623AE3">
            <w:rPr>
              <w:bCs/>
            </w:rPr>
            <w:t>/</w:t>
          </w:r>
          <w:r w:rsidR="00EB1495">
            <w:rPr>
              <w:bCs/>
            </w:rPr>
            <w:t>8</w:t>
          </w:r>
          <w:r w:rsidRPr="00623AE3">
            <w:rPr>
              <w:bCs/>
            </w:rPr>
            <w:t>-E</w:t>
          </w:r>
          <w:r>
            <w:rPr>
              <w:bCs/>
            </w:rPr>
            <w:tab/>
          </w:r>
          <w:r>
            <w:fldChar w:fldCharType="begin"/>
          </w:r>
          <w:r>
            <w:instrText>PAGE</w:instrText>
          </w:r>
          <w:r>
            <w:fldChar w:fldCharType="separate"/>
          </w:r>
          <w:r>
            <w:t>1</w:t>
          </w:r>
          <w:r>
            <w:rPr>
              <w:noProof/>
            </w:rPr>
            <w:fldChar w:fldCharType="end"/>
          </w:r>
        </w:p>
      </w:tc>
    </w:tr>
  </w:tbl>
  <w:p w14:paraId="3040C37B" w14:textId="77777777" w:rsidR="00326AFA" w:rsidRPr="00E5393F" w:rsidRDefault="00326AFA" w:rsidP="00E5393F">
    <w:pPr>
      <w:spacing w:before="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D090FA0" w14:textId="77777777" w:rsidTr="00A5255D">
      <w:trPr>
        <w:jc w:val="center"/>
      </w:trPr>
      <w:tc>
        <w:tcPr>
          <w:tcW w:w="1803" w:type="dxa"/>
          <w:vAlign w:val="center"/>
        </w:tcPr>
        <w:p w14:paraId="2BE81316" w14:textId="77777777" w:rsidR="00EE49E8" w:rsidRDefault="00EE49E8" w:rsidP="00EE49E8">
          <w:pPr>
            <w:pStyle w:val="Header"/>
            <w:jc w:val="left"/>
            <w:rPr>
              <w:noProof/>
            </w:rPr>
          </w:pPr>
        </w:p>
      </w:tc>
      <w:tc>
        <w:tcPr>
          <w:tcW w:w="8261" w:type="dxa"/>
        </w:tcPr>
        <w:p w14:paraId="0130ED37" w14:textId="1C6FDEB7"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w:t>
          </w:r>
          <w:r w:rsidR="00260ACE">
            <w:rPr>
              <w:bCs/>
            </w:rPr>
            <w:t>7</w:t>
          </w:r>
          <w:r w:rsidR="00A52C84" w:rsidRPr="00623AE3">
            <w:rPr>
              <w:bCs/>
            </w:rPr>
            <w:t>/</w:t>
          </w:r>
          <w:r w:rsidR="00EB1495">
            <w:rPr>
              <w:bCs/>
            </w:rPr>
            <w:t>8</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6FA95340" w14:textId="77777777" w:rsidR="00EE49E8" w:rsidRPr="00DB1936" w:rsidRDefault="00EE49E8" w:rsidP="00EE49E8">
    <w:pPr>
      <w:pStyle w:val="Header"/>
      <w:tabs>
        <w:tab w:val="left" w:pos="8080"/>
        <w:tab w:val="right" w:pos="9072"/>
      </w:tabs>
      <w:jc w:val="lef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C261DB" w:rsidRPr="00784011" w14:paraId="5ADF54F6" w14:textId="77777777" w:rsidTr="00E479BF">
      <w:trPr>
        <w:jc w:val="center"/>
      </w:trPr>
      <w:tc>
        <w:tcPr>
          <w:tcW w:w="1803" w:type="dxa"/>
          <w:vAlign w:val="center"/>
        </w:tcPr>
        <w:p w14:paraId="2A0E9851" w14:textId="77777777" w:rsidR="00C261DB" w:rsidRDefault="00C261DB" w:rsidP="00C261DB">
          <w:pPr>
            <w:pStyle w:val="Header"/>
            <w:jc w:val="left"/>
            <w:rPr>
              <w:noProof/>
            </w:rPr>
          </w:pPr>
        </w:p>
      </w:tc>
      <w:tc>
        <w:tcPr>
          <w:tcW w:w="8261" w:type="dxa"/>
        </w:tcPr>
        <w:p w14:paraId="0CF62B14" w14:textId="2ECEF28E" w:rsidR="00C261DB" w:rsidRPr="00E06FD5" w:rsidRDefault="00C261DB" w:rsidP="00C261DB">
          <w:pPr>
            <w:pStyle w:val="Header"/>
            <w:tabs>
              <w:tab w:val="left" w:pos="6028"/>
              <w:tab w:val="right" w:pos="8505"/>
              <w:tab w:val="right" w:pos="9639"/>
            </w:tabs>
            <w:jc w:val="left"/>
            <w:rPr>
              <w:rFonts w:ascii="Arial" w:hAnsi="Arial" w:cs="Arial"/>
              <w:b/>
              <w:bCs/>
              <w:szCs w:val="18"/>
            </w:rPr>
          </w:pPr>
          <w:r>
            <w:rPr>
              <w:bCs/>
            </w:rPr>
            <w:tab/>
          </w:r>
          <w:r w:rsidRPr="00623AE3">
            <w:rPr>
              <w:bCs/>
            </w:rPr>
            <w:t>C</w:t>
          </w:r>
          <w:r>
            <w:rPr>
              <w:bCs/>
            </w:rPr>
            <w:t>WG-FHR-17</w:t>
          </w:r>
          <w:r w:rsidRPr="00623AE3">
            <w:rPr>
              <w:bCs/>
            </w:rPr>
            <w:t>/</w:t>
          </w:r>
          <w:r w:rsidR="00EB1495">
            <w:rPr>
              <w:bCs/>
            </w:rPr>
            <w:t>8</w:t>
          </w:r>
          <w:r w:rsidRPr="00623AE3">
            <w:rPr>
              <w:bCs/>
            </w:rPr>
            <w:t>-E</w:t>
          </w:r>
          <w:r>
            <w:rPr>
              <w:bCs/>
            </w:rPr>
            <w:tab/>
          </w:r>
          <w:r>
            <w:fldChar w:fldCharType="begin"/>
          </w:r>
          <w:r>
            <w:instrText>PAGE</w:instrText>
          </w:r>
          <w:r>
            <w:fldChar w:fldCharType="separate"/>
          </w:r>
          <w:r>
            <w:t>1</w:t>
          </w:r>
          <w:r>
            <w:rPr>
              <w:noProof/>
            </w:rPr>
            <w:fldChar w:fldCharType="end"/>
          </w:r>
        </w:p>
      </w:tc>
    </w:tr>
  </w:tbl>
  <w:p w14:paraId="38111A98"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55A24" w14:textId="77777777" w:rsidR="00ED1E2B" w:rsidRDefault="00ED1E2B">
      <w:r>
        <w:t>____________________</w:t>
      </w:r>
    </w:p>
  </w:footnote>
  <w:footnote w:type="continuationSeparator" w:id="0">
    <w:p w14:paraId="6959678B" w14:textId="77777777" w:rsidR="00ED1E2B" w:rsidRDefault="00ED1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5"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1DC5430">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32DAA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5"/>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95DCC">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B511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66E43C8C"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60ACE">
                            <w:rPr>
                              <w:sz w:val="20"/>
                            </w:rPr>
                            <w:t>Seven</w:t>
                          </w:r>
                          <w:r w:rsidR="002404ED">
                            <w:rPr>
                              <w:sz w:val="20"/>
                            </w:rPr>
                            <w:t>teenth</w:t>
                          </w:r>
                          <w:r w:rsidRPr="00130599">
                            <w:rPr>
                              <w:sz w:val="20"/>
                            </w:rPr>
                            <w:t xml:space="preserve"> meeting </w:t>
                          </w:r>
                          <w:r w:rsidR="00B358B2">
                            <w:rPr>
                              <w:sz w:val="20"/>
                            </w:rPr>
                            <w:t xml:space="preserve">- </w:t>
                          </w:r>
                          <w:r w:rsidR="008B41D4" w:rsidRPr="008B41D4">
                            <w:rPr>
                              <w:sz w:val="20"/>
                            </w:rPr>
                            <w:t>From 24 to 26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_x0000_s1028"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66E43C8C"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60ACE">
                      <w:rPr>
                        <w:sz w:val="20"/>
                      </w:rPr>
                      <w:t>Seven</w:t>
                    </w:r>
                    <w:r w:rsidR="002404ED">
                      <w:rPr>
                        <w:sz w:val="20"/>
                      </w:rPr>
                      <w:t>teenth</w:t>
                    </w:r>
                    <w:r w:rsidRPr="00130599">
                      <w:rPr>
                        <w:sz w:val="20"/>
                      </w:rPr>
                      <w:t xml:space="preserve"> meeting </w:t>
                    </w:r>
                    <w:r w:rsidR="00B358B2">
                      <w:rPr>
                        <w:sz w:val="20"/>
                      </w:rPr>
                      <w:t xml:space="preserve">- </w:t>
                    </w:r>
                    <w:r w:rsidR="008B41D4" w:rsidRPr="008B41D4">
                      <w:rPr>
                        <w:sz w:val="20"/>
                      </w:rPr>
                      <w:t>From 24 to 26 January 2024</w:t>
                    </w:r>
                  </w:p>
                </w:txbxContent>
              </v:textbox>
            </v:shape>
          </w:pict>
        </mc:Fallback>
      </mc:AlternateContent>
    </w:r>
  </w:p>
  <w:p w14:paraId="7AD5FDCA" w14:textId="77777777" w:rsidR="00326AFA" w:rsidRDefault="00326A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1FBF" w14:textId="04A73461" w:rsidR="00326AFA" w:rsidRPr="00623AE3" w:rsidRDefault="00326AFA" w:rsidP="003F39DA">
    <w:pPr>
      <w:pStyle w:val="Header"/>
      <w:spacing w:after="120"/>
      <w:rPr>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422A" w14:textId="77777777" w:rsidR="00AD3606" w:rsidRDefault="00AD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A3753"/>
    <w:rsid w:val="000B1705"/>
    <w:rsid w:val="000D75B2"/>
    <w:rsid w:val="001121F5"/>
    <w:rsid w:val="00130599"/>
    <w:rsid w:val="001400DC"/>
    <w:rsid w:val="00140CE1"/>
    <w:rsid w:val="001751FF"/>
    <w:rsid w:val="0017539C"/>
    <w:rsid w:val="00175AC2"/>
    <w:rsid w:val="0017609F"/>
    <w:rsid w:val="0019628A"/>
    <w:rsid w:val="001A7D1D"/>
    <w:rsid w:val="001B51DD"/>
    <w:rsid w:val="001C628E"/>
    <w:rsid w:val="001D43E2"/>
    <w:rsid w:val="001E0F7B"/>
    <w:rsid w:val="001E7582"/>
    <w:rsid w:val="002119FD"/>
    <w:rsid w:val="002130E0"/>
    <w:rsid w:val="002404ED"/>
    <w:rsid w:val="00244F7F"/>
    <w:rsid w:val="00260ACE"/>
    <w:rsid w:val="00264425"/>
    <w:rsid w:val="00265875"/>
    <w:rsid w:val="0027303B"/>
    <w:rsid w:val="0028109B"/>
    <w:rsid w:val="002A2188"/>
    <w:rsid w:val="002B1F58"/>
    <w:rsid w:val="002C1C7A"/>
    <w:rsid w:val="002C54E2"/>
    <w:rsid w:val="0030160F"/>
    <w:rsid w:val="00320223"/>
    <w:rsid w:val="00322D0D"/>
    <w:rsid w:val="00326AFA"/>
    <w:rsid w:val="00361465"/>
    <w:rsid w:val="003877F5"/>
    <w:rsid w:val="003942D4"/>
    <w:rsid w:val="003958A8"/>
    <w:rsid w:val="003C2533"/>
    <w:rsid w:val="003D55B9"/>
    <w:rsid w:val="003D5A7F"/>
    <w:rsid w:val="004016E2"/>
    <w:rsid w:val="0040435A"/>
    <w:rsid w:val="00416A24"/>
    <w:rsid w:val="00431D9E"/>
    <w:rsid w:val="00433CE8"/>
    <w:rsid w:val="00434A5C"/>
    <w:rsid w:val="004544D9"/>
    <w:rsid w:val="00465DC5"/>
    <w:rsid w:val="00472BAD"/>
    <w:rsid w:val="00482807"/>
    <w:rsid w:val="00484009"/>
    <w:rsid w:val="00490E72"/>
    <w:rsid w:val="00491157"/>
    <w:rsid w:val="004921C8"/>
    <w:rsid w:val="00495B0B"/>
    <w:rsid w:val="004A1B8B"/>
    <w:rsid w:val="004A651A"/>
    <w:rsid w:val="004D1851"/>
    <w:rsid w:val="004D599D"/>
    <w:rsid w:val="004E2EA5"/>
    <w:rsid w:val="004E3AEB"/>
    <w:rsid w:val="0050223C"/>
    <w:rsid w:val="005243FF"/>
    <w:rsid w:val="00564FBC"/>
    <w:rsid w:val="005800BC"/>
    <w:rsid w:val="00582442"/>
    <w:rsid w:val="005A335D"/>
    <w:rsid w:val="005E2BD5"/>
    <w:rsid w:val="005F1007"/>
    <w:rsid w:val="005F3269"/>
    <w:rsid w:val="00617484"/>
    <w:rsid w:val="00623AE3"/>
    <w:rsid w:val="0064737F"/>
    <w:rsid w:val="006535F1"/>
    <w:rsid w:val="0065557D"/>
    <w:rsid w:val="00660BA3"/>
    <w:rsid w:val="00660D50"/>
    <w:rsid w:val="00662984"/>
    <w:rsid w:val="006716BB"/>
    <w:rsid w:val="00676C7D"/>
    <w:rsid w:val="006A0225"/>
    <w:rsid w:val="006B1859"/>
    <w:rsid w:val="006B6680"/>
    <w:rsid w:val="006B6DCC"/>
    <w:rsid w:val="00702DEF"/>
    <w:rsid w:val="00706861"/>
    <w:rsid w:val="0075051B"/>
    <w:rsid w:val="00775655"/>
    <w:rsid w:val="0079034F"/>
    <w:rsid w:val="00793188"/>
    <w:rsid w:val="00794D34"/>
    <w:rsid w:val="00813E5E"/>
    <w:rsid w:val="0083581B"/>
    <w:rsid w:val="00863874"/>
    <w:rsid w:val="00864AFF"/>
    <w:rsid w:val="00865925"/>
    <w:rsid w:val="00891503"/>
    <w:rsid w:val="008B41D4"/>
    <w:rsid w:val="008B4A6A"/>
    <w:rsid w:val="008C7E27"/>
    <w:rsid w:val="008F5CD0"/>
    <w:rsid w:val="008F7448"/>
    <w:rsid w:val="0090147A"/>
    <w:rsid w:val="009173EF"/>
    <w:rsid w:val="00932906"/>
    <w:rsid w:val="00961B0B"/>
    <w:rsid w:val="00962D33"/>
    <w:rsid w:val="00971C28"/>
    <w:rsid w:val="009B2D4B"/>
    <w:rsid w:val="009B38C3"/>
    <w:rsid w:val="009C253A"/>
    <w:rsid w:val="009E17BD"/>
    <w:rsid w:val="009E485A"/>
    <w:rsid w:val="009F347C"/>
    <w:rsid w:val="00A04CEC"/>
    <w:rsid w:val="00A27F92"/>
    <w:rsid w:val="00A32257"/>
    <w:rsid w:val="00A34664"/>
    <w:rsid w:val="00A36D20"/>
    <w:rsid w:val="00A514A4"/>
    <w:rsid w:val="00A52C84"/>
    <w:rsid w:val="00A55622"/>
    <w:rsid w:val="00A55750"/>
    <w:rsid w:val="00A83502"/>
    <w:rsid w:val="00AD15B3"/>
    <w:rsid w:val="00AD3606"/>
    <w:rsid w:val="00AD4A3D"/>
    <w:rsid w:val="00AF6E49"/>
    <w:rsid w:val="00B04A67"/>
    <w:rsid w:val="00B0583C"/>
    <w:rsid w:val="00B358B2"/>
    <w:rsid w:val="00B40A81"/>
    <w:rsid w:val="00B44910"/>
    <w:rsid w:val="00B72267"/>
    <w:rsid w:val="00B76EB6"/>
    <w:rsid w:val="00B7737B"/>
    <w:rsid w:val="00B824C8"/>
    <w:rsid w:val="00B84B9D"/>
    <w:rsid w:val="00BC251A"/>
    <w:rsid w:val="00BC4596"/>
    <w:rsid w:val="00BD032B"/>
    <w:rsid w:val="00BE2640"/>
    <w:rsid w:val="00C01189"/>
    <w:rsid w:val="00C261DB"/>
    <w:rsid w:val="00C374DE"/>
    <w:rsid w:val="00C47AD4"/>
    <w:rsid w:val="00C52D81"/>
    <w:rsid w:val="00C55198"/>
    <w:rsid w:val="00CA6393"/>
    <w:rsid w:val="00CA7CB8"/>
    <w:rsid w:val="00CB18FF"/>
    <w:rsid w:val="00CB7179"/>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393F"/>
    <w:rsid w:val="00E545C6"/>
    <w:rsid w:val="00E60F04"/>
    <w:rsid w:val="00E65B24"/>
    <w:rsid w:val="00E854E4"/>
    <w:rsid w:val="00E86DBF"/>
    <w:rsid w:val="00EB0D6F"/>
    <w:rsid w:val="00EB1495"/>
    <w:rsid w:val="00EB2232"/>
    <w:rsid w:val="00EC5337"/>
    <w:rsid w:val="00ED1E2B"/>
    <w:rsid w:val="00ED454D"/>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D7016"/>
    <w:rsid w:val="00FE4077"/>
    <w:rsid w:val="00FE500D"/>
    <w:rsid w:val="00FE77D2"/>
    <w:rsid w:val="3895430E"/>
    <w:rsid w:val="4F69C17D"/>
    <w:rsid w:val="5947B9DA"/>
    <w:rsid w:val="658D0C6B"/>
    <w:rsid w:val="70A7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character" w:customStyle="1" w:styleId="Heading1Char">
    <w:name w:val="Heading 1 Char"/>
    <w:basedOn w:val="DefaultParagraphFont"/>
    <w:link w:val="Heading1"/>
    <w:rsid w:val="000A3753"/>
    <w:rPr>
      <w:rFonts w:ascii="Calibri" w:hAnsi="Calibri"/>
      <w:b/>
      <w:sz w:val="28"/>
      <w:lang w:val="en-GB" w:eastAsia="en-US"/>
    </w:rPr>
  </w:style>
  <w:style w:type="paragraph" w:styleId="ListParagraph">
    <w:name w:val="List Paragraph"/>
    <w:basedOn w:val="Normal"/>
    <w:uiPriority w:val="34"/>
    <w:qFormat/>
    <w:rsid w:val="00C261DB"/>
    <w:pPr>
      <w:ind w:left="720"/>
      <w:contextualSpacing/>
    </w:pPr>
  </w:style>
  <w:style w:type="paragraph" w:styleId="NoSpacing">
    <w:name w:val="No Spacing"/>
    <w:uiPriority w:val="1"/>
    <w:qFormat/>
    <w:rsid w:val="00C261DB"/>
    <w:rPr>
      <w:rFonts w:asciiTheme="minorHAnsi" w:eastAsiaTheme="minorHAnsi" w:hAnsiTheme="minorHAnsi" w:cstheme="minorBidi"/>
      <w:sz w:val="22"/>
      <w:szCs w:val="22"/>
      <w:lang w:val="en-GB"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BC4596"/>
    <w:rPr>
      <w:b/>
      <w:bCs/>
    </w:rPr>
  </w:style>
  <w:style w:type="character" w:customStyle="1" w:styleId="CommentSubjectChar">
    <w:name w:val="Comment Subject Char"/>
    <w:basedOn w:val="CommentTextChar"/>
    <w:link w:val="CommentSubject"/>
    <w:semiHidden/>
    <w:rsid w:val="00BC4596"/>
    <w:rPr>
      <w:rFonts w:ascii="Calibri" w:hAnsi="Calibri"/>
      <w:b/>
      <w:bCs/>
      <w:lang w:val="en-GB" w:eastAsia="en-US"/>
    </w:rPr>
  </w:style>
  <w:style w:type="paragraph" w:styleId="Revision">
    <w:name w:val="Revision"/>
    <w:hidden/>
    <w:uiPriority w:val="99"/>
    <w:semiHidden/>
    <w:rsid w:val="0048280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7-CL-C-0133/en" TargetMode="External"/><Relationship Id="rId18" Type="http://schemas.openxmlformats.org/officeDocument/2006/relationships/hyperlink" Target="https://www.itu.int/md/S19-CL-C-0047/en" TargetMode="External"/><Relationship Id="rId26" Type="http://schemas.openxmlformats.org/officeDocument/2006/relationships/hyperlink" Target="https://www.itu.int/md/S17-CL-C-0134/en" TargetMode="External"/><Relationship Id="rId39" Type="http://schemas.openxmlformats.org/officeDocument/2006/relationships/chart" Target="charts/chart1.xml"/><Relationship Id="rId21" Type="http://schemas.openxmlformats.org/officeDocument/2006/relationships/hyperlink" Target="https://www.itu.int/md/S21-CWGFHR14-C-0006/en" TargetMode="External"/><Relationship Id="rId34" Type="http://schemas.openxmlformats.org/officeDocument/2006/relationships/hyperlink" Target="https://www.itu.int/md/S21-CWGFHR14-C-0012/en" TargetMode="External"/><Relationship Id="rId42" Type="http://schemas.openxmlformats.org/officeDocument/2006/relationships/footer" Target="footer2.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19-CLCWGFHR09-C-0014/en" TargetMode="External"/><Relationship Id="rId29" Type="http://schemas.openxmlformats.org/officeDocument/2006/relationships/hyperlink" Target="https://www.itu.int/md/S21-CWGFHR14-C-0006/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1-CL-C-0047/en" TargetMode="External"/><Relationship Id="rId24" Type="http://schemas.openxmlformats.org/officeDocument/2006/relationships/hyperlink" Target="https://www.itu.int/md/S22-CL-C-0050/en" TargetMode="External"/><Relationship Id="rId32" Type="http://schemas.openxmlformats.org/officeDocument/2006/relationships/hyperlink" Target="https://www.itu.int/md/S21-CWGFHR14-C-0012/en" TargetMode="External"/><Relationship Id="rId37" Type="http://schemas.openxmlformats.org/officeDocument/2006/relationships/hyperlink" Target="https://www.itu.int/en/ITU-T/inr/unum/Pages/uifn-service-provider.aspx" TargetMode="External"/><Relationship Id="rId40" Type="http://schemas.openxmlformats.org/officeDocument/2006/relationships/footer" Target="footer1.xm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itu.int/md/S18-CL-C-0100/en" TargetMode="External"/><Relationship Id="rId23" Type="http://schemas.openxmlformats.org/officeDocument/2006/relationships/hyperlink" Target="https://www.itu.int/md/S21-CWGFHR14-C-0012/en" TargetMode="External"/><Relationship Id="rId28" Type="http://schemas.openxmlformats.org/officeDocument/2006/relationships/hyperlink" Target="https://www.itu.int/md/S21-CL-C-0047/en" TargetMode="External"/><Relationship Id="rId36" Type="http://schemas.openxmlformats.org/officeDocument/2006/relationships/hyperlink" Target="https://www.itu.int/md/S19-CL-C-0120/en" TargetMode="External"/><Relationship Id="rId10" Type="http://schemas.openxmlformats.org/officeDocument/2006/relationships/endnotes" Target="endnotes.xml"/><Relationship Id="rId19" Type="http://schemas.openxmlformats.org/officeDocument/2006/relationships/hyperlink" Target="https://www.itu.int/md/S19-CL-C-0120/en" TargetMode="External"/><Relationship Id="rId31" Type="http://schemas.openxmlformats.org/officeDocument/2006/relationships/hyperlink" Target="https://www.itu.int/md/S19-CL-C-0120/en"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7-CL-C-0134/en" TargetMode="External"/><Relationship Id="rId22" Type="http://schemas.openxmlformats.org/officeDocument/2006/relationships/hyperlink" Target="https://www.itu.int/md/S21-CWGFHR14-C-0007/en" TargetMode="External"/><Relationship Id="rId27" Type="http://schemas.openxmlformats.org/officeDocument/2006/relationships/hyperlink" Target="https://www.itu.int/md/S19-CL-C-0047/en" TargetMode="External"/><Relationship Id="rId30" Type="http://schemas.openxmlformats.org/officeDocument/2006/relationships/hyperlink" Target="https://www.itu.int/md/S21-CWGFHR14-C-0007/en" TargetMode="External"/><Relationship Id="rId35" Type="http://schemas.openxmlformats.org/officeDocument/2006/relationships/hyperlink" Target="https://www.itu.int/md/S22-CL-C-0050/en"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en/council/cwg-fhr/Pages/default.aspx" TargetMode="External"/><Relationship Id="rId17" Type="http://schemas.openxmlformats.org/officeDocument/2006/relationships/hyperlink" Target="https://www.itu.int/md/S19-CLCWGFHR09-C-0015/en" TargetMode="External"/><Relationship Id="rId25" Type="http://schemas.openxmlformats.org/officeDocument/2006/relationships/hyperlink" Target="https://www.itu.int/md/S17-CL-C-0133/en" TargetMode="External"/><Relationship Id="rId33" Type="http://schemas.openxmlformats.org/officeDocument/2006/relationships/image" Target="media/image1.png"/><Relationship Id="rId38" Type="http://schemas.openxmlformats.org/officeDocument/2006/relationships/hyperlink" Target="https://www.itu.int/en/ITU-T/inr/forms/Pages/iin.aspx" TargetMode="External"/><Relationship Id="rId46" Type="http://schemas.openxmlformats.org/officeDocument/2006/relationships/footer" Target="footer4.xml"/><Relationship Id="rId20" Type="http://schemas.openxmlformats.org/officeDocument/2006/relationships/hyperlink" Target="https://www.itu.int/md/S20-CL-C-0047/en"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spc="0" normalizeH="0" baseline="0">
                <a:solidFill>
                  <a:schemeClr val="dk1">
                    <a:lumMod val="50000"/>
                    <a:lumOff val="50000"/>
                  </a:schemeClr>
                </a:solidFill>
                <a:latin typeface="+mj-lt"/>
                <a:ea typeface="+mj-ea"/>
                <a:cs typeface="+mj-cs"/>
              </a:defRPr>
            </a:pPr>
            <a:r>
              <a:rPr lang="en-US" sz="1200" b="0">
                <a:solidFill>
                  <a:schemeClr val="tx1"/>
                </a:solidFill>
              </a:rPr>
              <a:t>31 October 2023 - IIN contact information status</a:t>
            </a:r>
            <a:br>
              <a:rPr lang="en-US" sz="1200" b="0">
                <a:solidFill>
                  <a:schemeClr val="tx1"/>
                </a:solidFill>
              </a:rPr>
            </a:br>
            <a:r>
              <a:rPr lang="en-US" sz="1200" b="0">
                <a:solidFill>
                  <a:schemeClr val="tx1"/>
                </a:solidFill>
              </a:rPr>
              <a:t>(total IIN records</a:t>
            </a:r>
            <a:r>
              <a:rPr lang="en-US" sz="1200" b="0" baseline="0">
                <a:solidFill>
                  <a:schemeClr val="tx1"/>
                </a:solidFill>
              </a:rPr>
              <a:t> = 898)</a:t>
            </a:r>
            <a:endParaRPr lang="en-US" sz="1200" b="0">
              <a:solidFill>
                <a:schemeClr val="tx1"/>
              </a:solidFill>
            </a:endParaRPr>
          </a:p>
        </c:rich>
      </c:tx>
      <c:layout>
        <c:manualLayout>
          <c:xMode val="edge"/>
          <c:yMode val="edge"/>
          <c:x val="4.290266841644795E-2"/>
          <c:y val="4.1666666666666664E-2"/>
        </c:manualLayout>
      </c:layout>
      <c:overlay val="0"/>
      <c:spPr>
        <a:noFill/>
        <a:ln>
          <a:noFill/>
        </a:ln>
        <a:effectLst/>
      </c:spPr>
      <c:txPr>
        <a:bodyPr rot="0" spcFirstLastPara="1" vertOverflow="ellipsis" vert="horz" wrap="square" anchor="ctr" anchorCtr="1"/>
        <a:lstStyle/>
        <a:p>
          <a:pPr algn="ct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dPt>
            <c:idx val="0"/>
            <c:bubble3D val="0"/>
            <c:spPr>
              <a:solidFill>
                <a:srgbClr val="00B050"/>
              </a:solidFill>
              <a:ln w="19050">
                <a:solidFill>
                  <a:schemeClr val="lt1"/>
                </a:solidFill>
              </a:ln>
              <a:effectLst/>
            </c:spPr>
            <c:extLst>
              <c:ext xmlns:c16="http://schemas.microsoft.com/office/drawing/2014/chart" uri="{C3380CC4-5D6E-409C-BE32-E72D297353CC}">
                <c16:uniqueId val="{00000001-A8CA-49C8-A3D8-E13C41242A9A}"/>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A8CA-49C8-A3D8-E13C41242A9A}"/>
              </c:ext>
            </c:extLst>
          </c:dPt>
          <c:dPt>
            <c:idx val="2"/>
            <c:bubble3D val="0"/>
            <c:spPr>
              <a:solidFill>
                <a:schemeClr val="accent2"/>
              </a:solidFill>
              <a:ln w="19050">
                <a:solidFill>
                  <a:schemeClr val="lt1"/>
                </a:solidFill>
              </a:ln>
              <a:effectLst/>
            </c:spPr>
            <c:extLst>
              <c:ext xmlns:c16="http://schemas.microsoft.com/office/drawing/2014/chart" uri="{C3380CC4-5D6E-409C-BE32-E72D297353CC}">
                <c16:uniqueId val="{00000005-A8CA-49C8-A3D8-E13C41242A9A}"/>
              </c:ext>
            </c:extLst>
          </c:dPt>
          <c:dPt>
            <c:idx val="3"/>
            <c:bubble3D val="0"/>
            <c:spPr>
              <a:solidFill>
                <a:schemeClr val="bg1">
                  <a:lumMod val="50000"/>
                </a:schemeClr>
              </a:solidFill>
              <a:ln w="19050">
                <a:solidFill>
                  <a:schemeClr val="lt1"/>
                </a:solidFill>
              </a:ln>
              <a:effectLst/>
            </c:spPr>
            <c:extLst>
              <c:ext xmlns:c16="http://schemas.microsoft.com/office/drawing/2014/chart" uri="{C3380CC4-5D6E-409C-BE32-E72D297353CC}">
                <c16:uniqueId val="{00000007-A8CA-49C8-A3D8-E13C41242A9A}"/>
              </c:ext>
            </c:extLst>
          </c:dPt>
          <c:dPt>
            <c:idx val="4"/>
            <c:bubble3D val="0"/>
            <c:spPr>
              <a:solidFill>
                <a:srgbClr val="FFC000"/>
              </a:solidFill>
              <a:ln w="19050">
                <a:solidFill>
                  <a:schemeClr val="lt1"/>
                </a:solidFill>
              </a:ln>
              <a:effectLst/>
            </c:spPr>
            <c:extLst>
              <c:ext xmlns:c16="http://schemas.microsoft.com/office/drawing/2014/chart" uri="{C3380CC4-5D6E-409C-BE32-E72D297353CC}">
                <c16:uniqueId val="{00000009-A8CA-49C8-A3D8-E13C41242A9A}"/>
              </c:ext>
            </c:extLst>
          </c:dPt>
          <c:dPt>
            <c:idx val="5"/>
            <c:bubble3D val="0"/>
            <c:spPr>
              <a:solidFill>
                <a:srgbClr val="0070C0"/>
              </a:solidFill>
              <a:ln w="19050">
                <a:solidFill>
                  <a:schemeClr val="lt1"/>
                </a:solidFill>
              </a:ln>
              <a:effectLst/>
            </c:spPr>
            <c:extLst>
              <c:ext xmlns:c16="http://schemas.microsoft.com/office/drawing/2014/chart" uri="{C3380CC4-5D6E-409C-BE32-E72D297353CC}">
                <c16:uniqueId val="{0000000B-A8CA-49C8-A3D8-E13C41242A9A}"/>
              </c:ext>
            </c:extLst>
          </c:dPt>
          <c:dLbls>
            <c:dLbl>
              <c:idx val="0"/>
              <c:tx>
                <c:rich>
                  <a:bodyPr/>
                  <a:lstStyle/>
                  <a:p>
                    <a:r>
                      <a:rPr lang="en-US"/>
                      <a:t>514</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8CA-49C8-A3D8-E13C41242A9A}"/>
                </c:ext>
              </c:extLst>
            </c:dLbl>
            <c:dLbl>
              <c:idx val="4"/>
              <c:layout>
                <c:manualLayout>
                  <c:x val="2.1744750656167978E-2"/>
                  <c:y val="3.9749198016914549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8CA-49C8-A3D8-E13C41242A9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Sheet1!$A$1:$A$6</c:f>
              <c:strCache>
                <c:ptCount val="6"/>
                <c:pt idx="0">
                  <c:v>contact info confirmed</c:v>
                </c:pt>
                <c:pt idx="1">
                  <c:v>Canada-
contact info in progress</c:v>
                </c:pt>
                <c:pt idx="2">
                  <c:v>USA-
contact info in progress</c:v>
                </c:pt>
                <c:pt idx="3">
                  <c:v>UK-
contact info in progress</c:v>
                </c:pt>
                <c:pt idx="4">
                  <c:v>Netherlands-
contact info in progress</c:v>
                </c:pt>
                <c:pt idx="5">
                  <c:v>Other countries-
contact info in progress</c:v>
                </c:pt>
              </c:strCache>
            </c:strRef>
          </c:cat>
          <c:val>
            <c:numRef>
              <c:f>Sheet1!$B$1:$B$6</c:f>
              <c:numCache>
                <c:formatCode>General</c:formatCode>
                <c:ptCount val="6"/>
                <c:pt idx="0">
                  <c:v>514</c:v>
                </c:pt>
                <c:pt idx="1">
                  <c:v>28</c:v>
                </c:pt>
                <c:pt idx="2">
                  <c:v>140</c:v>
                </c:pt>
                <c:pt idx="3">
                  <c:v>50</c:v>
                </c:pt>
                <c:pt idx="4">
                  <c:v>19</c:v>
                </c:pt>
                <c:pt idx="5">
                  <c:v>147</c:v>
                </c:pt>
              </c:numCache>
            </c:numRef>
          </c:val>
          <c:extLst>
            <c:ext xmlns:c16="http://schemas.microsoft.com/office/drawing/2014/chart" uri="{C3380CC4-5D6E-409C-BE32-E72D297353CC}">
              <c16:uniqueId val="{0000000C-A8CA-49C8-A3D8-E13C41242A9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664698162729663"/>
          <c:y val="0.1918773134127465"/>
          <c:w val="0.28335301837270344"/>
          <c:h val="0.7115445184736523"/>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3" ma:contentTypeDescription="Create a new document." ma:contentTypeScope="" ma:versionID="b463d01d744cd3e118a3270eabc75631">
  <xsd:schema xmlns:xsd="http://www.w3.org/2001/XMLSchema" xmlns:xs="http://www.w3.org/2001/XMLSchema" xmlns:p="http://schemas.microsoft.com/office/2006/metadata/properties" xmlns:ns2="085b46e1-7f22-4e81-9ba5-912dc5a5fd9a" targetNamespace="http://schemas.microsoft.com/office/2006/metadata/properties" ma:root="true" ma:fieldsID="5d4088d9f3955b72ef584b3d432ce6a6" ns2:_="">
    <xsd:import namespace="085b46e1-7f22-4e81-9ba5-912dc5a5fd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7D3EBF-7575-4F3F-96DC-B04D8A9CC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3D356-301B-49BE-B912-11C6117D8A32}">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4EAF1A8D-3EA7-4E94-86AF-9C8CABEFE2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1229</Words>
  <Characters>8572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Status report on implementation of Council Decisions 600 and 601 (UIFN, IIN)</vt:lpstr>
    </vt:vector>
  </TitlesOfParts>
  <Manager/>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on implementation of Council Decisions 600 and 601 (UIFN, IIN)</dc:title>
  <dc:subject>Council Working Group on Financial and Human Resources</dc:subject>
  <dc:creator/>
  <cp:keywords>CWG-FHR, C24, Council-24</cp:keywords>
  <dc:description/>
  <cp:lastModifiedBy/>
  <cp:revision>1</cp:revision>
  <dcterms:created xsi:type="dcterms:W3CDTF">2023-12-20T16:45:00Z</dcterms:created>
  <dcterms:modified xsi:type="dcterms:W3CDTF">2023-12-21T14:16:00Z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