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E6595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A377F29" w:rsidR="00AD3606" w:rsidRPr="00CE659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CE6595">
              <w:rPr>
                <w:b/>
                <w:lang w:val="it-IT"/>
              </w:rPr>
              <w:t>Document C</w:t>
            </w:r>
            <w:r w:rsidR="00A52C84" w:rsidRPr="00CE6595">
              <w:rPr>
                <w:b/>
                <w:lang w:val="it-IT"/>
              </w:rPr>
              <w:t>WG-</w:t>
            </w:r>
            <w:r w:rsidR="009F347C" w:rsidRPr="00CE6595">
              <w:rPr>
                <w:b/>
                <w:lang w:val="it-IT"/>
              </w:rPr>
              <w:t>FHR</w:t>
            </w:r>
            <w:r w:rsidR="00A52C84" w:rsidRPr="00CE6595">
              <w:rPr>
                <w:b/>
                <w:lang w:val="it-IT"/>
              </w:rPr>
              <w:t>-</w:t>
            </w:r>
            <w:r w:rsidR="002404ED" w:rsidRPr="00CE6595">
              <w:rPr>
                <w:b/>
                <w:lang w:val="it-IT"/>
              </w:rPr>
              <w:t>1</w:t>
            </w:r>
            <w:r w:rsidR="00260ACE" w:rsidRPr="00CE6595">
              <w:rPr>
                <w:b/>
                <w:lang w:val="it-IT"/>
              </w:rPr>
              <w:t>7</w:t>
            </w:r>
            <w:r w:rsidRPr="00CE6595">
              <w:rPr>
                <w:b/>
                <w:lang w:val="it-IT"/>
              </w:rPr>
              <w:t>/</w:t>
            </w:r>
            <w:r w:rsidR="00AF0C2B">
              <w:rPr>
                <w:b/>
                <w:lang w:val="it-IT"/>
              </w:rPr>
              <w:t>7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CAD360F" w:rsidR="00AD3606" w:rsidRPr="00E85629" w:rsidRDefault="000B1B0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D3606" w:rsidRPr="008C3EA3">
              <w:rPr>
                <w:b/>
              </w:rPr>
              <w:t xml:space="preserve"> </w:t>
            </w:r>
            <w:r w:rsidR="00260ACE" w:rsidRPr="008C3EA3">
              <w:rPr>
                <w:b/>
              </w:rPr>
              <w:t>December</w:t>
            </w:r>
            <w:r w:rsidR="00AD3606" w:rsidRPr="008C3EA3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7D9B91C" w:rsidR="00AD3606" w:rsidRPr="00676C7D" w:rsidRDefault="0055291B" w:rsidP="0055291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C</w:t>
            </w:r>
            <w:r w:rsidR="002245B8" w:rsidRPr="002245B8">
              <w:t>ontribution by the 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BC44046" w:rsidR="00AD3606" w:rsidRPr="00676C7D" w:rsidRDefault="002245B8" w:rsidP="0055291B">
            <w:pPr>
              <w:pStyle w:val="Subtitle"/>
              <w:framePr w:hSpace="0" w:wrap="auto" w:xAlign="left" w:yAlign="inline"/>
            </w:pPr>
            <w:bookmarkStart w:id="9" w:name="_Hlk153264623"/>
            <w:bookmarkStart w:id="10" w:name="dtitle1" w:colFirst="0" w:colLast="0"/>
            <w:bookmarkEnd w:id="8"/>
            <w:r w:rsidRPr="002245B8">
              <w:t xml:space="preserve">REPORT ON </w:t>
            </w:r>
            <w:r w:rsidR="00811713">
              <w:t xml:space="preserve">THE IMPLEMENTATION OF THE </w:t>
            </w:r>
            <w:r w:rsidRPr="002245B8">
              <w:t>RESOLUTION 217: ITU’S BUSINESS CONTINUITY MANAGEMENT FOR THE PERIOD 2023–2026</w:t>
            </w:r>
            <w:bookmarkEnd w:id="9"/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3EF3D804" w:rsidR="00AD3606" w:rsidRPr="00813E5E" w:rsidRDefault="002245B8" w:rsidP="00F16BAB">
            <w:r w:rsidRPr="002245B8">
              <w:t xml:space="preserve">To ensure the continuity of the Union’s activities, </w:t>
            </w:r>
            <w:r w:rsidR="008C3EA3">
              <w:t xml:space="preserve">the Plenipotentiary Conference (Bucharest, </w:t>
            </w:r>
            <w:r w:rsidR="008C3EA3" w:rsidRPr="008C3EA3">
              <w:rPr>
                <w:spacing w:val="4"/>
              </w:rPr>
              <w:t>2022)</w:t>
            </w:r>
            <w:r w:rsidRPr="008C3EA3">
              <w:rPr>
                <w:spacing w:val="4"/>
              </w:rPr>
              <w:t xml:space="preserve"> approved Resolution 217: ITU’s Business Continuity Management for the period</w:t>
            </w:r>
            <w:r w:rsidRPr="002245B8">
              <w:t xml:space="preserve"> 2023–2026. This document aims to provide to </w:t>
            </w:r>
            <w:r w:rsidR="0055291B">
              <w:t xml:space="preserve">the </w:t>
            </w:r>
            <w:r w:rsidRPr="002245B8">
              <w:t>Council</w:t>
            </w:r>
            <w:r w:rsidR="0055291B">
              <w:t xml:space="preserve"> Working Group </w:t>
            </w:r>
            <w:r w:rsidR="00FB34A0">
              <w:t>an</w:t>
            </w:r>
            <w:r w:rsidR="00984D27">
              <w:t xml:space="preserve"> update on the development of </w:t>
            </w:r>
            <w:r w:rsidRPr="002245B8">
              <w:t>a</w:t>
            </w:r>
            <w:r w:rsidR="000B1B09">
              <w:t xml:space="preserve"> </w:t>
            </w:r>
            <w:r w:rsidRPr="002245B8">
              <w:t>business continuity strategy; together with related action plan; financial plan; and risk assessment.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53A776F1" w14:textId="6B6E3CAC" w:rsidR="00891503" w:rsidRDefault="00FB34A0" w:rsidP="00F16BAB">
            <w:pPr>
              <w:spacing w:before="160"/>
            </w:pPr>
            <w:r w:rsidRPr="002245B8">
              <w:t>Council</w:t>
            </w:r>
            <w:r>
              <w:rPr>
                <w:rStyle w:val="CommentReference"/>
              </w:rPr>
              <w:t xml:space="preserve"> </w:t>
            </w:r>
            <w:r>
              <w:t>Working</w:t>
            </w:r>
            <w:r w:rsidR="00C247EA">
              <w:t xml:space="preserve"> Group FHR</w:t>
            </w:r>
            <w:r w:rsidR="002245B8" w:rsidRPr="002245B8">
              <w:t xml:space="preserve"> is invited to </w:t>
            </w:r>
            <w:r w:rsidR="002245B8" w:rsidRPr="002245B8">
              <w:rPr>
                <w:b/>
                <w:bCs/>
              </w:rPr>
              <w:t xml:space="preserve">take </w:t>
            </w:r>
            <w:r w:rsidR="00AC5A23">
              <w:rPr>
                <w:b/>
                <w:bCs/>
              </w:rPr>
              <w:t xml:space="preserve">note of </w:t>
            </w:r>
            <w:r w:rsidR="00AC5A23" w:rsidRPr="000B1B09">
              <w:t>this report</w:t>
            </w:r>
            <w:r w:rsidR="002E0CA3" w:rsidRPr="000B1B09">
              <w:t>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750E0273" w:rsidR="00AD3606" w:rsidRDefault="00AF0C2B" w:rsidP="00F16BAB">
            <w:pPr>
              <w:spacing w:after="160"/>
            </w:pPr>
            <w:hyperlink r:id="rId8" w:history="1">
              <w:r w:rsidR="002245B8" w:rsidRPr="008C3EA3">
                <w:rPr>
                  <w:rStyle w:val="Hyperlink"/>
                </w:rPr>
                <w:t>Resolution 217</w:t>
              </w:r>
            </w:hyperlink>
            <w:r w:rsidR="002245B8" w:rsidRPr="008C3EA3">
              <w:t xml:space="preserve"> (Rev. Bucharest, 2022)</w:t>
            </w:r>
            <w:r w:rsidR="002245B8" w:rsidRPr="008C3EA3">
              <w:rPr>
                <w:rStyle w:val="Hyperlink"/>
                <w:color w:val="auto"/>
                <w:u w:val="none"/>
              </w:rPr>
              <w:t xml:space="preserve"> of the Plenipotentiary Conference</w:t>
            </w:r>
          </w:p>
        </w:tc>
      </w:tr>
    </w:tbl>
    <w:p w14:paraId="4CDB8B60" w14:textId="77777777" w:rsidR="00E227F3" w:rsidRPr="002245B8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2245B8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2245B8">
        <w:br w:type="page"/>
      </w:r>
    </w:p>
    <w:bookmarkEnd w:id="5"/>
    <w:bookmarkEnd w:id="11"/>
    <w:p w14:paraId="720F18E5" w14:textId="77777777" w:rsidR="002245B8" w:rsidRPr="00E53F24" w:rsidRDefault="002245B8" w:rsidP="008C3EA3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0" w:firstLine="0"/>
        <w:outlineLvl w:val="0"/>
        <w:rPr>
          <w:b/>
          <w:szCs w:val="24"/>
        </w:rPr>
      </w:pPr>
      <w:r w:rsidRPr="00E53F24">
        <w:rPr>
          <w:b/>
          <w:szCs w:val="24"/>
        </w:rPr>
        <w:lastRenderedPageBreak/>
        <w:t>Background</w:t>
      </w:r>
    </w:p>
    <w:p w14:paraId="68876A19" w14:textId="77777777" w:rsidR="00E413F4" w:rsidRPr="00E413F4" w:rsidRDefault="00E413F4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  <w:bdr w:val="none" w:sz="0" w:space="0" w:color="auto" w:frame="1"/>
        </w:rPr>
      </w:pPr>
      <w:bookmarkStart w:id="12" w:name="_Hlk153374361"/>
      <w:r w:rsidRPr="00E413F4">
        <w:rPr>
          <w:rFonts w:cs="Calibri"/>
          <w:color w:val="000000"/>
          <w:bdr w:val="none" w:sz="0" w:space="0" w:color="auto" w:frame="1"/>
        </w:rPr>
        <w:t>The business continuity strategy, encompassing actions, financial plans, and risk assessments, aims to fortify ITU's resilience, ensuring seamless operations despite potential disruptions.</w:t>
      </w:r>
    </w:p>
    <w:p w14:paraId="2DFE3FB6" w14:textId="1A1745E0" w:rsidR="00E413F4" w:rsidRPr="00E413F4" w:rsidRDefault="00E413F4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  <w:bdr w:val="none" w:sz="0" w:space="0" w:color="auto" w:frame="1"/>
        </w:rPr>
      </w:pPr>
      <w:r w:rsidRPr="00E413F4">
        <w:rPr>
          <w:rFonts w:cs="Calibri"/>
          <w:color w:val="000000"/>
          <w:bdr w:val="none" w:sz="0" w:space="0" w:color="auto" w:frame="1"/>
        </w:rPr>
        <w:t xml:space="preserve">Resolution 217, </w:t>
      </w:r>
      <w:r w:rsidR="0055291B">
        <w:rPr>
          <w:rFonts w:cs="Calibri"/>
          <w:color w:val="000000"/>
          <w:bdr w:val="none" w:sz="0" w:space="0" w:color="auto" w:frame="1"/>
        </w:rPr>
        <w:t>adopted by</w:t>
      </w:r>
      <w:r w:rsidR="0055291B" w:rsidRPr="00E413F4">
        <w:rPr>
          <w:rFonts w:cs="Calibri"/>
          <w:color w:val="000000"/>
          <w:bdr w:val="none" w:sz="0" w:space="0" w:color="auto" w:frame="1"/>
        </w:rPr>
        <w:t xml:space="preserve"> </w:t>
      </w:r>
      <w:r w:rsidRPr="00E413F4">
        <w:rPr>
          <w:rFonts w:cs="Calibri"/>
          <w:color w:val="000000"/>
          <w:bdr w:val="none" w:sz="0" w:space="0" w:color="auto" w:frame="1"/>
        </w:rPr>
        <w:t>PP</w:t>
      </w:r>
      <w:r w:rsidR="000B1B09">
        <w:rPr>
          <w:rFonts w:cs="Calibri"/>
          <w:color w:val="000000"/>
          <w:bdr w:val="none" w:sz="0" w:space="0" w:color="auto" w:frame="1"/>
        </w:rPr>
        <w:t>-</w:t>
      </w:r>
      <w:r w:rsidRPr="00E413F4">
        <w:rPr>
          <w:rFonts w:cs="Calibri"/>
          <w:color w:val="000000"/>
          <w:bdr w:val="none" w:sz="0" w:space="0" w:color="auto" w:frame="1"/>
        </w:rPr>
        <w:t>22, mandated measures for ITU to secure business continuity, considering, among others, the plans and timelines established for the new headquarters. With the planned demolition</w:t>
      </w:r>
      <w:r w:rsidR="0055291B">
        <w:rPr>
          <w:rFonts w:cs="Calibri"/>
          <w:color w:val="000000"/>
          <w:bdr w:val="none" w:sz="0" w:space="0" w:color="auto" w:frame="1"/>
        </w:rPr>
        <w:t xml:space="preserve"> of </w:t>
      </w:r>
      <w:proofErr w:type="spellStart"/>
      <w:r w:rsidR="0055291B">
        <w:rPr>
          <w:rFonts w:cs="Calibri"/>
          <w:color w:val="000000"/>
          <w:bdr w:val="none" w:sz="0" w:space="0" w:color="auto" w:frame="1"/>
        </w:rPr>
        <w:t>Varembe</w:t>
      </w:r>
      <w:proofErr w:type="spellEnd"/>
      <w:r w:rsidR="0055291B">
        <w:rPr>
          <w:rFonts w:cs="Calibri"/>
          <w:color w:val="000000"/>
          <w:bdr w:val="none" w:sz="0" w:space="0" w:color="auto" w:frame="1"/>
        </w:rPr>
        <w:t xml:space="preserve"> building</w:t>
      </w:r>
      <w:r w:rsidRPr="00E413F4">
        <w:rPr>
          <w:rFonts w:cs="Calibri"/>
          <w:color w:val="000000"/>
          <w:bdr w:val="none" w:sz="0" w:space="0" w:color="auto" w:frame="1"/>
        </w:rPr>
        <w:t xml:space="preserve"> in 2023 impacting ITU activities, an urgent strategy, action plan, financial planning, and risk identification were imperative.</w:t>
      </w:r>
    </w:p>
    <w:p w14:paraId="0DDF01E9" w14:textId="77777777" w:rsidR="00E413F4" w:rsidRPr="00E413F4" w:rsidRDefault="00E413F4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  <w:bdr w:val="none" w:sz="0" w:space="0" w:color="auto" w:frame="1"/>
        </w:rPr>
      </w:pPr>
      <w:r w:rsidRPr="00E413F4">
        <w:rPr>
          <w:rFonts w:cs="Calibri"/>
          <w:color w:val="000000"/>
          <w:bdr w:val="none" w:sz="0" w:space="0" w:color="auto" w:frame="1"/>
        </w:rPr>
        <w:t>However, developments in the new building project in 2023 prompted a postponement in project initiation, introducing uncertainties in financial implications. To address this uncertainty, a high-level strategy and action plan for ITU's business continuity are outlined, with financial details slated for Council 24, providing clearer information.</w:t>
      </w:r>
    </w:p>
    <w:p w14:paraId="3F59047D" w14:textId="15E4E554" w:rsidR="00E413F4" w:rsidRPr="00E413F4" w:rsidRDefault="00E413F4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  <w:bdr w:val="none" w:sz="0" w:space="0" w:color="auto" w:frame="1"/>
        </w:rPr>
      </w:pPr>
      <w:r w:rsidRPr="00E413F4">
        <w:rPr>
          <w:rFonts w:cs="Calibri"/>
          <w:color w:val="000000"/>
          <w:bdr w:val="none" w:sz="0" w:space="0" w:color="auto" w:frame="1"/>
        </w:rPr>
        <w:t>The document references several reports that estimate the impact of various business continuity actions, providing ongoing assessments.</w:t>
      </w:r>
    </w:p>
    <w:bookmarkEnd w:id="12"/>
    <w:p w14:paraId="1A7A09BC" w14:textId="001D9E75" w:rsidR="002245B8" w:rsidRPr="00960730" w:rsidRDefault="002245B8" w:rsidP="008C3EA3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ind w:left="0" w:firstLine="0"/>
        <w:outlineLvl w:val="0"/>
        <w:rPr>
          <w:b/>
          <w:szCs w:val="24"/>
        </w:rPr>
      </w:pPr>
      <w:r w:rsidRPr="00960730">
        <w:rPr>
          <w:b/>
          <w:szCs w:val="24"/>
        </w:rPr>
        <w:t>Business continuity strategy</w:t>
      </w:r>
      <w:r>
        <w:rPr>
          <w:b/>
          <w:szCs w:val="24"/>
        </w:rPr>
        <w:t xml:space="preserve"> and action plan </w:t>
      </w:r>
    </w:p>
    <w:p w14:paraId="56D43FD2" w14:textId="77777777" w:rsidR="002245B8" w:rsidRPr="00E53F24" w:rsidRDefault="002245B8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284" w:firstLine="0"/>
        <w:jc w:val="both"/>
        <w:textAlignment w:val="auto"/>
        <w:rPr>
          <w:rFonts w:cs="Calibri"/>
          <w:color w:val="000000"/>
          <w:bdr w:val="none" w:sz="0" w:space="0" w:color="auto" w:frame="1"/>
        </w:rPr>
      </w:pPr>
      <w:r w:rsidRPr="2E0304DB">
        <w:rPr>
          <w:rFonts w:cs="Calibri"/>
          <w:color w:val="000000"/>
          <w:bdr w:val="none" w:sz="0" w:space="0" w:color="auto" w:frame="1"/>
        </w:rPr>
        <w:t>The objective of the strategy</w:t>
      </w:r>
      <w:r>
        <w:rPr>
          <w:rFonts w:cs="Calibri"/>
          <w:color w:val="000000"/>
          <w:bdr w:val="none" w:sz="0" w:space="0" w:color="auto" w:frame="1"/>
        </w:rPr>
        <w:t xml:space="preserve"> and action plan</w:t>
      </w:r>
      <w:r w:rsidRPr="2E0304DB">
        <w:rPr>
          <w:rFonts w:cs="Calibri"/>
          <w:color w:val="000000"/>
          <w:bdr w:val="none" w:sz="0" w:space="0" w:color="auto" w:frame="1"/>
        </w:rPr>
        <w:t xml:space="preserve"> is to render ITU more </w:t>
      </w:r>
      <w:r>
        <w:rPr>
          <w:rFonts w:cs="Calibri"/>
          <w:color w:val="000000"/>
          <w:bdr w:val="none" w:sz="0" w:space="0" w:color="auto" w:frame="1"/>
        </w:rPr>
        <w:t xml:space="preserve">resilient </w:t>
      </w:r>
      <w:r w:rsidRPr="2E0304DB">
        <w:rPr>
          <w:rFonts w:cs="Calibri"/>
          <w:color w:val="000000"/>
          <w:bdr w:val="none" w:sz="0" w:space="0" w:color="auto" w:frame="1"/>
        </w:rPr>
        <w:t>to anticipate, absorb, accommodate, and recover from disruptive events, including those that may</w:t>
      </w:r>
      <w:r>
        <w:rPr>
          <w:rFonts w:cs="Calibri"/>
          <w:color w:val="000000"/>
          <w:bdr w:val="none" w:sz="0" w:space="0" w:color="auto" w:frame="1"/>
        </w:rPr>
        <w:t xml:space="preserve"> eventually arise when</w:t>
      </w:r>
      <w:r w:rsidRPr="2E0304DB">
        <w:rPr>
          <w:rFonts w:cs="Calibri"/>
          <w:color w:val="000000"/>
          <w:bdr w:val="none" w:sz="0" w:space="0" w:color="auto" w:frame="1"/>
        </w:rPr>
        <w:t xml:space="preserve"> the </w:t>
      </w:r>
      <w:r>
        <w:rPr>
          <w:rFonts w:cs="Calibri"/>
          <w:color w:val="000000"/>
          <w:bdr w:val="none" w:sz="0" w:space="0" w:color="auto" w:frame="1"/>
        </w:rPr>
        <w:t>new headquarters premises</w:t>
      </w:r>
      <w:r w:rsidRPr="2E0304DB">
        <w:rPr>
          <w:rFonts w:cs="Calibri"/>
          <w:color w:val="000000"/>
          <w:bdr w:val="none" w:sz="0" w:space="0" w:color="auto" w:frame="1"/>
        </w:rPr>
        <w:t xml:space="preserve"> project</w:t>
      </w:r>
      <w:r>
        <w:rPr>
          <w:rFonts w:cs="Calibri"/>
          <w:color w:val="000000"/>
          <w:bdr w:val="none" w:sz="0" w:space="0" w:color="auto" w:frame="1"/>
        </w:rPr>
        <w:t xml:space="preserve"> is started.</w:t>
      </w:r>
      <w:r w:rsidRPr="2E0304DB">
        <w:rPr>
          <w:rFonts w:cs="Calibri"/>
          <w:color w:val="000000"/>
          <w:bdr w:val="none" w:sz="0" w:space="0" w:color="auto" w:frame="1"/>
        </w:rPr>
        <w:t xml:space="preserve"> The strategy</w:t>
      </w:r>
      <w:r>
        <w:rPr>
          <w:rFonts w:cs="Calibri"/>
          <w:color w:val="000000"/>
          <w:bdr w:val="none" w:sz="0" w:space="0" w:color="auto" w:frame="1"/>
        </w:rPr>
        <w:t xml:space="preserve"> and action plans</w:t>
      </w:r>
      <w:r w:rsidRPr="2E0304DB">
        <w:rPr>
          <w:rFonts w:cs="Calibri"/>
          <w:color w:val="000000"/>
          <w:bdr w:val="none" w:sz="0" w:space="0" w:color="auto" w:frame="1"/>
        </w:rPr>
        <w:t xml:space="preserve"> revolve around four main workstreams:</w:t>
      </w:r>
    </w:p>
    <w:p w14:paraId="27A142EB" w14:textId="77777777" w:rsidR="002245B8" w:rsidRPr="0023262D" w:rsidRDefault="002245B8" w:rsidP="00EB193F">
      <w:pPr>
        <w:numPr>
          <w:ilvl w:val="0"/>
          <w:numId w:val="3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993" w:hanging="425"/>
        <w:rPr>
          <w:rFonts w:cs="Calibri"/>
          <w:color w:val="000000"/>
          <w:szCs w:val="24"/>
          <w:lang w:eastAsia="en-CA"/>
        </w:rPr>
      </w:pPr>
      <w:r>
        <w:rPr>
          <w:rFonts w:cs="Calibri"/>
          <w:color w:val="000000"/>
          <w:szCs w:val="24"/>
          <w:bdr w:val="none" w:sz="0" w:space="0" w:color="auto" w:frame="1"/>
          <w:lang w:eastAsia="en-CA"/>
        </w:rPr>
        <w:t>L</w:t>
      </w:r>
      <w:r w:rsidRPr="0023262D">
        <w:rPr>
          <w:rFonts w:cs="Calibri"/>
          <w:color w:val="000000"/>
          <w:szCs w:val="24"/>
          <w:bdr w:val="none" w:sz="0" w:space="0" w:color="auto" w:frame="1"/>
          <w:lang w:eastAsia="en-CA"/>
        </w:rPr>
        <w:t>everaging measures and technical solutions to provide alternative remote working and meeting arrangements;</w:t>
      </w:r>
      <w:r>
        <w:rPr>
          <w:rStyle w:val="FootnoteReference"/>
          <w:rFonts w:cs="Calibri"/>
          <w:color w:val="000000"/>
          <w:szCs w:val="24"/>
          <w:bdr w:val="none" w:sz="0" w:space="0" w:color="auto" w:frame="1"/>
          <w:lang w:eastAsia="en-CA"/>
        </w:rPr>
        <w:footnoteReference w:id="1"/>
      </w:r>
      <w:r w:rsidRPr="0023262D"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 and</w:t>
      </w:r>
    </w:p>
    <w:p w14:paraId="7090ECDD" w14:textId="77777777" w:rsidR="002245B8" w:rsidRDefault="002245B8" w:rsidP="00EB193F">
      <w:pPr>
        <w:numPr>
          <w:ilvl w:val="0"/>
          <w:numId w:val="3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993" w:hanging="425"/>
        <w:rPr>
          <w:rFonts w:cs="Calibri"/>
          <w:color w:val="000000"/>
          <w:szCs w:val="24"/>
          <w:bdr w:val="none" w:sz="0" w:space="0" w:color="auto" w:frame="1"/>
          <w:lang w:eastAsia="en-CA"/>
        </w:rPr>
      </w:pPr>
      <w:r w:rsidRPr="00E53F24">
        <w:rPr>
          <w:rFonts w:cs="Calibri"/>
          <w:color w:val="000000"/>
          <w:szCs w:val="24"/>
          <w:bdr w:val="none" w:sz="0" w:space="0" w:color="auto" w:frame="1"/>
          <w:lang w:eastAsia="en-CA"/>
        </w:rPr>
        <w:t>Ongoing resilience activities and related transformation initiatives</w:t>
      </w:r>
      <w:r>
        <w:rPr>
          <w:rFonts w:cs="Calibri"/>
          <w:color w:val="000000"/>
          <w:szCs w:val="24"/>
          <w:bdr w:val="none" w:sz="0" w:space="0" w:color="auto" w:frame="1"/>
          <w:lang w:eastAsia="en-CA"/>
        </w:rPr>
        <w:t>;</w:t>
      </w:r>
      <w:r>
        <w:rPr>
          <w:rStyle w:val="FootnoteReference"/>
          <w:rFonts w:cs="Calibri"/>
          <w:color w:val="000000"/>
          <w:szCs w:val="24"/>
          <w:bdr w:val="none" w:sz="0" w:space="0" w:color="auto" w:frame="1"/>
          <w:lang w:eastAsia="en-CA"/>
        </w:rPr>
        <w:footnoteReference w:id="2"/>
      </w:r>
      <w:r w:rsidRPr="003B5EFD"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 </w:t>
      </w:r>
    </w:p>
    <w:p w14:paraId="02DBBCAC" w14:textId="77777777" w:rsidR="002245B8" w:rsidRPr="00E53F24" w:rsidRDefault="002245B8" w:rsidP="00EB193F">
      <w:pPr>
        <w:numPr>
          <w:ilvl w:val="0"/>
          <w:numId w:val="3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993" w:hanging="425"/>
        <w:rPr>
          <w:rFonts w:cs="Calibri"/>
          <w:color w:val="000000"/>
          <w:szCs w:val="24"/>
          <w:bdr w:val="none" w:sz="0" w:space="0" w:color="auto" w:frame="1"/>
          <w:lang w:eastAsia="en-CA"/>
        </w:rPr>
      </w:pPr>
      <w:r w:rsidRPr="00E53F24"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Optimizing the use of the remaining workspace </w:t>
      </w:r>
      <w:r>
        <w:rPr>
          <w:rFonts w:cs="Calibri"/>
          <w:color w:val="000000"/>
          <w:szCs w:val="24"/>
          <w:bdr w:val="none" w:sz="0" w:space="0" w:color="auto" w:frame="1"/>
          <w:lang w:eastAsia="en-CA"/>
        </w:rPr>
        <w:t>at</w:t>
      </w:r>
      <w:r w:rsidRPr="00E53F24"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 ITU </w:t>
      </w:r>
      <w:r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headquarters </w:t>
      </w:r>
      <w:r w:rsidRPr="00E53F24">
        <w:rPr>
          <w:rFonts w:cs="Calibri"/>
          <w:color w:val="000000"/>
          <w:szCs w:val="24"/>
          <w:bdr w:val="none" w:sz="0" w:space="0" w:color="auto" w:frame="1"/>
          <w:lang w:eastAsia="en-CA"/>
        </w:rPr>
        <w:t>during the construction project;</w:t>
      </w:r>
      <w:r>
        <w:rPr>
          <w:rStyle w:val="FootnoteReference"/>
          <w:rFonts w:cs="Calibri"/>
          <w:color w:val="000000"/>
          <w:szCs w:val="24"/>
          <w:bdr w:val="none" w:sz="0" w:space="0" w:color="auto" w:frame="1"/>
          <w:lang w:eastAsia="en-CA"/>
        </w:rPr>
        <w:footnoteReference w:id="3"/>
      </w:r>
      <w:r w:rsidRPr="00E53F24">
        <w:rPr>
          <w:rFonts w:cs="Calibri"/>
          <w:color w:val="000000"/>
          <w:szCs w:val="24"/>
          <w:bdr w:val="none" w:sz="0" w:space="0" w:color="auto" w:frame="1"/>
          <w:lang w:eastAsia="en-CA"/>
        </w:rPr>
        <w:t> </w:t>
      </w:r>
    </w:p>
    <w:p w14:paraId="42E1B2A1" w14:textId="52BA8F47" w:rsidR="002245B8" w:rsidRPr="00BE54FE" w:rsidRDefault="002245B8" w:rsidP="00EB193F">
      <w:pPr>
        <w:numPr>
          <w:ilvl w:val="0"/>
          <w:numId w:val="3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993" w:hanging="425"/>
        <w:rPr>
          <w:rFonts w:cs="Calibri"/>
          <w:color w:val="000000"/>
          <w:szCs w:val="24"/>
          <w:lang w:eastAsia="en-CA"/>
        </w:rPr>
      </w:pPr>
      <w:r w:rsidRPr="0023262D">
        <w:rPr>
          <w:rFonts w:cs="Calibri"/>
          <w:color w:val="000000"/>
          <w:szCs w:val="24"/>
          <w:bdr w:val="none" w:sz="0" w:space="0" w:color="auto" w:frame="1"/>
          <w:lang w:eastAsia="en-CA"/>
        </w:rPr>
        <w:t>Finding alternative venues for events that could no longer be held at ITU headquarters</w:t>
      </w:r>
      <w:r>
        <w:rPr>
          <w:rFonts w:cs="Calibri"/>
          <w:color w:val="000000"/>
          <w:szCs w:val="24"/>
          <w:bdr w:val="none" w:sz="0" w:space="0" w:color="auto" w:frame="1"/>
          <w:lang w:eastAsia="en-CA"/>
        </w:rPr>
        <w:t xml:space="preserve"> during construction.</w:t>
      </w:r>
    </w:p>
    <w:p w14:paraId="678EA168" w14:textId="77777777" w:rsidR="002245B8" w:rsidRPr="00350AF2" w:rsidRDefault="002245B8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284" w:firstLine="0"/>
        <w:jc w:val="both"/>
        <w:textAlignment w:val="auto"/>
        <w:rPr>
          <w:b/>
          <w:szCs w:val="24"/>
        </w:rPr>
      </w:pPr>
      <w:r>
        <w:rPr>
          <w:rFonts w:cs="Calibri"/>
          <w:color w:val="000000"/>
          <w:bdr w:val="none" w:sz="0" w:space="0" w:color="auto" w:frame="1"/>
        </w:rPr>
        <w:t>The</w:t>
      </w:r>
      <w:r w:rsidRPr="2E0304DB">
        <w:rPr>
          <w:rFonts w:cs="Calibri"/>
          <w:color w:val="000000"/>
          <w:bdr w:val="none" w:sz="0" w:space="0" w:color="auto" w:frame="1"/>
        </w:rPr>
        <w:t xml:space="preserve"> strategy</w:t>
      </w:r>
      <w:r w:rsidRPr="1F1D747D">
        <w:rPr>
          <w:rFonts w:cs="Calibri"/>
          <w:color w:val="000000" w:themeColor="text1"/>
        </w:rPr>
        <w:t xml:space="preserve"> and </w:t>
      </w:r>
      <w:r w:rsidRPr="2E0304DB">
        <w:rPr>
          <w:rFonts w:cs="Calibri"/>
          <w:color w:val="000000"/>
          <w:bdr w:val="none" w:sz="0" w:space="0" w:color="auto" w:frame="1"/>
        </w:rPr>
        <w:t>related action plan are rolling in nature</w:t>
      </w:r>
      <w:r>
        <w:rPr>
          <w:rFonts w:cs="Calibri"/>
          <w:color w:val="000000"/>
          <w:bdr w:val="none" w:sz="0" w:space="0" w:color="auto" w:frame="1"/>
        </w:rPr>
        <w:t>,</w:t>
      </w:r>
      <w:r w:rsidRPr="2E0304DB">
        <w:rPr>
          <w:rFonts w:cs="Calibri"/>
          <w:color w:val="000000"/>
          <w:bdr w:val="none" w:sz="0" w:space="0" w:color="auto" w:frame="1"/>
        </w:rPr>
        <w:t xml:space="preserve"> will require flexibility </w:t>
      </w:r>
      <w:r w:rsidRPr="00EA3A5F">
        <w:rPr>
          <w:rFonts w:cs="Calibri"/>
          <w:color w:val="000000"/>
          <w:bdr w:val="none" w:sz="0" w:space="0" w:color="auto" w:frame="1"/>
        </w:rPr>
        <w:t xml:space="preserve">and will be further updated and </w:t>
      </w:r>
      <w:r>
        <w:rPr>
          <w:rFonts w:cs="Calibri"/>
          <w:color w:val="000000"/>
          <w:bdr w:val="none" w:sz="0" w:space="0" w:color="auto" w:frame="1"/>
        </w:rPr>
        <w:t>developed</w:t>
      </w:r>
      <w:r w:rsidRPr="00EA3A5F">
        <w:rPr>
          <w:rFonts w:cs="Calibri"/>
          <w:color w:val="000000"/>
          <w:bdr w:val="none" w:sz="0" w:space="0" w:color="auto" w:frame="1"/>
        </w:rPr>
        <w:t xml:space="preserve"> to account </w:t>
      </w:r>
      <w:r w:rsidRPr="00EA3A5F">
        <w:rPr>
          <w:szCs w:val="24"/>
        </w:rPr>
        <w:t>for changing circumstances and exigencies.</w:t>
      </w:r>
    </w:p>
    <w:p w14:paraId="65D2F83B" w14:textId="77777777" w:rsidR="002245B8" w:rsidRPr="005F4534" w:rsidRDefault="002245B8" w:rsidP="008C3EA3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ind w:left="0" w:firstLine="0"/>
        <w:outlineLvl w:val="0"/>
        <w:rPr>
          <w:b/>
          <w:bCs/>
          <w:szCs w:val="24"/>
        </w:rPr>
      </w:pPr>
      <w:r w:rsidRPr="00AB279C">
        <w:rPr>
          <w:b/>
          <w:szCs w:val="24"/>
        </w:rPr>
        <w:lastRenderedPageBreak/>
        <w:t>Financial</w:t>
      </w:r>
      <w:r w:rsidRPr="005F4534">
        <w:rPr>
          <w:b/>
          <w:bCs/>
          <w:szCs w:val="24"/>
        </w:rPr>
        <w:t xml:space="preserve"> plan</w:t>
      </w:r>
    </w:p>
    <w:p w14:paraId="4B7B8497" w14:textId="44A8DBF3" w:rsidR="00834F70" w:rsidRPr="00834F70" w:rsidRDefault="00834F70" w:rsidP="00834F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</w:rPr>
      </w:pPr>
      <w:r w:rsidRPr="00834F70">
        <w:rPr>
          <w:rFonts w:cs="Calibri"/>
          <w:color w:val="000000"/>
        </w:rPr>
        <w:t xml:space="preserve">Due to a lack of </w:t>
      </w:r>
      <w:r w:rsidR="0055291B">
        <w:rPr>
          <w:rFonts w:cs="Calibri"/>
          <w:color w:val="000000"/>
        </w:rPr>
        <w:t>certainty</w:t>
      </w:r>
      <w:r w:rsidRPr="00834F70">
        <w:rPr>
          <w:rFonts w:cs="Calibri"/>
          <w:color w:val="000000"/>
        </w:rPr>
        <w:t xml:space="preserve"> concerning the timeline of the upcoming building project and its potential implications for ITU activities in 2023-202</w:t>
      </w:r>
      <w:r w:rsidR="008323D9">
        <w:rPr>
          <w:rFonts w:cs="Calibri"/>
          <w:color w:val="000000"/>
        </w:rPr>
        <w:t>6</w:t>
      </w:r>
      <w:r w:rsidRPr="00834F70">
        <w:rPr>
          <w:rFonts w:cs="Calibri"/>
          <w:color w:val="000000"/>
        </w:rPr>
        <w:t>, a detailed financial plan could not be finalized at this time.</w:t>
      </w:r>
    </w:p>
    <w:p w14:paraId="5C9A6F98" w14:textId="033E6871" w:rsidR="00834F70" w:rsidRPr="00834F70" w:rsidRDefault="00834F70" w:rsidP="00834F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</w:rPr>
      </w:pPr>
      <w:r w:rsidRPr="00834F70">
        <w:rPr>
          <w:rFonts w:cs="Calibri"/>
          <w:color w:val="000000"/>
        </w:rPr>
        <w:t xml:space="preserve">Several crucial reports have been submitted to the Council, </w:t>
      </w:r>
      <w:r w:rsidR="006E7F95" w:rsidRPr="00834F70">
        <w:rPr>
          <w:rFonts w:cs="Calibri"/>
          <w:color w:val="000000"/>
        </w:rPr>
        <w:t>after</w:t>
      </w:r>
      <w:r w:rsidRPr="00834F70">
        <w:rPr>
          <w:rFonts w:cs="Calibri"/>
          <w:color w:val="000000"/>
        </w:rPr>
        <w:t xml:space="preserve"> the </w:t>
      </w:r>
      <w:r w:rsidR="0055291B">
        <w:rPr>
          <w:rFonts w:cs="Calibri"/>
          <w:color w:val="000000"/>
        </w:rPr>
        <w:t>R</w:t>
      </w:r>
      <w:r w:rsidRPr="00834F70">
        <w:rPr>
          <w:rFonts w:cs="Calibri"/>
          <w:color w:val="000000"/>
        </w:rPr>
        <w:t>esolution's approval, outlining the resource requirements for the execution of activities associated with the business continuity strategy and plan. These reports include:</w:t>
      </w:r>
    </w:p>
    <w:p w14:paraId="2BB7F2C9" w14:textId="65680588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C23/7 (Rev1) - Report on the Union's headquarters premises project</w:t>
      </w:r>
    </w:p>
    <w:p w14:paraId="4AE9D752" w14:textId="5E0E1268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 xml:space="preserve">C23/52 - Transformation roadmap to achieve organizational </w:t>
      </w:r>
      <w:r w:rsidR="006E7F95" w:rsidRPr="00684F66">
        <w:rPr>
          <w:rFonts w:cs="Calibri"/>
          <w:color w:val="000000"/>
        </w:rPr>
        <w:t>excellence.</w:t>
      </w:r>
    </w:p>
    <w:p w14:paraId="07F63783" w14:textId="58654520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C23/54 - Report on the implementation of Resolution 167 (Rev. Bucharest, 2022) of the Plenipotentiary Conference</w:t>
      </w:r>
    </w:p>
    <w:p w14:paraId="0BBC6473" w14:textId="7A278841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C23/INF</w:t>
      </w:r>
      <w:r w:rsidR="000B1B09">
        <w:rPr>
          <w:rFonts w:cs="Calibri"/>
          <w:color w:val="000000"/>
        </w:rPr>
        <w:t>/</w:t>
      </w:r>
      <w:r w:rsidRPr="00684F66">
        <w:rPr>
          <w:rFonts w:cs="Calibri"/>
          <w:color w:val="000000"/>
        </w:rPr>
        <w:t>11 - Assess &amp; Transform: Evaluating Current State and Developing an IT Roadmap for ITU's Service Excellence and Growth</w:t>
      </w:r>
    </w:p>
    <w:p w14:paraId="55664AAC" w14:textId="739D6B70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C23Add</w:t>
      </w:r>
      <w:r w:rsidR="0055291B">
        <w:rPr>
          <w:rFonts w:cs="Calibri"/>
          <w:color w:val="000000"/>
        </w:rPr>
        <w:t>/</w:t>
      </w:r>
      <w:r w:rsidRPr="00684F66">
        <w:rPr>
          <w:rFonts w:cs="Calibri"/>
          <w:color w:val="000000"/>
        </w:rPr>
        <w:t>5(Rev1) - Report on the Union's headquarters premises project</w:t>
      </w:r>
    </w:p>
    <w:p w14:paraId="504B797B" w14:textId="3E3F9D3E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CWGFHR16/6 - Report on cybersecurity framework and internal controls within ITU</w:t>
      </w:r>
    </w:p>
    <w:p w14:paraId="7A804B15" w14:textId="3525DBD8" w:rsidR="00834F70" w:rsidRPr="00684F66" w:rsidRDefault="00834F70" w:rsidP="000B1B09">
      <w:pPr>
        <w:pStyle w:val="ListParagraph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34" w:hanging="357"/>
        <w:contextualSpacing w:val="0"/>
        <w:jc w:val="both"/>
        <w:textAlignment w:val="auto"/>
        <w:rPr>
          <w:rFonts w:cs="Calibri"/>
          <w:color w:val="000000"/>
        </w:rPr>
      </w:pPr>
      <w:r w:rsidRPr="00684F66">
        <w:rPr>
          <w:rFonts w:cs="Calibri"/>
          <w:color w:val="000000"/>
        </w:rPr>
        <w:t>CWG-FHR-16/7 - Implementation of Resolution 167 (Rev. Bucharest, 2022) of the Plenipotentiary Conference from 2024 and beyond</w:t>
      </w:r>
    </w:p>
    <w:p w14:paraId="26CD57F2" w14:textId="1BFE3C47" w:rsidR="00834F70" w:rsidRPr="00834F70" w:rsidRDefault="00834F70" w:rsidP="00834F70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000000"/>
        </w:rPr>
      </w:pPr>
      <w:r w:rsidRPr="00834F70">
        <w:rPr>
          <w:rFonts w:cs="Calibri"/>
          <w:color w:val="000000"/>
        </w:rPr>
        <w:t>A more detailed financial plan will be presented once a decision is made regarding the implementation and timeline of the new building project.</w:t>
      </w:r>
    </w:p>
    <w:p w14:paraId="141F15C2" w14:textId="77777777" w:rsidR="002245B8" w:rsidRPr="007F57FD" w:rsidRDefault="002245B8" w:rsidP="009F4D71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ind w:left="0" w:firstLine="0"/>
        <w:outlineLvl w:val="0"/>
        <w:rPr>
          <w:b/>
          <w:szCs w:val="24"/>
        </w:rPr>
      </w:pPr>
      <w:r w:rsidRPr="007F57FD">
        <w:rPr>
          <w:b/>
          <w:szCs w:val="24"/>
        </w:rPr>
        <w:t>Risk assessment</w:t>
      </w:r>
    </w:p>
    <w:p w14:paraId="07926A7A" w14:textId="77777777" w:rsidR="002245B8" w:rsidRPr="00584744" w:rsidRDefault="002245B8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>
        <w:t xml:space="preserve">The risk </w:t>
      </w:r>
      <w:r w:rsidRPr="00E77B17">
        <w:rPr>
          <w:rFonts w:cs="Calibri"/>
          <w:color w:val="000000"/>
        </w:rPr>
        <w:t>assessment</w:t>
      </w:r>
      <w:r>
        <w:t xml:space="preserve"> will cover key strategic, operational, fiduciary, and financial risks related the continuity of the Union’s activities for 2023-26 and beyond.</w:t>
      </w:r>
      <w:r>
        <w:rPr>
          <w:szCs w:val="24"/>
        </w:rPr>
        <w:t xml:space="preserve"> </w:t>
      </w:r>
      <w:r>
        <w:t>Funding</w:t>
      </w:r>
      <w:r w:rsidRPr="2E0304DB">
        <w:t xml:space="preserve"> insufficiency </w:t>
      </w:r>
      <w:r>
        <w:t xml:space="preserve">is likely to continue to be </w:t>
      </w:r>
      <w:r w:rsidRPr="2E0304DB">
        <w:t xml:space="preserve">a </w:t>
      </w:r>
      <w:r>
        <w:t>significant</w:t>
      </w:r>
      <w:r w:rsidRPr="2E0304DB">
        <w:t xml:space="preserve"> strategic risk </w:t>
      </w:r>
      <w:r>
        <w:t>which may</w:t>
      </w:r>
      <w:r w:rsidRPr="2E0304DB">
        <w:t xml:space="preserve"> adversel</w:t>
      </w:r>
      <w:r>
        <w:t>y affect</w:t>
      </w:r>
      <w:r w:rsidRPr="2E0304DB">
        <w:t xml:space="preserve"> </w:t>
      </w:r>
      <w:r>
        <w:t xml:space="preserve">needed </w:t>
      </w:r>
      <w:r w:rsidRPr="2E0304DB">
        <w:t>measures to mitigate operational or fiduciary risks</w:t>
      </w:r>
      <w:r>
        <w:t>,</w:t>
      </w:r>
      <w:r w:rsidRPr="2E0304DB">
        <w:t xml:space="preserve"> with several of these being components of the business continuity strategy. </w:t>
      </w:r>
    </w:p>
    <w:p w14:paraId="170B8A3D" w14:textId="19496A9D" w:rsidR="002245B8" w:rsidRPr="00AC2BCA" w:rsidRDefault="002245B8" w:rsidP="00EB19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>
        <w:t xml:space="preserve">The lack of available funding is also closely linked to financial sustainability risks </w:t>
      </w:r>
      <w:r w:rsidRPr="2E0304DB">
        <w:rPr>
          <w:rFonts w:cs="Calibri"/>
          <w:color w:val="000000" w:themeColor="text1"/>
        </w:rPr>
        <w:t>that may affect several activities in the coming years, including</w:t>
      </w:r>
      <w:r>
        <w:rPr>
          <w:rFonts w:cs="Calibri"/>
          <w:color w:val="000000" w:themeColor="text1"/>
        </w:rPr>
        <w:t xml:space="preserve"> not only for the construction project,</w:t>
      </w:r>
      <w:r>
        <w:rPr>
          <w:rStyle w:val="FootnoteReference"/>
          <w:rFonts w:cs="Calibri"/>
          <w:color w:val="000000" w:themeColor="text1"/>
        </w:rPr>
        <w:footnoteReference w:id="4"/>
      </w:r>
      <w:r>
        <w:rPr>
          <w:rFonts w:cs="Calibri"/>
          <w:color w:val="000000" w:themeColor="text1"/>
        </w:rPr>
        <w:t xml:space="preserve"> but also</w:t>
      </w:r>
      <w:r w:rsidRPr="2E0304DB">
        <w:rPr>
          <w:rFonts w:cs="Calibri"/>
          <w:color w:val="000000" w:themeColor="text1"/>
        </w:rPr>
        <w:t xml:space="preserve"> to implement part of ITU Operational Plan </w:t>
      </w:r>
      <w:r>
        <w:t>to deliver the five thematic priorities and the 43 outputs of the Union, as laid down in the strategic plan</w:t>
      </w:r>
      <w:r w:rsidRPr="2E0304DB">
        <w:rPr>
          <w:rFonts w:cs="Calibri"/>
          <w:color w:val="000000" w:themeColor="text1"/>
        </w:rPr>
        <w:t>.</w:t>
      </w:r>
    </w:p>
    <w:p w14:paraId="6331E5E7" w14:textId="77777777" w:rsidR="002245B8" w:rsidRDefault="002245B8" w:rsidP="009F4D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40"/>
        <w:jc w:val="center"/>
      </w:pPr>
      <w:r>
        <w:t>______________</w:t>
      </w:r>
    </w:p>
    <w:sectPr w:rsidR="002245B8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3AE6" w14:textId="77777777" w:rsidR="00D43EDB" w:rsidRDefault="00D43EDB">
      <w:r>
        <w:separator/>
      </w:r>
    </w:p>
  </w:endnote>
  <w:endnote w:type="continuationSeparator" w:id="0">
    <w:p w14:paraId="77CEB352" w14:textId="77777777" w:rsidR="00D43EDB" w:rsidRDefault="00D4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E48C247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260ACE">
            <w:rPr>
              <w:bCs/>
            </w:rPr>
            <w:t>7</w:t>
          </w:r>
          <w:r w:rsidR="00A52C84" w:rsidRPr="00623AE3">
            <w:rPr>
              <w:bCs/>
            </w:rPr>
            <w:t>/</w:t>
          </w:r>
          <w:r w:rsidR="00AF0C2B">
            <w:rPr>
              <w:bCs/>
            </w:rPr>
            <w:t>7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581EF0D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260ACE">
            <w:rPr>
              <w:bCs/>
            </w:rPr>
            <w:t>7</w:t>
          </w:r>
          <w:r w:rsidRPr="00623AE3">
            <w:rPr>
              <w:bCs/>
            </w:rPr>
            <w:t>/</w:t>
          </w:r>
          <w:r w:rsidR="00AF0C2B">
            <w:rPr>
              <w:bCs/>
            </w:rPr>
            <w:t>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8B1A" w14:textId="77777777" w:rsidR="00D43EDB" w:rsidRDefault="00D43EDB">
      <w:r>
        <w:t>____________________</w:t>
      </w:r>
    </w:p>
  </w:footnote>
  <w:footnote w:type="continuationSeparator" w:id="0">
    <w:p w14:paraId="19B0AFB6" w14:textId="77777777" w:rsidR="00D43EDB" w:rsidRDefault="00D43EDB">
      <w:r>
        <w:continuationSeparator/>
      </w:r>
    </w:p>
  </w:footnote>
  <w:footnote w:id="1">
    <w:p w14:paraId="30C2F750" w14:textId="3A8AEAA3" w:rsidR="002245B8" w:rsidRPr="008E1A17" w:rsidRDefault="002245B8" w:rsidP="009F4D71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40"/>
        <w:ind w:left="284" w:hanging="284"/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="008C3EA3">
        <w:tab/>
      </w:r>
      <w:r w:rsidRPr="007859A6">
        <w:rPr>
          <w:sz w:val="20"/>
        </w:rPr>
        <w:t>These include technical tools</w:t>
      </w:r>
      <w:r>
        <w:rPr>
          <w:sz w:val="20"/>
        </w:rPr>
        <w:t xml:space="preserve"> and support</w:t>
      </w:r>
      <w:r w:rsidRPr="007859A6">
        <w:rPr>
          <w:sz w:val="20"/>
        </w:rPr>
        <w:t xml:space="preserve"> for remote working and virtual meetings, and flexible working arrangement to facilitate work and improve event participations.</w:t>
      </w:r>
    </w:p>
  </w:footnote>
  <w:footnote w:id="2">
    <w:p w14:paraId="429697E5" w14:textId="7E5839EA" w:rsidR="002245B8" w:rsidRPr="00274912" w:rsidRDefault="002245B8" w:rsidP="009F4D71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40"/>
        <w:ind w:left="284" w:hanging="284"/>
        <w:jc w:val="both"/>
        <w:rPr>
          <w:sz w:val="20"/>
        </w:rPr>
      </w:pPr>
      <w:r w:rsidRPr="008E1A17">
        <w:rPr>
          <w:sz w:val="20"/>
        </w:rPr>
        <w:footnoteRef/>
      </w:r>
      <w:r w:rsidRPr="008E1A17">
        <w:rPr>
          <w:sz w:val="20"/>
        </w:rPr>
        <w:t xml:space="preserve"> </w:t>
      </w:r>
      <w:r w:rsidR="008C3EA3">
        <w:rPr>
          <w:sz w:val="20"/>
        </w:rPr>
        <w:tab/>
      </w:r>
      <w:r w:rsidRPr="00274912">
        <w:rPr>
          <w:sz w:val="20"/>
        </w:rPr>
        <w:t>These include</w:t>
      </w:r>
      <w:r>
        <w:rPr>
          <w:sz w:val="20"/>
        </w:rPr>
        <w:t xml:space="preserve"> the Transformation Roadmap and</w:t>
      </w:r>
      <w:r w:rsidRPr="00274912">
        <w:rPr>
          <w:sz w:val="20"/>
        </w:rPr>
        <w:t xml:space="preserve"> ongoing ORMS activities</w:t>
      </w:r>
      <w:r>
        <w:rPr>
          <w:sz w:val="20"/>
        </w:rPr>
        <w:t>, including related to crisis management; enhancing cybersecurity; and securing and leveraging ITU information system and assets in keeping with the changing technology landscape (e.g., cloud services, analytics, AI).</w:t>
      </w:r>
    </w:p>
  </w:footnote>
  <w:footnote w:id="3">
    <w:p w14:paraId="264E123F" w14:textId="5E2799FC" w:rsidR="002245B8" w:rsidRPr="002E111C" w:rsidRDefault="002245B8" w:rsidP="009F4D71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40"/>
        <w:ind w:left="284" w:hanging="284"/>
        <w:jc w:val="both"/>
        <w:rPr>
          <w:sz w:val="20"/>
        </w:rPr>
      </w:pPr>
      <w:r w:rsidRPr="008E1A17">
        <w:rPr>
          <w:sz w:val="20"/>
        </w:rPr>
        <w:footnoteRef/>
      </w:r>
      <w:r w:rsidRPr="008E1A17">
        <w:rPr>
          <w:sz w:val="20"/>
        </w:rPr>
        <w:t xml:space="preserve"> </w:t>
      </w:r>
      <w:r w:rsidR="008C3EA3">
        <w:rPr>
          <w:sz w:val="20"/>
        </w:rPr>
        <w:tab/>
      </w:r>
      <w:r w:rsidR="009907AA" w:rsidRPr="009907AA">
        <w:rPr>
          <w:sz w:val="20"/>
        </w:rPr>
        <w:t xml:space="preserve">Blocking and staking studies and functional analysis have been conducted to optimize the use of remaining workspace through adapted flexible working arrangements during the construction project. </w:t>
      </w:r>
      <w:r w:rsidR="009907AA" w:rsidRPr="00A5093F">
        <w:rPr>
          <w:sz w:val="20"/>
        </w:rPr>
        <w:t>These</w:t>
      </w:r>
      <w:r w:rsidR="009907AA" w:rsidRPr="009907AA">
        <w:rPr>
          <w:sz w:val="20"/>
        </w:rPr>
        <w:t xml:space="preserve"> studies and analysis</w:t>
      </w:r>
      <w:r w:rsidR="009907AA" w:rsidRPr="00A5093F">
        <w:rPr>
          <w:sz w:val="20"/>
        </w:rPr>
        <w:t xml:space="preserve"> will remain in abeyance until such time as further guidance and decision</w:t>
      </w:r>
      <w:r w:rsidR="009907AA" w:rsidRPr="009907AA">
        <w:rPr>
          <w:sz w:val="20"/>
        </w:rPr>
        <w:t>s are provided by Council regarding the construction project.</w:t>
      </w:r>
    </w:p>
  </w:footnote>
  <w:footnote w:id="4">
    <w:p w14:paraId="7C98AACE" w14:textId="2E196E15" w:rsidR="002245B8" w:rsidRPr="00A05E80" w:rsidRDefault="002245B8" w:rsidP="009F4D71">
      <w:pPr>
        <w:pStyle w:val="FootnoteText"/>
        <w:tabs>
          <w:tab w:val="clear" w:pos="256"/>
          <w:tab w:val="clear" w:pos="1134"/>
          <w:tab w:val="clear" w:pos="1701"/>
          <w:tab w:val="clear" w:pos="2268"/>
          <w:tab w:val="clear" w:pos="2835"/>
        </w:tabs>
        <w:spacing w:before="40"/>
        <w:ind w:left="284" w:hanging="284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="008C3EA3">
        <w:tab/>
      </w:r>
      <w:r w:rsidR="008C7CD8">
        <w:rPr>
          <w:sz w:val="20"/>
        </w:rPr>
        <w:t>Regarding</w:t>
      </w:r>
      <w:r>
        <w:rPr>
          <w:sz w:val="20"/>
        </w:rPr>
        <w:t xml:space="preserve"> the delaying of the construction project, risks of c</w:t>
      </w:r>
      <w:r w:rsidRPr="00A05E80">
        <w:rPr>
          <w:sz w:val="20"/>
        </w:rPr>
        <w:t>ontinued inflationary pressure</w:t>
      </w:r>
      <w:r>
        <w:rPr>
          <w:sz w:val="20"/>
        </w:rPr>
        <w:t xml:space="preserve"> may lead to further costs</w:t>
      </w:r>
      <w:r w:rsidRPr="00A05E80">
        <w:rPr>
          <w:sz w:val="20"/>
        </w:rPr>
        <w:t xml:space="preserve"> increase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3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1A3180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A4A22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04FCB03C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60ACE">
                            <w:rPr>
                              <w:sz w:val="20"/>
                            </w:rPr>
                            <w:t>Seven</w:t>
                          </w:r>
                          <w:r w:rsidR="002404ED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BD1693" w:rsidRPr="00BD1693">
                            <w:rPr>
                              <w:sz w:val="20"/>
                            </w:rPr>
                            <w:t>From 24 to 26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04FCB03C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60ACE">
                      <w:rPr>
                        <w:sz w:val="20"/>
                      </w:rPr>
                      <w:t>Seven</w:t>
                    </w:r>
                    <w:r w:rsidR="002404ED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BD1693" w:rsidRPr="00BD1693">
                      <w:rPr>
                        <w:sz w:val="20"/>
                      </w:rPr>
                      <w:t>From 24 to 26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683"/>
    <w:multiLevelType w:val="multilevel"/>
    <w:tmpl w:val="B97AF4C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180E08D0"/>
    <w:multiLevelType w:val="multilevel"/>
    <w:tmpl w:val="B97AF4C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 w15:restartNumberingAfterBreak="0">
    <w:nsid w:val="227F1D38"/>
    <w:multiLevelType w:val="hybridMultilevel"/>
    <w:tmpl w:val="88B6472C"/>
    <w:lvl w:ilvl="0" w:tplc="75522FF0">
      <w:numFmt w:val="bullet"/>
      <w:lvlText w:val="-"/>
      <w:lvlJc w:val="left"/>
      <w:pPr>
        <w:ind w:left="14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9872B1"/>
    <w:multiLevelType w:val="multilevel"/>
    <w:tmpl w:val="A2C4E7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5" w15:restartNumberingAfterBreak="0">
    <w:nsid w:val="37880A8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494F250B"/>
    <w:multiLevelType w:val="multilevel"/>
    <w:tmpl w:val="FF74B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 w15:restartNumberingAfterBreak="0">
    <w:nsid w:val="7176148E"/>
    <w:multiLevelType w:val="multilevel"/>
    <w:tmpl w:val="B97AF4C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num w:numId="1" w16cid:durableId="1374816267">
    <w:abstractNumId w:val="0"/>
  </w:num>
  <w:num w:numId="2" w16cid:durableId="31003091">
    <w:abstractNumId w:val="4"/>
  </w:num>
  <w:num w:numId="3" w16cid:durableId="72969664">
    <w:abstractNumId w:val="5"/>
  </w:num>
  <w:num w:numId="4" w16cid:durableId="779447844">
    <w:abstractNumId w:val="6"/>
  </w:num>
  <w:num w:numId="5" w16cid:durableId="1307470153">
    <w:abstractNumId w:val="7"/>
  </w:num>
  <w:num w:numId="6" w16cid:durableId="1569000135">
    <w:abstractNumId w:val="2"/>
  </w:num>
  <w:num w:numId="7" w16cid:durableId="1265071932">
    <w:abstractNumId w:val="1"/>
  </w:num>
  <w:num w:numId="8" w16cid:durableId="2089381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961C0"/>
    <w:rsid w:val="000B1705"/>
    <w:rsid w:val="000B1B09"/>
    <w:rsid w:val="000D75B2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C628E"/>
    <w:rsid w:val="001C67BF"/>
    <w:rsid w:val="001E0F7B"/>
    <w:rsid w:val="002119FD"/>
    <w:rsid w:val="002130E0"/>
    <w:rsid w:val="00222AAD"/>
    <w:rsid w:val="002245B8"/>
    <w:rsid w:val="002404ED"/>
    <w:rsid w:val="00244F7F"/>
    <w:rsid w:val="00260ACE"/>
    <w:rsid w:val="00264425"/>
    <w:rsid w:val="00265875"/>
    <w:rsid w:val="0027303B"/>
    <w:rsid w:val="0028109B"/>
    <w:rsid w:val="002A2188"/>
    <w:rsid w:val="002A21E9"/>
    <w:rsid w:val="002B1F58"/>
    <w:rsid w:val="002C1C7A"/>
    <w:rsid w:val="002C54E2"/>
    <w:rsid w:val="002E0CA3"/>
    <w:rsid w:val="0030160F"/>
    <w:rsid w:val="00320223"/>
    <w:rsid w:val="00322D0D"/>
    <w:rsid w:val="00361465"/>
    <w:rsid w:val="003877F5"/>
    <w:rsid w:val="003942D4"/>
    <w:rsid w:val="003958A8"/>
    <w:rsid w:val="003A6A93"/>
    <w:rsid w:val="003C2533"/>
    <w:rsid w:val="003D55B9"/>
    <w:rsid w:val="003D5A7F"/>
    <w:rsid w:val="004016E2"/>
    <w:rsid w:val="0040435A"/>
    <w:rsid w:val="00416A24"/>
    <w:rsid w:val="00431D9E"/>
    <w:rsid w:val="00433CE8"/>
    <w:rsid w:val="00434A5C"/>
    <w:rsid w:val="004544D9"/>
    <w:rsid w:val="004559C1"/>
    <w:rsid w:val="00472BAD"/>
    <w:rsid w:val="00484009"/>
    <w:rsid w:val="00490E72"/>
    <w:rsid w:val="00491157"/>
    <w:rsid w:val="004921C8"/>
    <w:rsid w:val="00495B0B"/>
    <w:rsid w:val="00497CC3"/>
    <w:rsid w:val="004A1B8B"/>
    <w:rsid w:val="004D1851"/>
    <w:rsid w:val="004D599D"/>
    <w:rsid w:val="004E2EA5"/>
    <w:rsid w:val="004E3AEB"/>
    <w:rsid w:val="0050223C"/>
    <w:rsid w:val="00516A51"/>
    <w:rsid w:val="005243FF"/>
    <w:rsid w:val="0055291B"/>
    <w:rsid w:val="00564FBC"/>
    <w:rsid w:val="005800BC"/>
    <w:rsid w:val="00582442"/>
    <w:rsid w:val="005A335D"/>
    <w:rsid w:val="005E2BD5"/>
    <w:rsid w:val="005F3269"/>
    <w:rsid w:val="006203B8"/>
    <w:rsid w:val="00623AE3"/>
    <w:rsid w:val="0064737F"/>
    <w:rsid w:val="006535F1"/>
    <w:rsid w:val="0065557D"/>
    <w:rsid w:val="00660D50"/>
    <w:rsid w:val="00662984"/>
    <w:rsid w:val="006637AC"/>
    <w:rsid w:val="006716BB"/>
    <w:rsid w:val="00676C7D"/>
    <w:rsid w:val="00684F66"/>
    <w:rsid w:val="006B1859"/>
    <w:rsid w:val="006B6680"/>
    <w:rsid w:val="006B6DCC"/>
    <w:rsid w:val="006E7F95"/>
    <w:rsid w:val="00702DEF"/>
    <w:rsid w:val="00706861"/>
    <w:rsid w:val="0075051B"/>
    <w:rsid w:val="00775655"/>
    <w:rsid w:val="00793188"/>
    <w:rsid w:val="00794D34"/>
    <w:rsid w:val="00811713"/>
    <w:rsid w:val="00813E5E"/>
    <w:rsid w:val="008323D9"/>
    <w:rsid w:val="00834F70"/>
    <w:rsid w:val="0083581B"/>
    <w:rsid w:val="00863874"/>
    <w:rsid w:val="00864AFF"/>
    <w:rsid w:val="00865925"/>
    <w:rsid w:val="00866EED"/>
    <w:rsid w:val="008769B9"/>
    <w:rsid w:val="00891503"/>
    <w:rsid w:val="008B4A6A"/>
    <w:rsid w:val="008C3EA3"/>
    <w:rsid w:val="008C7CD8"/>
    <w:rsid w:val="008C7E27"/>
    <w:rsid w:val="008F7448"/>
    <w:rsid w:val="0090147A"/>
    <w:rsid w:val="009105FD"/>
    <w:rsid w:val="009173EF"/>
    <w:rsid w:val="00932906"/>
    <w:rsid w:val="00961B0B"/>
    <w:rsid w:val="00962D33"/>
    <w:rsid w:val="00971C28"/>
    <w:rsid w:val="00984D27"/>
    <w:rsid w:val="009907AA"/>
    <w:rsid w:val="009B2D4B"/>
    <w:rsid w:val="009B38C3"/>
    <w:rsid w:val="009C253A"/>
    <w:rsid w:val="009E17BD"/>
    <w:rsid w:val="009E485A"/>
    <w:rsid w:val="009F347C"/>
    <w:rsid w:val="009F4D71"/>
    <w:rsid w:val="00A04CEC"/>
    <w:rsid w:val="00A27F92"/>
    <w:rsid w:val="00A32257"/>
    <w:rsid w:val="00A34664"/>
    <w:rsid w:val="00A36D20"/>
    <w:rsid w:val="00A5093F"/>
    <w:rsid w:val="00A514A4"/>
    <w:rsid w:val="00A52C84"/>
    <w:rsid w:val="00A55622"/>
    <w:rsid w:val="00A83502"/>
    <w:rsid w:val="00AC5A23"/>
    <w:rsid w:val="00AD15B3"/>
    <w:rsid w:val="00AD3606"/>
    <w:rsid w:val="00AD4A3D"/>
    <w:rsid w:val="00AF0C2B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A6274"/>
    <w:rsid w:val="00BC251A"/>
    <w:rsid w:val="00BD032B"/>
    <w:rsid w:val="00BD1693"/>
    <w:rsid w:val="00BE2640"/>
    <w:rsid w:val="00C01189"/>
    <w:rsid w:val="00C247EA"/>
    <w:rsid w:val="00C374DE"/>
    <w:rsid w:val="00C47AD4"/>
    <w:rsid w:val="00C52D81"/>
    <w:rsid w:val="00C55198"/>
    <w:rsid w:val="00C90059"/>
    <w:rsid w:val="00CA6393"/>
    <w:rsid w:val="00CA7CB8"/>
    <w:rsid w:val="00CB18FF"/>
    <w:rsid w:val="00CD0C08"/>
    <w:rsid w:val="00CE03FB"/>
    <w:rsid w:val="00CE433C"/>
    <w:rsid w:val="00CE6595"/>
    <w:rsid w:val="00CF0161"/>
    <w:rsid w:val="00CF33F3"/>
    <w:rsid w:val="00D01E07"/>
    <w:rsid w:val="00D06183"/>
    <w:rsid w:val="00D22C42"/>
    <w:rsid w:val="00D43EDB"/>
    <w:rsid w:val="00D464CC"/>
    <w:rsid w:val="00D65041"/>
    <w:rsid w:val="00D870B3"/>
    <w:rsid w:val="00DA7208"/>
    <w:rsid w:val="00DB00D5"/>
    <w:rsid w:val="00DB1936"/>
    <w:rsid w:val="00DB384B"/>
    <w:rsid w:val="00DF0189"/>
    <w:rsid w:val="00E06FD5"/>
    <w:rsid w:val="00E10E80"/>
    <w:rsid w:val="00E124F0"/>
    <w:rsid w:val="00E17DEC"/>
    <w:rsid w:val="00E227F3"/>
    <w:rsid w:val="00E413F4"/>
    <w:rsid w:val="00E51D75"/>
    <w:rsid w:val="00E545C6"/>
    <w:rsid w:val="00E60F04"/>
    <w:rsid w:val="00E65B24"/>
    <w:rsid w:val="00E854E4"/>
    <w:rsid w:val="00E86DBF"/>
    <w:rsid w:val="00EB0D6F"/>
    <w:rsid w:val="00EB193F"/>
    <w:rsid w:val="00EB2232"/>
    <w:rsid w:val="00EC5337"/>
    <w:rsid w:val="00ED454D"/>
    <w:rsid w:val="00EE49E8"/>
    <w:rsid w:val="00F16BAB"/>
    <w:rsid w:val="00F2150A"/>
    <w:rsid w:val="00F231D8"/>
    <w:rsid w:val="00F42A80"/>
    <w:rsid w:val="00F44C00"/>
    <w:rsid w:val="00F45D2C"/>
    <w:rsid w:val="00F46C5F"/>
    <w:rsid w:val="00F632C0"/>
    <w:rsid w:val="00F74694"/>
    <w:rsid w:val="00F94A63"/>
    <w:rsid w:val="00FA1C28"/>
    <w:rsid w:val="00FA5EA8"/>
    <w:rsid w:val="00FB1279"/>
    <w:rsid w:val="00FB34A0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55291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45B8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2245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CommentText">
    <w:name w:val="annotation text"/>
    <w:basedOn w:val="Normal"/>
    <w:link w:val="CommentTextChar"/>
    <w:unhideWhenUsed/>
    <w:rsid w:val="009907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7AA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907AA"/>
    <w:rPr>
      <w:sz w:val="16"/>
      <w:szCs w:val="16"/>
    </w:rPr>
  </w:style>
  <w:style w:type="paragraph" w:styleId="Revision">
    <w:name w:val="Revision"/>
    <w:hidden/>
    <w:uiPriority w:val="99"/>
    <w:semiHidden/>
    <w:rsid w:val="00A5093F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AAD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3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217-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Resolution 217: ITU’s business continuity management for the period 2023–2026</vt:lpstr>
    </vt:vector>
  </TitlesOfParts>
  <Manager/>
  <Company/>
  <LinksUpToDate>false</LinksUpToDate>
  <CharactersWithSpaces>4914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Resolution 217: ITU’s business continuity management for the period 2023–2026</dc:title>
  <dc:subject>Council Working Group on Financial and Human Resources</dc:subject>
  <dc:creator/>
  <cp:keywords>CWG-FHR, C24, Council-24</cp:keywords>
  <dc:description/>
  <cp:lastModifiedBy/>
  <cp:revision>1</cp:revision>
  <dcterms:created xsi:type="dcterms:W3CDTF">2023-12-20T10:57:00Z</dcterms:created>
  <dcterms:modified xsi:type="dcterms:W3CDTF">2023-12-20T16:09:00Z</dcterms:modified>
  <cp:category>Conference document</cp:category>
</cp:coreProperties>
</file>