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674B4" w14:textId="109A7814" w:rsidR="00881DFF" w:rsidRDefault="00881DFF" w:rsidP="00F567FC">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pPr w:leftFromText="180" w:rightFromText="180" w:vertAnchor="page" w:horzAnchor="page" w:tblpX="1679" w:tblpY="2317"/>
        <w:tblW w:w="9356" w:type="dxa"/>
        <w:tblLayout w:type="fixed"/>
        <w:tblLook w:val="0000" w:firstRow="0" w:lastRow="0" w:firstColumn="0" w:lastColumn="0" w:noHBand="0" w:noVBand="0"/>
      </w:tblPr>
      <w:tblGrid>
        <w:gridCol w:w="4111"/>
        <w:gridCol w:w="5245"/>
      </w:tblGrid>
      <w:tr w:rsidR="00D5155B" w:rsidRPr="00D5155B" w14:paraId="59579BCB" w14:textId="77777777" w:rsidTr="00C15690">
        <w:trPr>
          <w:cantSplit/>
          <w:trHeight w:val="23"/>
        </w:trPr>
        <w:tc>
          <w:tcPr>
            <w:tcW w:w="4111" w:type="dxa"/>
            <w:vMerge w:val="restart"/>
            <w:tcMar>
              <w:left w:w="0" w:type="dxa"/>
            </w:tcMar>
          </w:tcPr>
          <w:p w14:paraId="69494ADF" w14:textId="77777777" w:rsidR="00D5155B" w:rsidRPr="00D5155B" w:rsidRDefault="00D5155B" w:rsidP="00D5155B">
            <w:pPr>
              <w:tabs>
                <w:tab w:val="left" w:pos="851"/>
              </w:tabs>
              <w:spacing w:before="0" w:line="240" w:lineRule="atLeast"/>
              <w:rPr>
                <w:b/>
              </w:rPr>
            </w:pPr>
          </w:p>
        </w:tc>
        <w:tc>
          <w:tcPr>
            <w:tcW w:w="5245" w:type="dxa"/>
          </w:tcPr>
          <w:p w14:paraId="3BCA4220" w14:textId="274FD2E7" w:rsidR="00D5155B" w:rsidRPr="00D5155B" w:rsidRDefault="00D5155B" w:rsidP="00D5155B">
            <w:pPr>
              <w:tabs>
                <w:tab w:val="left" w:pos="851"/>
              </w:tabs>
              <w:spacing w:before="0" w:line="240" w:lineRule="atLeast"/>
              <w:jc w:val="right"/>
              <w:rPr>
                <w:b/>
                <w:lang w:val="it-IT"/>
              </w:rPr>
            </w:pPr>
            <w:r w:rsidRPr="00D5155B">
              <w:rPr>
                <w:b/>
                <w:lang w:val="it-IT"/>
              </w:rPr>
              <w:t>Document CWG-FHR-17/</w:t>
            </w:r>
            <w:r w:rsidR="00382699">
              <w:rPr>
                <w:b/>
                <w:lang w:val="it-IT"/>
              </w:rPr>
              <w:t>2</w:t>
            </w:r>
          </w:p>
        </w:tc>
      </w:tr>
      <w:tr w:rsidR="00D5155B" w:rsidRPr="00D5155B" w14:paraId="6AF1F6FD" w14:textId="77777777" w:rsidTr="00C15690">
        <w:trPr>
          <w:cantSplit/>
        </w:trPr>
        <w:tc>
          <w:tcPr>
            <w:tcW w:w="4111" w:type="dxa"/>
            <w:vMerge/>
          </w:tcPr>
          <w:p w14:paraId="1100903E" w14:textId="77777777" w:rsidR="00D5155B" w:rsidRPr="00D5155B" w:rsidRDefault="00D5155B" w:rsidP="00D5155B">
            <w:pPr>
              <w:tabs>
                <w:tab w:val="left" w:pos="851"/>
              </w:tabs>
              <w:spacing w:line="240" w:lineRule="atLeast"/>
              <w:rPr>
                <w:b/>
                <w:lang w:val="it-IT"/>
              </w:rPr>
            </w:pPr>
          </w:p>
        </w:tc>
        <w:tc>
          <w:tcPr>
            <w:tcW w:w="5245" w:type="dxa"/>
          </w:tcPr>
          <w:p w14:paraId="5DAA57AA" w14:textId="7F94B215" w:rsidR="00D5155B" w:rsidRPr="00D5155B" w:rsidRDefault="00327001" w:rsidP="00D5155B">
            <w:pPr>
              <w:tabs>
                <w:tab w:val="left" w:pos="851"/>
              </w:tabs>
              <w:spacing w:before="0"/>
              <w:jc w:val="right"/>
              <w:rPr>
                <w:b/>
              </w:rPr>
            </w:pPr>
            <w:r>
              <w:rPr>
                <w:b/>
              </w:rPr>
              <w:t>20</w:t>
            </w:r>
            <w:r w:rsidR="00D5155B" w:rsidRPr="00D5155B">
              <w:rPr>
                <w:b/>
              </w:rPr>
              <w:t xml:space="preserve"> </w:t>
            </w:r>
            <w:r w:rsidR="00F067C4">
              <w:rPr>
                <w:b/>
              </w:rPr>
              <w:t xml:space="preserve">December </w:t>
            </w:r>
            <w:r w:rsidR="00D5155B" w:rsidRPr="00D5155B">
              <w:rPr>
                <w:b/>
              </w:rPr>
              <w:t>2023</w:t>
            </w:r>
          </w:p>
        </w:tc>
      </w:tr>
      <w:tr w:rsidR="00D5155B" w:rsidRPr="00D5155B" w14:paraId="34D2430A" w14:textId="77777777" w:rsidTr="00C15690">
        <w:trPr>
          <w:cantSplit/>
          <w:trHeight w:val="23"/>
        </w:trPr>
        <w:tc>
          <w:tcPr>
            <w:tcW w:w="4111" w:type="dxa"/>
            <w:vMerge/>
          </w:tcPr>
          <w:p w14:paraId="5F9D26C5" w14:textId="77777777" w:rsidR="00D5155B" w:rsidRPr="00D5155B" w:rsidRDefault="00D5155B" w:rsidP="00D5155B">
            <w:pPr>
              <w:tabs>
                <w:tab w:val="left" w:pos="851"/>
              </w:tabs>
              <w:spacing w:line="240" w:lineRule="atLeast"/>
              <w:rPr>
                <w:b/>
              </w:rPr>
            </w:pPr>
          </w:p>
        </w:tc>
        <w:tc>
          <w:tcPr>
            <w:tcW w:w="5245" w:type="dxa"/>
          </w:tcPr>
          <w:p w14:paraId="2AE52BE9" w14:textId="77777777" w:rsidR="00D5155B" w:rsidRPr="00D5155B" w:rsidRDefault="00D5155B" w:rsidP="00D5155B">
            <w:pPr>
              <w:tabs>
                <w:tab w:val="left" w:pos="851"/>
              </w:tabs>
              <w:spacing w:before="0" w:line="240" w:lineRule="atLeast"/>
              <w:jc w:val="right"/>
              <w:rPr>
                <w:b/>
              </w:rPr>
            </w:pPr>
            <w:r w:rsidRPr="00D5155B">
              <w:rPr>
                <w:b/>
              </w:rPr>
              <w:t>English only</w:t>
            </w:r>
          </w:p>
        </w:tc>
      </w:tr>
      <w:tr w:rsidR="00D5155B" w:rsidRPr="00D5155B" w14:paraId="77226539" w14:textId="77777777" w:rsidTr="00C15690">
        <w:trPr>
          <w:cantSplit/>
          <w:trHeight w:val="23"/>
        </w:trPr>
        <w:tc>
          <w:tcPr>
            <w:tcW w:w="4111" w:type="dxa"/>
          </w:tcPr>
          <w:p w14:paraId="0162B5B9" w14:textId="77777777" w:rsidR="00D5155B" w:rsidRPr="00D5155B" w:rsidRDefault="00D5155B" w:rsidP="00D5155B">
            <w:pPr>
              <w:tabs>
                <w:tab w:val="left" w:pos="851"/>
              </w:tabs>
              <w:spacing w:line="240" w:lineRule="atLeast"/>
              <w:rPr>
                <w:b/>
              </w:rPr>
            </w:pPr>
          </w:p>
        </w:tc>
        <w:tc>
          <w:tcPr>
            <w:tcW w:w="5245" w:type="dxa"/>
          </w:tcPr>
          <w:p w14:paraId="42E21A94" w14:textId="77777777" w:rsidR="00D5155B" w:rsidRPr="00D5155B" w:rsidRDefault="00D5155B" w:rsidP="00D5155B">
            <w:pPr>
              <w:tabs>
                <w:tab w:val="left" w:pos="851"/>
              </w:tabs>
              <w:spacing w:before="0" w:line="240" w:lineRule="atLeast"/>
              <w:jc w:val="right"/>
              <w:rPr>
                <w:b/>
              </w:rPr>
            </w:pPr>
          </w:p>
        </w:tc>
      </w:tr>
      <w:tr w:rsidR="00D5155B" w:rsidRPr="00D5155B" w14:paraId="6C39C099" w14:textId="77777777" w:rsidTr="00C15690">
        <w:trPr>
          <w:cantSplit/>
        </w:trPr>
        <w:tc>
          <w:tcPr>
            <w:tcW w:w="9356" w:type="dxa"/>
            <w:gridSpan w:val="2"/>
            <w:tcMar>
              <w:left w:w="0" w:type="dxa"/>
            </w:tcMar>
          </w:tcPr>
          <w:p w14:paraId="7D922F9E" w14:textId="77777777" w:rsidR="00D5155B" w:rsidRPr="001645A5" w:rsidRDefault="00D5155B" w:rsidP="00D5155B">
            <w:pPr>
              <w:spacing w:before="840"/>
              <w:rPr>
                <w:b/>
                <w:sz w:val="32"/>
              </w:rPr>
            </w:pPr>
            <w:r w:rsidRPr="001645A5">
              <w:rPr>
                <w:b/>
                <w:sz w:val="32"/>
              </w:rPr>
              <w:t>Contribution by the Secretariat</w:t>
            </w:r>
          </w:p>
        </w:tc>
      </w:tr>
      <w:tr w:rsidR="00D5155B" w:rsidRPr="00D5155B" w14:paraId="76FD9871" w14:textId="77777777" w:rsidTr="00C15690">
        <w:trPr>
          <w:cantSplit/>
        </w:trPr>
        <w:tc>
          <w:tcPr>
            <w:tcW w:w="9356" w:type="dxa"/>
            <w:gridSpan w:val="2"/>
            <w:tcMar>
              <w:left w:w="0" w:type="dxa"/>
            </w:tcMar>
          </w:tcPr>
          <w:p w14:paraId="274757BC" w14:textId="161E0AA9" w:rsidR="00D5155B" w:rsidRPr="001645A5" w:rsidRDefault="005A7A0B" w:rsidP="00327001">
            <w:pPr>
              <w:spacing w:after="160"/>
              <w:rPr>
                <w:sz w:val="32"/>
              </w:rPr>
            </w:pPr>
            <w:r w:rsidRPr="001645A5">
              <w:rPr>
                <w:sz w:val="32"/>
              </w:rPr>
              <w:t>2023 AND 2024 BUDGET IMPLEMENTATION FORECASTS</w:t>
            </w:r>
            <w:r w:rsidR="00327001">
              <w:rPr>
                <w:sz w:val="32"/>
              </w:rPr>
              <w:br/>
            </w:r>
            <w:r w:rsidRPr="001645A5">
              <w:rPr>
                <w:sz w:val="32"/>
              </w:rPr>
              <w:t>REPORT ON THE IMPLEMENTATION OF EFFICIENCY MEASURES FOR 2023 AND</w:t>
            </w:r>
            <w:r w:rsidR="00327001">
              <w:rPr>
                <w:sz w:val="32"/>
              </w:rPr>
              <w:t xml:space="preserve"> </w:t>
            </w:r>
            <w:r w:rsidRPr="001645A5">
              <w:rPr>
                <w:sz w:val="32"/>
              </w:rPr>
              <w:t>2024</w:t>
            </w:r>
          </w:p>
        </w:tc>
      </w:tr>
      <w:tr w:rsidR="00D5155B" w:rsidRPr="00D5155B" w14:paraId="0B658087" w14:textId="77777777" w:rsidTr="00C15690">
        <w:trPr>
          <w:cantSplit/>
        </w:trPr>
        <w:tc>
          <w:tcPr>
            <w:tcW w:w="9356" w:type="dxa"/>
            <w:gridSpan w:val="2"/>
            <w:tcMar>
              <w:left w:w="0" w:type="dxa"/>
            </w:tcMar>
          </w:tcPr>
          <w:p w14:paraId="79CE1C63" w14:textId="77777777" w:rsidR="00D5155B" w:rsidRPr="00D5155B" w:rsidRDefault="00D5155B" w:rsidP="00D5155B">
            <w:pPr>
              <w:spacing w:before="160"/>
              <w:rPr>
                <w:b/>
                <w:bCs/>
                <w:sz w:val="26"/>
                <w:szCs w:val="26"/>
              </w:rPr>
            </w:pPr>
            <w:r w:rsidRPr="00D5155B">
              <w:rPr>
                <w:b/>
                <w:bCs/>
                <w:sz w:val="26"/>
                <w:szCs w:val="26"/>
              </w:rPr>
              <w:t>Purpose</w:t>
            </w:r>
          </w:p>
          <w:p w14:paraId="7323ED2F" w14:textId="77777777" w:rsidR="00D5155B" w:rsidRPr="00D5155B" w:rsidRDefault="00D5155B" w:rsidP="00D5155B">
            <w:pPr>
              <w:spacing w:before="160"/>
              <w:jc w:val="both"/>
            </w:pPr>
            <w:r w:rsidRPr="00D5155B">
              <w:t>This report provides the 2023 budget implementation forecast as well as the preliminary forecast for the 2024 budget implementation.</w:t>
            </w:r>
          </w:p>
          <w:p w14:paraId="444F2194" w14:textId="2259736D" w:rsidR="00D5155B" w:rsidRPr="00D5155B" w:rsidRDefault="00D5155B" w:rsidP="00D5155B">
            <w:pPr>
              <w:keepNext/>
              <w:keepLines/>
              <w:tabs>
                <w:tab w:val="clear" w:pos="567"/>
              </w:tabs>
              <w:spacing w:before="160"/>
              <w:outlineLvl w:val="0"/>
              <w:rPr>
                <w:bCs/>
                <w:szCs w:val="24"/>
              </w:rPr>
            </w:pPr>
            <w:r w:rsidRPr="00D5155B">
              <w:rPr>
                <w:bCs/>
                <w:szCs w:val="24"/>
              </w:rPr>
              <w:t>This document also provides an update on the implementation of the efficiency measures as outlined in Annex 2 to Decision 5 (Rev. Dubai, 2018) for 2023 and in Annex 2 to Decision</w:t>
            </w:r>
            <w:r w:rsidR="00206DCA">
              <w:rPr>
                <w:bCs/>
                <w:szCs w:val="24"/>
              </w:rPr>
              <w:t> 5</w:t>
            </w:r>
            <w:r w:rsidR="00206DCA">
              <w:rPr>
                <w:bCs/>
                <w:szCs w:val="24"/>
              </w:rPr>
              <w:t xml:space="preserve"> </w:t>
            </w:r>
            <w:r w:rsidRPr="00D5155B">
              <w:rPr>
                <w:bCs/>
                <w:szCs w:val="24"/>
              </w:rPr>
              <w:t>(Rev.</w:t>
            </w:r>
            <w:r w:rsidR="00BC31DF">
              <w:rPr>
                <w:bCs/>
                <w:szCs w:val="24"/>
              </w:rPr>
              <w:t> </w:t>
            </w:r>
            <w:r w:rsidRPr="00D5155B">
              <w:rPr>
                <w:bCs/>
                <w:szCs w:val="24"/>
              </w:rPr>
              <w:t>Bucharest, 2022) for 2024.</w:t>
            </w:r>
          </w:p>
          <w:p w14:paraId="2AC80E32" w14:textId="77777777" w:rsidR="00D5155B" w:rsidRPr="00D5155B" w:rsidRDefault="00D5155B" w:rsidP="00D5155B">
            <w:pPr>
              <w:spacing w:before="160"/>
              <w:jc w:val="both"/>
              <w:rPr>
                <w:b/>
                <w:bCs/>
                <w:sz w:val="26"/>
                <w:szCs w:val="26"/>
              </w:rPr>
            </w:pPr>
            <w:r w:rsidRPr="00D5155B">
              <w:rPr>
                <w:b/>
                <w:bCs/>
                <w:sz w:val="26"/>
                <w:szCs w:val="26"/>
              </w:rPr>
              <w:t xml:space="preserve">Action </w:t>
            </w:r>
            <w:proofErr w:type="gramStart"/>
            <w:r w:rsidRPr="00D5155B">
              <w:rPr>
                <w:b/>
                <w:bCs/>
                <w:sz w:val="26"/>
                <w:szCs w:val="26"/>
              </w:rPr>
              <w:t>required</w:t>
            </w:r>
            <w:proofErr w:type="gramEnd"/>
            <w:r w:rsidRPr="00D5155B">
              <w:rPr>
                <w:b/>
                <w:bCs/>
                <w:sz w:val="26"/>
                <w:szCs w:val="26"/>
              </w:rPr>
              <w:t xml:space="preserve"> </w:t>
            </w:r>
          </w:p>
          <w:p w14:paraId="57D56F6D" w14:textId="77777777" w:rsidR="00D5155B" w:rsidRPr="00D5155B" w:rsidRDefault="00D5155B" w:rsidP="00D5155B">
            <w:pPr>
              <w:spacing w:before="240"/>
              <w:rPr>
                <w:szCs w:val="24"/>
              </w:rPr>
            </w:pPr>
            <w:r w:rsidRPr="00D5155B">
              <w:rPr>
                <w:szCs w:val="24"/>
              </w:rPr>
              <w:t xml:space="preserve">The Council Working Group is requested </w:t>
            </w:r>
            <w:r w:rsidRPr="005A7A0B">
              <w:rPr>
                <w:b/>
                <w:bCs/>
                <w:szCs w:val="24"/>
              </w:rPr>
              <w:t>to review</w:t>
            </w:r>
            <w:r w:rsidRPr="00D5155B">
              <w:rPr>
                <w:szCs w:val="24"/>
              </w:rPr>
              <w:t xml:space="preserve"> this report and </w:t>
            </w:r>
            <w:r w:rsidRPr="005A7A0B">
              <w:rPr>
                <w:b/>
                <w:bCs/>
                <w:szCs w:val="24"/>
              </w:rPr>
              <w:t>provide comments</w:t>
            </w:r>
            <w:r w:rsidRPr="00D5155B">
              <w:rPr>
                <w:szCs w:val="24"/>
              </w:rPr>
              <w:t xml:space="preserve"> as it deems necessary. An updated report will be presented to the Council at its 2024 session.</w:t>
            </w:r>
          </w:p>
          <w:p w14:paraId="32208B94" w14:textId="77777777" w:rsidR="00D5155B" w:rsidRPr="00D5155B" w:rsidRDefault="00D5155B" w:rsidP="00D5155B">
            <w:pPr>
              <w:keepNext/>
              <w:keepLines/>
              <w:rPr>
                <w:caps/>
                <w:sz w:val="22"/>
                <w:szCs w:val="22"/>
              </w:rPr>
            </w:pPr>
            <w:r w:rsidRPr="00D5155B">
              <w:rPr>
                <w:sz w:val="22"/>
                <w:szCs w:val="22"/>
              </w:rPr>
              <w:t>__________________</w:t>
            </w:r>
          </w:p>
          <w:p w14:paraId="25978495" w14:textId="77777777" w:rsidR="00D5155B" w:rsidRPr="00D5155B" w:rsidRDefault="00D5155B" w:rsidP="00D5155B">
            <w:pPr>
              <w:keepNext/>
              <w:keepLines/>
              <w:spacing w:before="160"/>
              <w:rPr>
                <w:b/>
                <w:bCs/>
                <w:sz w:val="26"/>
                <w:szCs w:val="26"/>
              </w:rPr>
            </w:pPr>
            <w:r w:rsidRPr="00D5155B">
              <w:rPr>
                <w:b/>
                <w:bCs/>
                <w:sz w:val="26"/>
                <w:szCs w:val="26"/>
              </w:rPr>
              <w:t>References</w:t>
            </w:r>
          </w:p>
          <w:p w14:paraId="40C61D79" w14:textId="18CD8467" w:rsidR="00D5155B" w:rsidRPr="00D5155B" w:rsidRDefault="00327001" w:rsidP="00D5155B">
            <w:pPr>
              <w:keepNext/>
              <w:keepLines/>
              <w:spacing w:before="160"/>
              <w:jc w:val="both"/>
            </w:pPr>
            <w:hyperlink r:id="rId11" w:history="1">
              <w:r w:rsidR="00D5155B" w:rsidRPr="00327001">
                <w:rPr>
                  <w:rStyle w:val="Hyperlink"/>
                </w:rPr>
                <w:t>Decision 5 (Rev. Bucharest, 2022)</w:t>
              </w:r>
            </w:hyperlink>
            <w:r w:rsidR="00D5155B" w:rsidRPr="00D5155B">
              <w:t xml:space="preserve"> and </w:t>
            </w:r>
            <w:hyperlink r:id="rId12" w:history="1">
              <w:r w:rsidR="00D5155B" w:rsidRPr="00327001">
                <w:rPr>
                  <w:rStyle w:val="Hyperlink"/>
                </w:rPr>
                <w:t>Decision 5 (Rev. Dubai, 2018)</w:t>
              </w:r>
            </w:hyperlink>
          </w:p>
        </w:tc>
      </w:tr>
    </w:tbl>
    <w:p w14:paraId="0A0B7CD8" w14:textId="77777777" w:rsidR="00D5155B" w:rsidRDefault="00D5155B" w:rsidP="00F567FC">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6643AAE1" w14:textId="77777777" w:rsidR="00D5155B" w:rsidRDefault="00D5155B" w:rsidP="00F567FC">
      <w:pPr>
        <w:tabs>
          <w:tab w:val="clear" w:pos="567"/>
          <w:tab w:val="clear" w:pos="1134"/>
          <w:tab w:val="clear" w:pos="1701"/>
          <w:tab w:val="clear" w:pos="2268"/>
          <w:tab w:val="clear" w:pos="2835"/>
        </w:tabs>
        <w:overflowPunct/>
        <w:autoSpaceDE/>
        <w:autoSpaceDN/>
        <w:adjustRightInd/>
        <w:spacing w:before="0"/>
        <w:textAlignment w:val="auto"/>
        <w:rPr>
          <w:lang w:val="en-US"/>
        </w:rPr>
        <w:sectPr w:rsidR="00D5155B" w:rsidSect="00881DFF">
          <w:footerReference w:type="default" r:id="rId13"/>
          <w:headerReference w:type="first" r:id="rId14"/>
          <w:footerReference w:type="first" r:id="rId15"/>
          <w:pgSz w:w="11907" w:h="16834"/>
          <w:pgMar w:top="1135" w:right="1418" w:bottom="567" w:left="1418" w:header="720" w:footer="720" w:gutter="0"/>
          <w:paperSrc w:first="15" w:other="15"/>
          <w:cols w:space="720"/>
          <w:titlePg/>
        </w:sectPr>
      </w:pPr>
    </w:p>
    <w:p w14:paraId="0505668E"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240" w:after="120"/>
        <w:jc w:val="both"/>
        <w:textAlignment w:val="auto"/>
        <w:rPr>
          <w:b/>
          <w:bCs/>
          <w:sz w:val="26"/>
          <w:szCs w:val="26"/>
        </w:rPr>
      </w:pPr>
      <w:r w:rsidRPr="00D5155B">
        <w:rPr>
          <w:b/>
          <w:bCs/>
          <w:sz w:val="26"/>
          <w:szCs w:val="26"/>
        </w:rPr>
        <w:lastRenderedPageBreak/>
        <w:t>1.</w:t>
      </w:r>
      <w:r w:rsidRPr="00D5155B">
        <w:tab/>
      </w:r>
      <w:r w:rsidRPr="00D5155B">
        <w:rPr>
          <w:b/>
          <w:bCs/>
          <w:sz w:val="26"/>
          <w:szCs w:val="26"/>
        </w:rPr>
        <w:t>Background</w:t>
      </w:r>
    </w:p>
    <w:p w14:paraId="3B3C0DEF"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lang w:val="en-US"/>
        </w:rPr>
      </w:pPr>
      <w:r w:rsidRPr="00D5155B">
        <w:t>1.1</w:t>
      </w:r>
      <w:r w:rsidRPr="00D5155B">
        <w:tab/>
      </w:r>
      <w:r w:rsidRPr="00D5155B">
        <w:rPr>
          <w:lang w:val="en-US"/>
        </w:rPr>
        <w:t>This document presents the key elements of the 2023 and 2024 Budget implementation, pursuant to No. 73 of the ITU Convention, which stipulates that the Council shall carry out an annual review of revenue and expenses.</w:t>
      </w:r>
    </w:p>
    <w:p w14:paraId="09EF5415"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lang w:val="en-US"/>
        </w:rPr>
      </w:pPr>
      <w:r w:rsidRPr="00D5155B">
        <w:rPr>
          <w:lang w:val="en-US"/>
        </w:rPr>
        <w:t>1.2</w:t>
      </w:r>
      <w:r w:rsidRPr="00D5155B">
        <w:rPr>
          <w:lang w:val="en-US"/>
        </w:rPr>
        <w:tab/>
        <w:t>provides a preliminary outline of the results of implementing the efficiency measures listed in Annex 2 to Decision 5 for 2023 and 2024.</w:t>
      </w:r>
    </w:p>
    <w:p w14:paraId="3D795D54"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lang w:val="en-US"/>
        </w:rPr>
      </w:pPr>
      <w:r w:rsidRPr="00D5155B">
        <w:rPr>
          <w:lang w:val="en-US"/>
        </w:rPr>
        <w:t xml:space="preserve">In conformity with paragraphs 1, 2 and 3 of instructs the Secretary-General and the Directors of the </w:t>
      </w:r>
      <w:proofErr w:type="spellStart"/>
      <w:r w:rsidRPr="00D5155B">
        <w:rPr>
          <w:lang w:val="en-US"/>
        </w:rPr>
        <w:t>Bureaux</w:t>
      </w:r>
      <w:proofErr w:type="spellEnd"/>
      <w:r w:rsidRPr="00D5155B">
        <w:rPr>
          <w:lang w:val="en-US"/>
        </w:rPr>
        <w:t xml:space="preserve"> of Decision 5 (Rev. Bucharest, 2022):</w:t>
      </w:r>
    </w:p>
    <w:p w14:paraId="73FE4617"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i/>
          <w:iCs/>
          <w:lang w:val="en-US"/>
        </w:rPr>
      </w:pPr>
      <w:r w:rsidRPr="00D5155B">
        <w:rPr>
          <w:i/>
          <w:iCs/>
          <w:lang w:val="en-US"/>
        </w:rPr>
        <w:t>"1</w:t>
      </w:r>
      <w:r w:rsidRPr="00D5155B">
        <w:rPr>
          <w:i/>
          <w:iCs/>
          <w:lang w:val="en-US"/>
        </w:rPr>
        <w:tab/>
        <w:t xml:space="preserve">to provide to the Council, on an annual basis, a report on ITU budget implementation for the previous year and anticipated implementation of the ITU budget for the current year and outlining savings achieved through the implementation of each item in Annex 2 to this </w:t>
      </w:r>
      <w:proofErr w:type="gramStart"/>
      <w:r w:rsidRPr="00D5155B">
        <w:rPr>
          <w:i/>
          <w:iCs/>
          <w:lang w:val="en-US"/>
        </w:rPr>
        <w:t>decision;</w:t>
      </w:r>
      <w:proofErr w:type="gramEnd"/>
    </w:p>
    <w:p w14:paraId="7CD3D3BE"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i/>
          <w:iCs/>
          <w:lang w:val="en-US"/>
        </w:rPr>
      </w:pPr>
      <w:r w:rsidRPr="00D5155B">
        <w:rPr>
          <w:i/>
          <w:iCs/>
          <w:lang w:val="en-US"/>
        </w:rPr>
        <w:t>2</w:t>
      </w:r>
      <w:r w:rsidRPr="00D5155B">
        <w:rPr>
          <w:i/>
          <w:iCs/>
          <w:lang w:val="en-US"/>
        </w:rPr>
        <w:tab/>
        <w:t xml:space="preserve">to make the necessary efforts to achieve reductions through a culture of efficiency and economy and to include the savings achieved within the overall approved budgets in the above report to the </w:t>
      </w:r>
      <w:proofErr w:type="gramStart"/>
      <w:r w:rsidRPr="00D5155B">
        <w:rPr>
          <w:i/>
          <w:iCs/>
          <w:lang w:val="en-US"/>
        </w:rPr>
        <w:t>Council;</w:t>
      </w:r>
      <w:proofErr w:type="gramEnd"/>
    </w:p>
    <w:p w14:paraId="656F15BC"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i/>
          <w:iCs/>
          <w:lang w:val="en-US"/>
        </w:rPr>
      </w:pPr>
      <w:r w:rsidRPr="00D5155B">
        <w:rPr>
          <w:i/>
          <w:iCs/>
          <w:lang w:val="en-US"/>
        </w:rPr>
        <w:t>3</w:t>
      </w:r>
      <w:r w:rsidRPr="00D5155B">
        <w:rPr>
          <w:i/>
          <w:iCs/>
          <w:lang w:val="en-US"/>
        </w:rPr>
        <w:tab/>
        <w:t>to include in the above report to the Council a report on extrabudgetary activities and related expenses."</w:t>
      </w:r>
    </w:p>
    <w:p w14:paraId="71A1B4EC" w14:textId="5D962573" w:rsidR="00D5155B" w:rsidRPr="00D5155B" w:rsidRDefault="00D5155B" w:rsidP="00D5155B">
      <w:pPr>
        <w:tabs>
          <w:tab w:val="clear" w:pos="567"/>
          <w:tab w:val="clear" w:pos="1134"/>
          <w:tab w:val="clear" w:pos="1701"/>
          <w:tab w:val="clear" w:pos="2268"/>
          <w:tab w:val="clear" w:pos="2835"/>
        </w:tabs>
        <w:overflowPunct/>
        <w:autoSpaceDE/>
        <w:autoSpaceDN/>
        <w:adjustRightInd/>
        <w:spacing w:after="120"/>
        <w:jc w:val="both"/>
        <w:textAlignment w:val="auto"/>
        <w:rPr>
          <w:lang w:val="en-US"/>
        </w:rPr>
      </w:pPr>
      <w:r>
        <w:t>1.3</w:t>
      </w:r>
      <w:r>
        <w:tab/>
        <w:t xml:space="preserve">Extrabudgetary activities </w:t>
      </w:r>
      <w:r w:rsidR="008F5129">
        <w:t>are not covered in this report.</w:t>
      </w:r>
    </w:p>
    <w:p w14:paraId="0ADEBA64" w14:textId="77777777" w:rsidR="00D5155B" w:rsidRPr="00D5155B" w:rsidRDefault="00D5155B" w:rsidP="00327001">
      <w:pPr>
        <w:tabs>
          <w:tab w:val="clear" w:pos="567"/>
          <w:tab w:val="clear" w:pos="1134"/>
          <w:tab w:val="clear" w:pos="1701"/>
          <w:tab w:val="clear" w:pos="2268"/>
          <w:tab w:val="clear" w:pos="2835"/>
        </w:tabs>
        <w:overflowPunct/>
        <w:autoSpaceDE/>
        <w:autoSpaceDN/>
        <w:adjustRightInd/>
        <w:spacing w:before="240" w:after="120"/>
        <w:jc w:val="both"/>
        <w:textAlignment w:val="auto"/>
        <w:rPr>
          <w:b/>
          <w:bCs/>
          <w:sz w:val="26"/>
          <w:szCs w:val="26"/>
        </w:rPr>
      </w:pPr>
      <w:r w:rsidRPr="00D5155B">
        <w:rPr>
          <w:b/>
          <w:bCs/>
          <w:sz w:val="26"/>
          <w:szCs w:val="26"/>
        </w:rPr>
        <w:t>2.</w:t>
      </w:r>
      <w:r w:rsidRPr="00D5155B">
        <w:tab/>
      </w:r>
      <w:r w:rsidRPr="00D5155B">
        <w:rPr>
          <w:b/>
          <w:bCs/>
          <w:sz w:val="26"/>
          <w:szCs w:val="26"/>
        </w:rPr>
        <w:t>2023 and 2024 budget implementation forecasts</w:t>
      </w:r>
    </w:p>
    <w:p w14:paraId="1DA13C56"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after="120"/>
        <w:jc w:val="both"/>
        <w:textAlignment w:val="auto"/>
        <w:rPr>
          <w:rFonts w:asciiTheme="minorHAnsi" w:hAnsiTheme="minorHAnsi" w:cstheme="minorHAnsi"/>
          <w:b/>
          <w:bCs/>
          <w:color w:val="0070C0"/>
          <w:u w:val="single"/>
        </w:rPr>
      </w:pPr>
      <w:r w:rsidRPr="00D5155B">
        <w:rPr>
          <w:rFonts w:asciiTheme="minorHAnsi" w:hAnsiTheme="minorHAnsi" w:cstheme="minorHAnsi"/>
          <w:b/>
          <w:bCs/>
          <w:color w:val="0070C0"/>
          <w:u w:val="single"/>
        </w:rPr>
        <w:t>2023</w:t>
      </w:r>
    </w:p>
    <w:p w14:paraId="4D9476F3"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after="120"/>
        <w:jc w:val="both"/>
        <w:textAlignment w:val="auto"/>
        <w:rPr>
          <w:rFonts w:asciiTheme="minorHAnsi" w:hAnsiTheme="minorHAnsi" w:cstheme="minorHAnsi"/>
        </w:rPr>
      </w:pPr>
      <w:r w:rsidRPr="00D5155B">
        <w:rPr>
          <w:rFonts w:asciiTheme="minorHAnsi" w:hAnsiTheme="minorHAnsi" w:cstheme="minorHAnsi"/>
        </w:rPr>
        <w:t>2.1</w:t>
      </w:r>
      <w:r w:rsidRPr="00D5155B">
        <w:rPr>
          <w:rFonts w:asciiTheme="minorHAnsi" w:hAnsiTheme="minorHAnsi" w:cstheme="minorHAnsi"/>
        </w:rPr>
        <w:tab/>
        <w:t>The 2022-2023 Union Budget was adopted by the Council's virtual session (and subsequent consultation) at its 2021 session by Resolution 1405. The updated biennial budget amounts to KCHF 163,414 for 2023. It is based on an annual contributory unit amount of CHF 318,000 for Member States, i.e., zero nominal growth since 2006. The Budget of the Union is being implemented in conformity with Article 10 of the Financial Regulations and Financial Rules.</w:t>
      </w:r>
    </w:p>
    <w:p w14:paraId="53A41B99"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jc w:val="both"/>
        <w:textAlignment w:val="auto"/>
        <w:rPr>
          <w:rFonts w:asciiTheme="minorHAnsi" w:hAnsiTheme="minorHAnsi" w:cstheme="minorHAnsi"/>
        </w:rPr>
      </w:pPr>
      <w:r w:rsidRPr="00D5155B">
        <w:rPr>
          <w:rFonts w:asciiTheme="minorHAnsi" w:hAnsiTheme="minorHAnsi" w:cstheme="minorHAnsi"/>
        </w:rPr>
        <w:t>2.2</w:t>
      </w:r>
      <w:r w:rsidRPr="00D5155B">
        <w:rPr>
          <w:rFonts w:asciiTheme="minorHAnsi" w:hAnsiTheme="minorHAnsi" w:cstheme="minorHAnsi"/>
        </w:rPr>
        <w:tab/>
        <w:t>The five key factors that have significantly impacted the 2023 budget implementation are:</w:t>
      </w:r>
    </w:p>
    <w:p w14:paraId="59C395D2" w14:textId="77777777"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 w:val="22"/>
          <w:szCs w:val="22"/>
          <w:lang w:val="en-US"/>
        </w:rPr>
      </w:pPr>
      <w:r w:rsidRPr="00D5155B">
        <w:rPr>
          <w:rFonts w:asciiTheme="minorHAnsi" w:eastAsiaTheme="minorHAnsi" w:hAnsiTheme="minorHAnsi" w:cstheme="minorHAnsi"/>
          <w:sz w:val="22"/>
          <w:szCs w:val="22"/>
          <w:lang w:val="en-US"/>
        </w:rPr>
        <w:t xml:space="preserve">The absence of cost recovery for TELECOM for an amount of </w:t>
      </w:r>
      <w:r w:rsidRPr="00D5155B">
        <w:rPr>
          <w:rFonts w:asciiTheme="minorHAnsi" w:eastAsiaTheme="minorHAnsi" w:hAnsiTheme="minorHAnsi" w:cstheme="minorHAnsi"/>
          <w:b/>
          <w:bCs/>
          <w:color w:val="0070C0"/>
          <w:sz w:val="22"/>
          <w:szCs w:val="22"/>
          <w:lang w:val="en-US"/>
        </w:rPr>
        <w:t>1.5 MCHF.</w:t>
      </w:r>
    </w:p>
    <w:p w14:paraId="3F577FF1" w14:textId="77777777"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 w:val="22"/>
          <w:szCs w:val="22"/>
          <w:lang w:val="en-US"/>
        </w:rPr>
      </w:pPr>
      <w:r w:rsidRPr="00D5155B">
        <w:rPr>
          <w:rFonts w:asciiTheme="minorHAnsi" w:eastAsiaTheme="minorHAnsi" w:hAnsiTheme="minorHAnsi" w:cstheme="minorHAnsi"/>
          <w:sz w:val="22"/>
          <w:szCs w:val="22"/>
          <w:lang w:val="en-US"/>
        </w:rPr>
        <w:t xml:space="preserve">The significant reduction in cost recovery revenue from the processing of satellite network filings for an amount of </w:t>
      </w:r>
      <w:r w:rsidRPr="00D5155B">
        <w:rPr>
          <w:rFonts w:asciiTheme="minorHAnsi" w:eastAsiaTheme="minorHAnsi" w:hAnsiTheme="minorHAnsi" w:cstheme="minorHAnsi"/>
          <w:b/>
          <w:bCs/>
          <w:color w:val="0070C0"/>
          <w:sz w:val="22"/>
          <w:szCs w:val="22"/>
          <w:lang w:val="en-US"/>
        </w:rPr>
        <w:t>8 MCHF.</w:t>
      </w:r>
    </w:p>
    <w:p w14:paraId="1AD4148C" w14:textId="77777777"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 w:val="22"/>
          <w:szCs w:val="22"/>
          <w:lang w:val="en-US"/>
        </w:rPr>
      </w:pPr>
      <w:r w:rsidRPr="00D5155B">
        <w:rPr>
          <w:rFonts w:asciiTheme="minorHAnsi" w:eastAsiaTheme="minorHAnsi" w:hAnsiTheme="minorHAnsi" w:cstheme="minorHAnsi"/>
          <w:sz w:val="22"/>
          <w:szCs w:val="22"/>
          <w:lang w:val="en-US"/>
        </w:rPr>
        <w:t xml:space="preserve">The 5% vacancy rate applied to all ITU positions (except elected officials) for an estimated amount of </w:t>
      </w:r>
      <w:r w:rsidRPr="00D5155B">
        <w:rPr>
          <w:rFonts w:asciiTheme="minorHAnsi" w:eastAsiaTheme="minorHAnsi" w:hAnsiTheme="minorHAnsi" w:cstheme="minorHAnsi"/>
          <w:b/>
          <w:bCs/>
          <w:color w:val="0070C0"/>
          <w:sz w:val="22"/>
          <w:szCs w:val="22"/>
          <w:lang w:val="en-US"/>
        </w:rPr>
        <w:t>6.2 MCHF.</w:t>
      </w:r>
    </w:p>
    <w:p w14:paraId="55250A16" w14:textId="77777777"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 w:val="22"/>
          <w:szCs w:val="22"/>
          <w:lang w:val="en-US"/>
        </w:rPr>
      </w:pPr>
      <w:r w:rsidRPr="00D5155B">
        <w:rPr>
          <w:rFonts w:asciiTheme="minorHAnsi" w:eastAsiaTheme="minorHAnsi" w:hAnsiTheme="minorHAnsi" w:cstheme="minorHAnsi"/>
          <w:sz w:val="22"/>
          <w:szCs w:val="22"/>
          <w:lang w:val="en-US"/>
        </w:rPr>
        <w:t xml:space="preserve">The salary scale increases for G staff and pensionable remuneration increases for an estimated amount of </w:t>
      </w:r>
      <w:r w:rsidRPr="00D5155B">
        <w:rPr>
          <w:rFonts w:asciiTheme="minorHAnsi" w:eastAsiaTheme="minorHAnsi" w:hAnsiTheme="minorHAnsi" w:cstheme="minorHAnsi"/>
          <w:b/>
          <w:bCs/>
          <w:color w:val="0070C0"/>
          <w:sz w:val="22"/>
          <w:szCs w:val="22"/>
          <w:lang w:val="en-US"/>
        </w:rPr>
        <w:t>2.7 MCHF.</w:t>
      </w:r>
    </w:p>
    <w:p w14:paraId="0900D5EC" w14:textId="77777777"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 w:val="22"/>
          <w:szCs w:val="22"/>
          <w:lang w:val="en-US"/>
        </w:rPr>
      </w:pPr>
      <w:r w:rsidRPr="00D5155B">
        <w:rPr>
          <w:rFonts w:asciiTheme="minorHAnsi" w:eastAsiaTheme="minorHAnsi" w:hAnsiTheme="minorHAnsi" w:cstheme="minorHAnsi"/>
          <w:sz w:val="22"/>
          <w:szCs w:val="22"/>
          <w:lang w:val="en-US"/>
        </w:rPr>
        <w:t xml:space="preserve">There is a significant increase in electricity prices for an amount of </w:t>
      </w:r>
      <w:r w:rsidRPr="00D5155B">
        <w:rPr>
          <w:rFonts w:asciiTheme="minorHAnsi" w:eastAsiaTheme="minorHAnsi" w:hAnsiTheme="minorHAnsi" w:cstheme="minorHAnsi"/>
          <w:b/>
          <w:bCs/>
          <w:color w:val="0070C0"/>
          <w:sz w:val="22"/>
          <w:szCs w:val="22"/>
          <w:lang w:val="en-US"/>
        </w:rPr>
        <w:t>0.9 MCHF.</w:t>
      </w:r>
    </w:p>
    <w:p w14:paraId="001B6FBE" w14:textId="77777777" w:rsidR="00D5155B" w:rsidRPr="00D5155B" w:rsidRDefault="00D5155B" w:rsidP="00D5155B">
      <w:pPr>
        <w:snapToGrid w:val="0"/>
        <w:jc w:val="both"/>
        <w:rPr>
          <w:rFonts w:cstheme="minorHAnsi"/>
        </w:rPr>
      </w:pPr>
      <w:r w:rsidRPr="00D5155B">
        <w:rPr>
          <w:rFonts w:cstheme="minorHAnsi"/>
        </w:rPr>
        <w:t xml:space="preserve">Totalling </w:t>
      </w:r>
      <w:r w:rsidRPr="00D5155B">
        <w:rPr>
          <w:rFonts w:cstheme="minorHAnsi"/>
          <w:b/>
          <w:bCs/>
          <w:color w:val="0070C0"/>
        </w:rPr>
        <w:t>19.3 MCHF</w:t>
      </w:r>
      <w:r w:rsidRPr="00D5155B">
        <w:rPr>
          <w:rFonts w:cstheme="minorHAnsi"/>
          <w:color w:val="0070C0"/>
        </w:rPr>
        <w:t xml:space="preserve"> </w:t>
      </w:r>
      <w:r w:rsidRPr="00D5155B">
        <w:rPr>
          <w:rFonts w:cstheme="minorHAnsi"/>
        </w:rPr>
        <w:t xml:space="preserve">or </w:t>
      </w:r>
      <w:r w:rsidRPr="00D5155B">
        <w:rPr>
          <w:rFonts w:cstheme="minorHAnsi"/>
          <w:b/>
          <w:bCs/>
          <w:color w:val="0070C0"/>
        </w:rPr>
        <w:t>11.8%</w:t>
      </w:r>
      <w:r w:rsidRPr="00D5155B">
        <w:rPr>
          <w:rFonts w:cstheme="minorHAnsi"/>
          <w:color w:val="0070C0"/>
        </w:rPr>
        <w:t xml:space="preserve"> </w:t>
      </w:r>
      <w:r w:rsidRPr="00D5155B">
        <w:rPr>
          <w:rFonts w:cstheme="minorHAnsi"/>
        </w:rPr>
        <w:t>of the 2023 budget.</w:t>
      </w:r>
    </w:p>
    <w:p w14:paraId="379A778F" w14:textId="77777777" w:rsidR="00D5155B" w:rsidRPr="00D5155B" w:rsidRDefault="00D5155B" w:rsidP="00D5155B">
      <w:pPr>
        <w:snapToGrid w:val="0"/>
        <w:jc w:val="both"/>
        <w:rPr>
          <w:rFonts w:cstheme="minorHAnsi"/>
        </w:rPr>
      </w:pPr>
      <w:r w:rsidRPr="00D5155B">
        <w:rPr>
          <w:rFonts w:cstheme="minorHAnsi"/>
        </w:rPr>
        <w:t>2.3</w:t>
      </w:r>
      <w:r w:rsidRPr="00D5155B">
        <w:rPr>
          <w:rFonts w:cstheme="minorHAnsi"/>
        </w:rPr>
        <w:tab/>
        <w:t xml:space="preserve">The possible deficit was identified in October 2022. Since then, many efficiency measures have been implemented together with strict financial control to eliminate this anticipated deficit. The rigorous management of the expenses, the planning and review of all forecasts for staff, contractual services, travel, and other operating costs, together with an increase in documentation productivity, have been some of the primary measures that </w:t>
      </w:r>
      <w:r w:rsidRPr="00D5155B">
        <w:rPr>
          <w:rFonts w:cstheme="minorHAnsi"/>
        </w:rPr>
        <w:lastRenderedPageBreak/>
        <w:t>permitted to offset the anticipated deficit and tone down the five critical factors described in 2.2) above.</w:t>
      </w:r>
    </w:p>
    <w:p w14:paraId="3BE970E2" w14:textId="72771FD1" w:rsidR="00D5155B" w:rsidRPr="00D5155B" w:rsidRDefault="00D5155B" w:rsidP="311B6658">
      <w:pPr>
        <w:snapToGrid w:val="0"/>
        <w:jc w:val="both"/>
        <w:rPr>
          <w:rFonts w:cstheme="minorBidi"/>
        </w:rPr>
      </w:pPr>
      <w:r w:rsidRPr="311B6658">
        <w:rPr>
          <w:rFonts w:cstheme="minorBidi"/>
        </w:rPr>
        <w:t xml:space="preserve">2.4 </w:t>
      </w:r>
      <w:r>
        <w:tab/>
      </w:r>
      <w:r w:rsidRPr="311B6658">
        <w:rPr>
          <w:rFonts w:cstheme="minorBidi"/>
        </w:rPr>
        <w:t xml:space="preserve">As of </w:t>
      </w:r>
      <w:r w:rsidR="00206DCA" w:rsidRPr="311B6658">
        <w:rPr>
          <w:rFonts w:cstheme="minorBidi"/>
        </w:rPr>
        <w:t>5 December</w:t>
      </w:r>
      <w:r w:rsidRPr="311B6658">
        <w:rPr>
          <w:rFonts w:cstheme="minorBidi"/>
        </w:rPr>
        <w:t xml:space="preserve"> 2023, the anticipated 2023 budget implementation result is </w:t>
      </w:r>
      <w:r w:rsidRPr="311B6658">
        <w:rPr>
          <w:rFonts w:cstheme="minorBidi"/>
          <w:b/>
          <w:bCs/>
          <w:color w:val="0070C0"/>
        </w:rPr>
        <w:t>positive</w:t>
      </w:r>
      <w:r w:rsidRPr="311B6658">
        <w:rPr>
          <w:rFonts w:cstheme="minorBidi"/>
        </w:rPr>
        <w:t xml:space="preserve"> and stands at </w:t>
      </w:r>
      <w:r w:rsidRPr="311B6658">
        <w:rPr>
          <w:rFonts w:cstheme="minorBidi"/>
          <w:b/>
          <w:bCs/>
          <w:color w:val="0070C0"/>
        </w:rPr>
        <w:t>+</w:t>
      </w:r>
      <w:r w:rsidR="00206DCA" w:rsidRPr="311B6658">
        <w:rPr>
          <w:rFonts w:cstheme="minorBidi"/>
          <w:b/>
          <w:bCs/>
          <w:color w:val="0070C0"/>
        </w:rPr>
        <w:t>267</w:t>
      </w:r>
      <w:r w:rsidRPr="311B6658">
        <w:rPr>
          <w:rFonts w:cstheme="minorBidi"/>
          <w:b/>
          <w:bCs/>
          <w:color w:val="0070C0"/>
        </w:rPr>
        <w:t xml:space="preserve"> KCHF</w:t>
      </w:r>
      <w:r w:rsidRPr="311B6658">
        <w:rPr>
          <w:rFonts w:cstheme="minorBidi"/>
        </w:rPr>
        <w:t>, broken down in Table 1 below:</w:t>
      </w:r>
    </w:p>
    <w:p w14:paraId="059C5E5B" w14:textId="77777777" w:rsidR="00D5155B" w:rsidRPr="00D5155B" w:rsidRDefault="00D5155B" w:rsidP="311B6658">
      <w:pPr>
        <w:snapToGrid w:val="0"/>
        <w:spacing w:before="0"/>
        <w:jc w:val="both"/>
        <w:rPr>
          <w:rFonts w:cstheme="minorBidi"/>
        </w:rPr>
      </w:pPr>
    </w:p>
    <w:p w14:paraId="5ADC6AC6" w14:textId="77777777" w:rsidR="00D5155B" w:rsidRPr="00D5155B" w:rsidRDefault="00D5155B" w:rsidP="00D5155B">
      <w:pPr>
        <w:snapToGrid w:val="0"/>
        <w:spacing w:before="0"/>
        <w:jc w:val="center"/>
        <w:rPr>
          <w:rFonts w:cstheme="minorHAnsi"/>
        </w:rPr>
      </w:pPr>
      <w:r w:rsidRPr="00D5155B">
        <w:rPr>
          <w:rFonts w:cstheme="minorHAnsi"/>
        </w:rPr>
        <w:t>Table 1</w:t>
      </w:r>
    </w:p>
    <w:p w14:paraId="54F92417" w14:textId="54067F82" w:rsidR="00D5155B" w:rsidRPr="00D5155B" w:rsidRDefault="00206DCA" w:rsidP="311B6658">
      <w:pPr>
        <w:snapToGrid w:val="0"/>
        <w:jc w:val="center"/>
        <w:rPr>
          <w:rFonts w:asciiTheme="minorHAnsi" w:hAnsiTheme="minorHAnsi" w:cstheme="minorBidi"/>
        </w:rPr>
      </w:pPr>
      <w:r>
        <w:rPr>
          <w:noProof/>
        </w:rPr>
        <w:drawing>
          <wp:inline distT="0" distB="0" distL="0" distR="0" wp14:anchorId="4F5B98C4" wp14:editId="6FB34369">
            <wp:extent cx="4432300" cy="1384300"/>
            <wp:effectExtent l="0" t="0" r="0" b="0"/>
            <wp:docPr id="2010211446" name="Picture 20102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211446"/>
                    <pic:cNvPicPr/>
                  </pic:nvPicPr>
                  <pic:blipFill>
                    <a:blip r:embed="rId16">
                      <a:extLst>
                        <a:ext uri="{28A0092B-C50C-407E-A947-70E740481C1C}">
                          <a14:useLocalDpi xmlns:a14="http://schemas.microsoft.com/office/drawing/2010/main" val="0"/>
                        </a:ext>
                      </a:extLst>
                    </a:blip>
                    <a:stretch>
                      <a:fillRect/>
                    </a:stretch>
                  </pic:blipFill>
                  <pic:spPr>
                    <a:xfrm>
                      <a:off x="0" y="0"/>
                      <a:ext cx="4432300" cy="1384300"/>
                    </a:xfrm>
                    <a:prstGeom prst="rect">
                      <a:avLst/>
                    </a:prstGeom>
                  </pic:spPr>
                </pic:pic>
              </a:graphicData>
            </a:graphic>
          </wp:inline>
        </w:drawing>
      </w:r>
    </w:p>
    <w:p w14:paraId="74EA715A" w14:textId="77777777" w:rsidR="00D5155B" w:rsidRPr="00D5155B" w:rsidRDefault="00D5155B" w:rsidP="00D5155B">
      <w:pPr>
        <w:snapToGrid w:val="0"/>
        <w:spacing w:before="0"/>
        <w:jc w:val="both"/>
        <w:rPr>
          <w:rFonts w:asciiTheme="minorHAnsi" w:hAnsiTheme="minorHAnsi" w:cstheme="minorHAnsi"/>
        </w:rPr>
      </w:pPr>
    </w:p>
    <w:p w14:paraId="610B7238" w14:textId="77777777" w:rsidR="00D5155B" w:rsidRPr="00D5155B" w:rsidRDefault="00D5155B" w:rsidP="00D5155B">
      <w:pPr>
        <w:snapToGrid w:val="0"/>
        <w:spacing w:before="0"/>
        <w:jc w:val="both"/>
        <w:rPr>
          <w:rFonts w:asciiTheme="minorHAnsi" w:hAnsiTheme="minorHAnsi" w:cstheme="minorHAnsi"/>
        </w:rPr>
      </w:pPr>
      <w:r w:rsidRPr="00D5155B">
        <w:rPr>
          <w:rFonts w:asciiTheme="minorHAnsi" w:hAnsiTheme="minorHAnsi" w:cstheme="minorHAnsi"/>
        </w:rPr>
        <w:t>Table 2 and Chart 1 provide the breakdown of expenses by Sector:</w:t>
      </w:r>
    </w:p>
    <w:p w14:paraId="0F29B72C" w14:textId="77777777" w:rsidR="00D5155B" w:rsidRPr="00D5155B" w:rsidRDefault="00D5155B" w:rsidP="00D5155B">
      <w:pPr>
        <w:snapToGrid w:val="0"/>
        <w:jc w:val="center"/>
        <w:rPr>
          <w:rFonts w:asciiTheme="minorHAnsi" w:hAnsiTheme="minorHAnsi" w:cstheme="minorHAnsi"/>
        </w:rPr>
      </w:pPr>
      <w:r w:rsidRPr="00D5155B">
        <w:rPr>
          <w:rFonts w:asciiTheme="minorHAnsi" w:hAnsiTheme="minorHAnsi" w:cstheme="minorHAnsi"/>
        </w:rPr>
        <w:t>Table 2</w:t>
      </w:r>
    </w:p>
    <w:p w14:paraId="4E64CAE1" w14:textId="4A0F45AD" w:rsidR="00D5155B" w:rsidRPr="00D5155B" w:rsidRDefault="008F5129" w:rsidP="311B6658">
      <w:pPr>
        <w:snapToGrid w:val="0"/>
        <w:jc w:val="both"/>
        <w:rPr>
          <w:rFonts w:asciiTheme="minorHAnsi" w:hAnsiTheme="minorHAnsi" w:cstheme="minorBidi"/>
        </w:rPr>
      </w:pPr>
      <w:r w:rsidRPr="008F5129">
        <w:rPr>
          <w:rFonts w:asciiTheme="minorHAnsi" w:hAnsiTheme="minorHAnsi" w:cstheme="minorBidi"/>
          <w:noProof/>
        </w:rPr>
        <w:drawing>
          <wp:inline distT="0" distB="0" distL="0" distR="0" wp14:anchorId="46F0ED6A" wp14:editId="41F02E65">
            <wp:extent cx="5760085" cy="1635125"/>
            <wp:effectExtent l="0" t="0" r="5715" b="3175"/>
            <wp:docPr id="60823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35176" name=""/>
                    <pic:cNvPicPr/>
                  </pic:nvPicPr>
                  <pic:blipFill>
                    <a:blip r:embed="rId17"/>
                    <a:stretch>
                      <a:fillRect/>
                    </a:stretch>
                  </pic:blipFill>
                  <pic:spPr>
                    <a:xfrm>
                      <a:off x="0" y="0"/>
                      <a:ext cx="5760085" cy="1635125"/>
                    </a:xfrm>
                    <a:prstGeom prst="rect">
                      <a:avLst/>
                    </a:prstGeom>
                  </pic:spPr>
                </pic:pic>
              </a:graphicData>
            </a:graphic>
          </wp:inline>
        </w:drawing>
      </w:r>
    </w:p>
    <w:p w14:paraId="0BC806EA" w14:textId="77777777" w:rsidR="00D5155B" w:rsidRPr="00D5155B" w:rsidRDefault="00D5155B" w:rsidP="00D5155B">
      <w:pPr>
        <w:snapToGrid w:val="0"/>
        <w:jc w:val="both"/>
        <w:rPr>
          <w:rFonts w:asciiTheme="minorHAnsi" w:hAnsiTheme="minorHAnsi" w:cstheme="minorHAnsi"/>
        </w:rPr>
      </w:pPr>
    </w:p>
    <w:p w14:paraId="13BDE513" w14:textId="77777777" w:rsidR="00D5155B" w:rsidRPr="00D5155B" w:rsidRDefault="00D5155B" w:rsidP="00D5155B">
      <w:pPr>
        <w:snapToGrid w:val="0"/>
        <w:jc w:val="center"/>
        <w:rPr>
          <w:rFonts w:asciiTheme="minorHAnsi" w:hAnsiTheme="minorHAnsi" w:cstheme="minorHAnsi"/>
        </w:rPr>
      </w:pPr>
      <w:r w:rsidRPr="00D5155B">
        <w:rPr>
          <w:rFonts w:asciiTheme="minorHAnsi" w:hAnsiTheme="minorHAnsi" w:cstheme="minorHAnsi"/>
        </w:rPr>
        <w:t>Chart 1</w:t>
      </w:r>
    </w:p>
    <w:p w14:paraId="7709C7DD" w14:textId="4C1430F4" w:rsidR="00D5155B" w:rsidRPr="00D5155B" w:rsidRDefault="00206DCA" w:rsidP="311B6658">
      <w:pPr>
        <w:snapToGrid w:val="0"/>
        <w:jc w:val="center"/>
        <w:rPr>
          <w:rFonts w:asciiTheme="minorHAnsi" w:hAnsiTheme="minorHAnsi" w:cstheme="minorBidi"/>
        </w:rPr>
      </w:pPr>
      <w:r>
        <w:rPr>
          <w:noProof/>
        </w:rPr>
        <w:drawing>
          <wp:inline distT="0" distB="0" distL="0" distR="0" wp14:anchorId="101FB972" wp14:editId="0F3E4BD0">
            <wp:extent cx="5760084" cy="2780665"/>
            <wp:effectExtent l="0" t="0" r="0" b="635"/>
            <wp:docPr id="953968233" name="Picture 95396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68233"/>
                    <pic:cNvPicPr/>
                  </pic:nvPicPr>
                  <pic:blipFill>
                    <a:blip r:embed="rId18">
                      <a:extLst>
                        <a:ext uri="{28A0092B-C50C-407E-A947-70E740481C1C}">
                          <a14:useLocalDpi xmlns:a14="http://schemas.microsoft.com/office/drawing/2010/main" val="0"/>
                        </a:ext>
                      </a:extLst>
                    </a:blip>
                    <a:stretch>
                      <a:fillRect/>
                    </a:stretch>
                  </pic:blipFill>
                  <pic:spPr>
                    <a:xfrm>
                      <a:off x="0" y="0"/>
                      <a:ext cx="5760084" cy="2780665"/>
                    </a:xfrm>
                    <a:prstGeom prst="rect">
                      <a:avLst/>
                    </a:prstGeom>
                  </pic:spPr>
                </pic:pic>
              </a:graphicData>
            </a:graphic>
          </wp:inline>
        </w:drawing>
      </w:r>
    </w:p>
    <w:p w14:paraId="4D4571CE" w14:textId="77777777" w:rsidR="00D5155B" w:rsidRPr="00D5155B" w:rsidRDefault="00D5155B" w:rsidP="00D5155B">
      <w:pPr>
        <w:snapToGrid w:val="0"/>
        <w:spacing w:before="0"/>
        <w:jc w:val="both"/>
        <w:rPr>
          <w:rFonts w:asciiTheme="minorHAnsi" w:hAnsiTheme="minorHAnsi" w:cstheme="minorHAnsi"/>
        </w:rPr>
      </w:pPr>
    </w:p>
    <w:p w14:paraId="5680233E" w14:textId="77777777" w:rsidR="00BC31DF" w:rsidRDefault="00BC31D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7C2BC3E0" w14:textId="2C5BBD76" w:rsidR="00D5155B" w:rsidRPr="00D5155B" w:rsidRDefault="00D5155B" w:rsidP="00D5155B">
      <w:pPr>
        <w:snapToGrid w:val="0"/>
        <w:spacing w:before="0"/>
        <w:jc w:val="both"/>
        <w:rPr>
          <w:rFonts w:asciiTheme="minorHAnsi" w:hAnsiTheme="minorHAnsi" w:cstheme="minorHAnsi"/>
        </w:rPr>
      </w:pPr>
      <w:r w:rsidRPr="00D5155B">
        <w:rPr>
          <w:rFonts w:asciiTheme="minorHAnsi" w:hAnsiTheme="minorHAnsi" w:cstheme="minorHAnsi"/>
        </w:rPr>
        <w:lastRenderedPageBreak/>
        <w:t>Table 3 provides the breakdown of revenue by source:</w:t>
      </w:r>
    </w:p>
    <w:p w14:paraId="360652A0" w14:textId="77777777" w:rsidR="00D5155B" w:rsidRPr="00D5155B" w:rsidRDefault="00D5155B" w:rsidP="00D5155B">
      <w:pPr>
        <w:snapToGrid w:val="0"/>
        <w:spacing w:before="0"/>
        <w:jc w:val="both"/>
        <w:rPr>
          <w:rFonts w:asciiTheme="minorHAnsi" w:hAnsiTheme="minorHAnsi" w:cstheme="minorHAnsi"/>
        </w:rPr>
      </w:pPr>
    </w:p>
    <w:p w14:paraId="2B9C8D7B" w14:textId="77777777" w:rsidR="00D5155B" w:rsidRPr="00D5155B" w:rsidRDefault="00D5155B" w:rsidP="00D5155B">
      <w:pPr>
        <w:snapToGrid w:val="0"/>
        <w:spacing w:before="0"/>
        <w:jc w:val="center"/>
        <w:rPr>
          <w:rFonts w:asciiTheme="minorHAnsi" w:hAnsiTheme="minorHAnsi" w:cstheme="minorHAnsi"/>
        </w:rPr>
      </w:pPr>
      <w:r w:rsidRPr="00D5155B">
        <w:rPr>
          <w:rFonts w:asciiTheme="minorHAnsi" w:hAnsiTheme="minorHAnsi" w:cstheme="minorHAnsi"/>
        </w:rPr>
        <w:t>Table 3</w:t>
      </w:r>
    </w:p>
    <w:p w14:paraId="2FEC7ADB" w14:textId="77777777" w:rsidR="00D5155B" w:rsidRPr="00D5155B" w:rsidRDefault="00D5155B" w:rsidP="00D5155B">
      <w:pPr>
        <w:snapToGrid w:val="0"/>
        <w:spacing w:before="0"/>
        <w:jc w:val="both"/>
        <w:rPr>
          <w:rFonts w:asciiTheme="minorHAnsi" w:hAnsiTheme="minorHAnsi" w:cstheme="minorHAnsi"/>
        </w:rPr>
      </w:pPr>
    </w:p>
    <w:p w14:paraId="1E31EEDD" w14:textId="2DD5ED4E" w:rsidR="00D5155B" w:rsidRPr="00D5155B" w:rsidRDefault="008F5129" w:rsidP="311B6658">
      <w:pPr>
        <w:snapToGrid w:val="0"/>
        <w:spacing w:before="0"/>
        <w:jc w:val="both"/>
        <w:rPr>
          <w:rFonts w:asciiTheme="minorHAnsi" w:hAnsiTheme="minorHAnsi" w:cstheme="minorBidi"/>
        </w:rPr>
      </w:pPr>
      <w:r w:rsidRPr="008F5129">
        <w:rPr>
          <w:rFonts w:asciiTheme="minorHAnsi" w:hAnsiTheme="minorHAnsi" w:cstheme="minorBidi"/>
          <w:noProof/>
        </w:rPr>
        <w:drawing>
          <wp:inline distT="0" distB="0" distL="0" distR="0" wp14:anchorId="02FD9458" wp14:editId="353986AC">
            <wp:extent cx="5760085" cy="1916430"/>
            <wp:effectExtent l="0" t="0" r="5715" b="1270"/>
            <wp:docPr id="137772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2166" name=""/>
                    <pic:cNvPicPr/>
                  </pic:nvPicPr>
                  <pic:blipFill>
                    <a:blip r:embed="rId19"/>
                    <a:stretch>
                      <a:fillRect/>
                    </a:stretch>
                  </pic:blipFill>
                  <pic:spPr>
                    <a:xfrm>
                      <a:off x="0" y="0"/>
                      <a:ext cx="5760085" cy="1916430"/>
                    </a:xfrm>
                    <a:prstGeom prst="rect">
                      <a:avLst/>
                    </a:prstGeom>
                  </pic:spPr>
                </pic:pic>
              </a:graphicData>
            </a:graphic>
          </wp:inline>
        </w:drawing>
      </w:r>
    </w:p>
    <w:p w14:paraId="7CA55CD0" w14:textId="77777777" w:rsidR="00D5155B" w:rsidRPr="00D5155B" w:rsidRDefault="00D5155B" w:rsidP="00D5155B">
      <w:pPr>
        <w:snapToGrid w:val="0"/>
        <w:spacing w:before="0"/>
        <w:jc w:val="both"/>
        <w:rPr>
          <w:rFonts w:asciiTheme="minorHAnsi" w:hAnsiTheme="minorHAnsi" w:cstheme="minorHAnsi"/>
        </w:rPr>
      </w:pPr>
    </w:p>
    <w:p w14:paraId="6EE6912B" w14:textId="292B6558"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textAlignment w:val="auto"/>
        <w:rPr>
          <w:rFonts w:cstheme="minorHAnsi"/>
          <w:szCs w:val="24"/>
        </w:rPr>
      </w:pPr>
      <w:r w:rsidRPr="00D5155B">
        <w:rPr>
          <w:rFonts w:cstheme="minorHAnsi"/>
          <w:szCs w:val="24"/>
        </w:rPr>
        <w:t xml:space="preserve">2.5 </w:t>
      </w:r>
      <w:r w:rsidRPr="00D5155B">
        <w:rPr>
          <w:rFonts w:cstheme="minorHAnsi"/>
          <w:szCs w:val="24"/>
        </w:rPr>
        <w:tab/>
        <w:t>The key risk factors that may compromise the positive implementation of the 2023</w:t>
      </w:r>
      <w:r w:rsidR="009D2925">
        <w:rPr>
          <w:rFonts w:cstheme="minorHAnsi"/>
          <w:szCs w:val="24"/>
        </w:rPr>
        <w:t> </w:t>
      </w:r>
      <w:r w:rsidRPr="00D5155B">
        <w:rPr>
          <w:rFonts w:cstheme="minorHAnsi"/>
          <w:szCs w:val="24"/>
        </w:rPr>
        <w:t>budget until the end of 2023 are the following:</w:t>
      </w:r>
    </w:p>
    <w:p w14:paraId="1E5C1755" w14:textId="77777777" w:rsidR="00D5155B" w:rsidRPr="00D5155B" w:rsidRDefault="00D5155B" w:rsidP="009D2925">
      <w:pPr>
        <w:widowControl w:val="0"/>
        <w:numPr>
          <w:ilvl w:val="0"/>
          <w:numId w:val="6"/>
        </w:numPr>
        <w:tabs>
          <w:tab w:val="clear" w:pos="567"/>
          <w:tab w:val="clear" w:pos="1134"/>
          <w:tab w:val="clear" w:pos="1701"/>
          <w:tab w:val="clear" w:pos="2268"/>
          <w:tab w:val="clear" w:pos="2835"/>
        </w:tabs>
        <w:overflowPunct/>
        <w:autoSpaceDE/>
        <w:autoSpaceDN/>
        <w:adjustRightInd/>
        <w:ind w:left="714" w:hanging="357"/>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Cost recovery revenue from processing satellite network filings remains within the forecast of 10 MCHF for 2023.</w:t>
      </w:r>
    </w:p>
    <w:p w14:paraId="4DF7E355" w14:textId="77777777" w:rsidR="00D5155B" w:rsidRPr="00D5155B" w:rsidRDefault="00D5155B" w:rsidP="00D5155B">
      <w:pPr>
        <w:widowControl w:val="0"/>
        <w:numPr>
          <w:ilvl w:val="0"/>
          <w:numId w:val="6"/>
        </w:num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Sales of publications revenue remain within the forecast of 16.65 MCHF for 2023.</w:t>
      </w:r>
    </w:p>
    <w:p w14:paraId="39D90A59" w14:textId="53D46BEB" w:rsidR="00D5155B" w:rsidRPr="00D5155B" w:rsidRDefault="00D5155B" w:rsidP="00D5155B">
      <w:pPr>
        <w:widowControl w:val="0"/>
        <w:numPr>
          <w:ilvl w:val="0"/>
          <w:numId w:val="6"/>
        </w:num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 xml:space="preserve">Total expenses forecast until the end of 2023 remain within the planned expenses estimated from </w:t>
      </w:r>
      <w:r w:rsidR="00206DCA">
        <w:rPr>
          <w:rFonts w:asciiTheme="minorHAnsi" w:eastAsiaTheme="minorHAnsi" w:hAnsiTheme="minorHAnsi" w:cstheme="minorHAnsi"/>
          <w:szCs w:val="24"/>
          <w:lang w:val="en-US"/>
        </w:rPr>
        <w:t>5 December</w:t>
      </w:r>
      <w:r w:rsidRPr="00D5155B">
        <w:rPr>
          <w:rFonts w:asciiTheme="minorHAnsi" w:eastAsiaTheme="minorHAnsi" w:hAnsiTheme="minorHAnsi" w:cstheme="minorHAnsi"/>
          <w:szCs w:val="24"/>
          <w:lang w:val="en-US"/>
        </w:rPr>
        <w:t xml:space="preserve"> 2023 until the end of 2023 for a maximum amount of </w:t>
      </w:r>
      <w:r w:rsidR="00206DCA">
        <w:rPr>
          <w:rFonts w:asciiTheme="minorHAnsi" w:eastAsiaTheme="minorHAnsi" w:hAnsiTheme="minorHAnsi" w:cstheme="minorHAnsi"/>
          <w:szCs w:val="24"/>
          <w:lang w:val="en-US"/>
        </w:rPr>
        <w:t>3.2 </w:t>
      </w:r>
      <w:r w:rsidRPr="00D5155B">
        <w:rPr>
          <w:rFonts w:asciiTheme="minorHAnsi" w:eastAsiaTheme="minorHAnsi" w:hAnsiTheme="minorHAnsi" w:cstheme="minorHAnsi"/>
          <w:szCs w:val="24"/>
          <w:lang w:val="en-US"/>
        </w:rPr>
        <w:t>MCHF.</w:t>
      </w:r>
    </w:p>
    <w:p w14:paraId="72488D43"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after="120"/>
        <w:jc w:val="both"/>
        <w:textAlignment w:val="auto"/>
        <w:rPr>
          <w:rFonts w:asciiTheme="minorHAnsi" w:hAnsiTheme="minorHAnsi" w:cstheme="minorHAnsi"/>
          <w:b/>
          <w:bCs/>
          <w:color w:val="0070C0"/>
          <w:u w:val="single"/>
        </w:rPr>
      </w:pPr>
      <w:r w:rsidRPr="00D5155B">
        <w:rPr>
          <w:rFonts w:asciiTheme="minorHAnsi" w:hAnsiTheme="minorHAnsi" w:cstheme="minorHAnsi"/>
          <w:b/>
          <w:bCs/>
          <w:color w:val="0070C0"/>
          <w:u w:val="single"/>
        </w:rPr>
        <w:t>2024</w:t>
      </w:r>
    </w:p>
    <w:p w14:paraId="64602711"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after="120"/>
        <w:jc w:val="both"/>
        <w:textAlignment w:val="auto"/>
        <w:rPr>
          <w:rFonts w:asciiTheme="minorHAnsi" w:hAnsiTheme="minorHAnsi" w:cstheme="minorHAnsi"/>
        </w:rPr>
      </w:pPr>
      <w:r w:rsidRPr="00D5155B">
        <w:rPr>
          <w:rFonts w:asciiTheme="minorHAnsi" w:hAnsiTheme="minorHAnsi" w:cstheme="minorHAnsi"/>
        </w:rPr>
        <w:t>2.6</w:t>
      </w:r>
      <w:r w:rsidRPr="00D5155B">
        <w:rPr>
          <w:rFonts w:asciiTheme="minorHAnsi" w:hAnsiTheme="minorHAnsi" w:cstheme="minorHAnsi"/>
        </w:rPr>
        <w:tab/>
        <w:t>The Council adopted the 2024-2025 Budget of the Union at its 2023 ordinary session by Resolution 1417. The updated biennial budget amounts to KCHF 164,933 for 2024. It is also based on an annual contributory unit amount of CHF 318,000 for Member States, i.e., zero nominal growth since 2006.</w:t>
      </w:r>
    </w:p>
    <w:p w14:paraId="57C7AE63" w14:textId="77777777" w:rsidR="00D5155B" w:rsidRPr="00D5155B" w:rsidRDefault="00D5155B" w:rsidP="00D5155B">
      <w:pPr>
        <w:tabs>
          <w:tab w:val="clear" w:pos="567"/>
          <w:tab w:val="clear" w:pos="1134"/>
          <w:tab w:val="clear" w:pos="1701"/>
          <w:tab w:val="clear" w:pos="2268"/>
          <w:tab w:val="clear" w:pos="2835"/>
        </w:tabs>
        <w:overflowPunct/>
        <w:autoSpaceDE/>
        <w:autoSpaceDN/>
        <w:snapToGrid w:val="0"/>
        <w:spacing w:before="240"/>
        <w:jc w:val="both"/>
        <w:textAlignment w:val="auto"/>
        <w:rPr>
          <w:rFonts w:asciiTheme="minorHAnsi" w:hAnsiTheme="minorHAnsi" w:cstheme="minorHAnsi"/>
        </w:rPr>
      </w:pPr>
      <w:r w:rsidRPr="00D5155B">
        <w:rPr>
          <w:rFonts w:asciiTheme="minorHAnsi" w:hAnsiTheme="minorHAnsi" w:cstheme="minorHAnsi"/>
        </w:rPr>
        <w:t>2.7</w:t>
      </w:r>
      <w:r w:rsidRPr="00D5155B">
        <w:rPr>
          <w:rFonts w:asciiTheme="minorHAnsi" w:hAnsiTheme="minorHAnsi" w:cstheme="minorHAnsi"/>
        </w:rPr>
        <w:tab/>
        <w:t>The two key factors currently known that will impact the 2024 budget implementation are:</w:t>
      </w:r>
    </w:p>
    <w:p w14:paraId="2279E56E" w14:textId="77777777" w:rsidR="00D5155B" w:rsidRPr="00D5155B" w:rsidRDefault="00D5155B" w:rsidP="009D2925">
      <w:pPr>
        <w:widowControl w:val="0"/>
        <w:numPr>
          <w:ilvl w:val="0"/>
          <w:numId w:val="5"/>
        </w:numPr>
        <w:tabs>
          <w:tab w:val="clear" w:pos="567"/>
          <w:tab w:val="clear" w:pos="1134"/>
          <w:tab w:val="clear" w:pos="1701"/>
          <w:tab w:val="clear" w:pos="2268"/>
          <w:tab w:val="clear" w:pos="2835"/>
        </w:tabs>
        <w:overflowPunct/>
        <w:autoSpaceDE/>
        <w:autoSpaceDN/>
        <w:adjustRightInd/>
        <w:snapToGrid w:val="0"/>
        <w:ind w:left="714" w:hanging="357"/>
        <w:jc w:val="both"/>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 xml:space="preserve">The reduction in cost recovery revenue from the processing of satellite network filings for an amount of </w:t>
      </w:r>
      <w:r w:rsidRPr="00D5155B">
        <w:rPr>
          <w:rFonts w:asciiTheme="minorHAnsi" w:eastAsiaTheme="minorHAnsi" w:hAnsiTheme="minorHAnsi" w:cstheme="minorHAnsi"/>
          <w:b/>
          <w:bCs/>
          <w:color w:val="0070C0"/>
          <w:szCs w:val="24"/>
          <w:lang w:val="en-US"/>
        </w:rPr>
        <w:t xml:space="preserve">4 MCHF </w:t>
      </w:r>
      <w:r w:rsidRPr="00D5155B">
        <w:rPr>
          <w:rFonts w:asciiTheme="minorHAnsi" w:eastAsiaTheme="minorHAnsi" w:hAnsiTheme="minorHAnsi" w:cstheme="minorHAnsi"/>
          <w:color w:val="000000" w:themeColor="text1"/>
          <w:szCs w:val="24"/>
          <w:lang w:val="en-US"/>
        </w:rPr>
        <w:t>may be totally or partially offset if the schedule of fees laid down in decision 482 is revised to reflect the actual costs of the processing of the space notices and endorsed by Council at its forthcoming session for immediate implementation.</w:t>
      </w:r>
    </w:p>
    <w:p w14:paraId="39638228" w14:textId="67897DBE" w:rsidR="00D5155B" w:rsidRPr="00D5155B" w:rsidRDefault="00D5155B" w:rsidP="00D5155B">
      <w:pPr>
        <w:widowControl w:val="0"/>
        <w:numPr>
          <w:ilvl w:val="0"/>
          <w:numId w:val="5"/>
        </w:numPr>
        <w:tabs>
          <w:tab w:val="clear" w:pos="567"/>
          <w:tab w:val="clear" w:pos="1134"/>
          <w:tab w:val="clear" w:pos="1701"/>
          <w:tab w:val="clear" w:pos="2268"/>
          <w:tab w:val="clear" w:pos="2835"/>
        </w:tabs>
        <w:overflowPunct/>
        <w:autoSpaceDE/>
        <w:autoSpaceDN/>
        <w:adjustRightInd/>
        <w:snapToGrid w:val="0"/>
        <w:spacing w:before="0"/>
        <w:jc w:val="both"/>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 xml:space="preserve">There is a 1.5% increase in salary scale for G staff for an estimated amount of </w:t>
      </w:r>
      <w:r w:rsidRPr="00D5155B">
        <w:rPr>
          <w:rFonts w:asciiTheme="minorHAnsi" w:eastAsiaTheme="minorHAnsi" w:hAnsiTheme="minorHAnsi" w:cstheme="minorHAnsi"/>
          <w:b/>
          <w:bCs/>
          <w:color w:val="0070C0"/>
          <w:szCs w:val="24"/>
          <w:lang w:val="en-US"/>
        </w:rPr>
        <w:t>0.8</w:t>
      </w:r>
      <w:r w:rsidR="009D2925">
        <w:rPr>
          <w:rFonts w:asciiTheme="minorHAnsi" w:eastAsiaTheme="minorHAnsi" w:hAnsiTheme="minorHAnsi" w:cstheme="minorHAnsi"/>
          <w:b/>
          <w:bCs/>
          <w:color w:val="0070C0"/>
          <w:szCs w:val="24"/>
          <w:lang w:val="en-US"/>
        </w:rPr>
        <w:t> </w:t>
      </w:r>
      <w:r w:rsidRPr="00D5155B">
        <w:rPr>
          <w:rFonts w:asciiTheme="minorHAnsi" w:eastAsiaTheme="minorHAnsi" w:hAnsiTheme="minorHAnsi" w:cstheme="minorHAnsi"/>
          <w:b/>
          <w:bCs/>
          <w:color w:val="0070C0"/>
          <w:szCs w:val="24"/>
          <w:lang w:val="en-US"/>
        </w:rPr>
        <w:t>MCHF</w:t>
      </w:r>
      <w:r w:rsidRPr="00D5155B">
        <w:rPr>
          <w:rFonts w:asciiTheme="minorHAnsi" w:eastAsiaTheme="minorHAnsi" w:hAnsiTheme="minorHAnsi" w:cstheme="minorHAnsi"/>
          <w:color w:val="000000" w:themeColor="text1"/>
          <w:szCs w:val="24"/>
          <w:lang w:val="en-US"/>
        </w:rPr>
        <w:t>.</w:t>
      </w:r>
    </w:p>
    <w:p w14:paraId="3985002A" w14:textId="57C8802C" w:rsidR="00D5155B" w:rsidRPr="00D5155B" w:rsidRDefault="00D5155B" w:rsidP="311B6658">
      <w:pPr>
        <w:snapToGrid w:val="0"/>
        <w:jc w:val="both"/>
        <w:rPr>
          <w:rFonts w:cstheme="minorBidi"/>
        </w:rPr>
      </w:pPr>
      <w:r w:rsidRPr="311B6658">
        <w:rPr>
          <w:rFonts w:cstheme="minorBidi"/>
        </w:rPr>
        <w:t xml:space="preserve">These factors total </w:t>
      </w:r>
      <w:r w:rsidRPr="311B6658">
        <w:rPr>
          <w:rFonts w:cstheme="minorBidi"/>
          <w:b/>
          <w:bCs/>
          <w:color w:val="0070C0"/>
        </w:rPr>
        <w:t>4.8 MCHF</w:t>
      </w:r>
      <w:r w:rsidRPr="311B6658">
        <w:rPr>
          <w:rFonts w:cstheme="minorBidi"/>
          <w:color w:val="0070C0"/>
        </w:rPr>
        <w:t xml:space="preserve"> </w:t>
      </w:r>
      <w:r w:rsidRPr="311B6658">
        <w:rPr>
          <w:rFonts w:cstheme="minorBidi"/>
        </w:rPr>
        <w:t xml:space="preserve">or </w:t>
      </w:r>
      <w:r w:rsidRPr="311B6658">
        <w:rPr>
          <w:rFonts w:cstheme="minorBidi"/>
          <w:b/>
          <w:bCs/>
          <w:color w:val="0070C0"/>
        </w:rPr>
        <w:t>2.9%</w:t>
      </w:r>
      <w:r w:rsidRPr="311B6658">
        <w:rPr>
          <w:rFonts w:cstheme="minorBidi"/>
          <w:color w:val="0070C0"/>
        </w:rPr>
        <w:t xml:space="preserve"> </w:t>
      </w:r>
      <w:r w:rsidRPr="311B6658">
        <w:rPr>
          <w:rFonts w:cstheme="minorBidi"/>
        </w:rPr>
        <w:t xml:space="preserve">of the </w:t>
      </w:r>
      <w:r w:rsidR="008F5129">
        <w:rPr>
          <w:rFonts w:cstheme="minorBidi"/>
        </w:rPr>
        <w:t xml:space="preserve">2024 </w:t>
      </w:r>
      <w:r w:rsidRPr="311B6658">
        <w:rPr>
          <w:rFonts w:cstheme="minorBidi"/>
        </w:rPr>
        <w:t>budget.</w:t>
      </w:r>
    </w:p>
    <w:p w14:paraId="3E64179C" w14:textId="77777777" w:rsidR="00D5155B" w:rsidRPr="00D5155B" w:rsidRDefault="00D5155B" w:rsidP="00D5155B">
      <w:pPr>
        <w:snapToGrid w:val="0"/>
        <w:jc w:val="both"/>
        <w:rPr>
          <w:rFonts w:cstheme="minorHAnsi"/>
        </w:rPr>
      </w:pPr>
    </w:p>
    <w:p w14:paraId="2E67531E" w14:textId="77777777" w:rsidR="009D2925" w:rsidRDefault="009D2925">
      <w:pPr>
        <w:tabs>
          <w:tab w:val="clear" w:pos="567"/>
          <w:tab w:val="clear" w:pos="1134"/>
          <w:tab w:val="clear" w:pos="1701"/>
          <w:tab w:val="clear" w:pos="2268"/>
          <w:tab w:val="clear" w:pos="2835"/>
        </w:tabs>
        <w:overflowPunct/>
        <w:autoSpaceDE/>
        <w:autoSpaceDN/>
        <w:adjustRightInd/>
        <w:spacing w:before="0"/>
        <w:textAlignment w:val="auto"/>
        <w:rPr>
          <w:rFonts w:cstheme="minorHAnsi"/>
        </w:rPr>
      </w:pPr>
      <w:r>
        <w:rPr>
          <w:rFonts w:cstheme="minorHAnsi"/>
        </w:rPr>
        <w:br w:type="page"/>
      </w:r>
    </w:p>
    <w:p w14:paraId="20EA9909" w14:textId="0CD4F764" w:rsidR="00D5155B" w:rsidRPr="00D5155B" w:rsidRDefault="00C939BE" w:rsidP="00D5155B">
      <w:pPr>
        <w:snapToGrid w:val="0"/>
        <w:jc w:val="both"/>
        <w:rPr>
          <w:rFonts w:cstheme="minorHAnsi"/>
        </w:rPr>
      </w:pPr>
      <w:r>
        <w:rPr>
          <w:rFonts w:cstheme="minorHAnsi"/>
        </w:rPr>
        <w:lastRenderedPageBreak/>
        <w:t xml:space="preserve">2.8 </w:t>
      </w:r>
      <w:r>
        <w:rPr>
          <w:rFonts w:cstheme="minorHAnsi"/>
        </w:rPr>
        <w:tab/>
        <w:t xml:space="preserve">Despite these two factors and as of 20 November 2023, the preliminary anticipated 2024 budget implementation result is </w:t>
      </w:r>
      <w:r w:rsidRPr="00A863D7">
        <w:rPr>
          <w:rFonts w:cstheme="minorHAnsi"/>
          <w:b/>
          <w:bCs/>
          <w:color w:val="0070C0"/>
        </w:rPr>
        <w:t>positive</w:t>
      </w:r>
      <w:r>
        <w:rPr>
          <w:rFonts w:cstheme="minorHAnsi"/>
        </w:rPr>
        <w:t xml:space="preserve"> and stands </w:t>
      </w:r>
      <w:r w:rsidRPr="00206DCA">
        <w:rPr>
          <w:rFonts w:cstheme="minorHAnsi"/>
        </w:rPr>
        <w:t xml:space="preserve">at </w:t>
      </w:r>
      <w:r w:rsidRPr="00206DCA">
        <w:rPr>
          <w:rFonts w:cstheme="minorHAnsi"/>
          <w:b/>
          <w:bCs/>
          <w:color w:val="0070C0"/>
        </w:rPr>
        <w:t xml:space="preserve">+19 KCHF. </w:t>
      </w:r>
      <w:r w:rsidRPr="00327001">
        <w:t>The anticipated savings on the expenses side are mainly on account of recruitment delays, anticipated savings on some operational expenses as well as on the projected expenses for events and meetings.</w:t>
      </w:r>
      <w:r w:rsidRPr="00327001">
        <w:rPr>
          <w:b/>
          <w:color w:val="0070C0"/>
        </w:rPr>
        <w:t xml:space="preserve"> </w:t>
      </w:r>
      <w:r w:rsidRPr="00327001">
        <w:t>The anticipated results stand as indicated in Table 4 below:</w:t>
      </w:r>
    </w:p>
    <w:p w14:paraId="4924DBE2"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p>
    <w:p w14:paraId="2614594D"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r w:rsidRPr="00D5155B">
        <w:rPr>
          <w:rFonts w:eastAsia="Calibri"/>
          <w:szCs w:val="24"/>
        </w:rPr>
        <w:t>Table 4</w:t>
      </w:r>
    </w:p>
    <w:p w14:paraId="75B29D89"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r w:rsidRPr="00D5155B">
        <w:rPr>
          <w:rFonts w:eastAsia="Calibri"/>
          <w:noProof/>
          <w:szCs w:val="24"/>
        </w:rPr>
        <w:drawing>
          <wp:inline distT="0" distB="0" distL="0" distR="0" wp14:anchorId="30091889" wp14:editId="67FEFF02">
            <wp:extent cx="4432300" cy="1193800"/>
            <wp:effectExtent l="0" t="0" r="0" b="0"/>
            <wp:docPr id="172761652" name="Picture 17276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1652" name=""/>
                    <pic:cNvPicPr/>
                  </pic:nvPicPr>
                  <pic:blipFill>
                    <a:blip r:embed="rId20"/>
                    <a:stretch>
                      <a:fillRect/>
                    </a:stretch>
                  </pic:blipFill>
                  <pic:spPr>
                    <a:xfrm>
                      <a:off x="0" y="0"/>
                      <a:ext cx="4432300" cy="1193800"/>
                    </a:xfrm>
                    <a:prstGeom prst="rect">
                      <a:avLst/>
                    </a:prstGeom>
                  </pic:spPr>
                </pic:pic>
              </a:graphicData>
            </a:graphic>
          </wp:inline>
        </w:drawing>
      </w:r>
    </w:p>
    <w:p w14:paraId="6052844F"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p>
    <w:p w14:paraId="58AAA822" w14:textId="77777777" w:rsidR="00D5155B" w:rsidRPr="00D5155B" w:rsidRDefault="00D5155B" w:rsidP="00D5155B">
      <w:pPr>
        <w:snapToGrid w:val="0"/>
        <w:spacing w:before="0"/>
        <w:jc w:val="both"/>
        <w:rPr>
          <w:rFonts w:asciiTheme="minorHAnsi" w:hAnsiTheme="minorHAnsi" w:cstheme="minorHAnsi"/>
        </w:rPr>
      </w:pPr>
      <w:r w:rsidRPr="00D5155B">
        <w:rPr>
          <w:rFonts w:asciiTheme="minorHAnsi" w:hAnsiTheme="minorHAnsi" w:cstheme="minorHAnsi"/>
        </w:rPr>
        <w:t>Table 5 provides the breakdown of expenses by Sector for 2024:</w:t>
      </w:r>
    </w:p>
    <w:p w14:paraId="26010D99" w14:textId="77777777" w:rsidR="00D5155B" w:rsidRPr="00D5155B" w:rsidRDefault="00D5155B" w:rsidP="00D5155B">
      <w:pPr>
        <w:snapToGrid w:val="0"/>
        <w:spacing w:before="0"/>
        <w:jc w:val="both"/>
        <w:rPr>
          <w:rFonts w:asciiTheme="minorHAnsi" w:hAnsiTheme="minorHAnsi" w:cstheme="minorHAnsi"/>
        </w:rPr>
      </w:pPr>
    </w:p>
    <w:p w14:paraId="117379FB" w14:textId="77777777" w:rsidR="00D5155B" w:rsidRPr="00D5155B" w:rsidRDefault="00D5155B" w:rsidP="00D5155B">
      <w:pPr>
        <w:snapToGrid w:val="0"/>
        <w:spacing w:before="0"/>
        <w:jc w:val="center"/>
        <w:rPr>
          <w:rFonts w:asciiTheme="minorHAnsi" w:hAnsiTheme="minorHAnsi" w:cstheme="minorHAnsi"/>
        </w:rPr>
      </w:pPr>
      <w:r w:rsidRPr="00D5155B">
        <w:rPr>
          <w:rFonts w:asciiTheme="minorHAnsi" w:hAnsiTheme="minorHAnsi" w:cstheme="minorHAnsi"/>
        </w:rPr>
        <w:t>Table 5</w:t>
      </w:r>
    </w:p>
    <w:p w14:paraId="161B4C08"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r w:rsidRPr="00D5155B">
        <w:rPr>
          <w:rFonts w:eastAsia="Calibri"/>
          <w:noProof/>
          <w:szCs w:val="24"/>
        </w:rPr>
        <w:drawing>
          <wp:inline distT="0" distB="0" distL="0" distR="0" wp14:anchorId="3C89D541" wp14:editId="0EC6FD2D">
            <wp:extent cx="5760085" cy="2002155"/>
            <wp:effectExtent l="0" t="0" r="5715" b="4445"/>
            <wp:docPr id="1920625311" name="Picture 19206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25311" name=""/>
                    <pic:cNvPicPr/>
                  </pic:nvPicPr>
                  <pic:blipFill>
                    <a:blip r:embed="rId21"/>
                    <a:stretch>
                      <a:fillRect/>
                    </a:stretch>
                  </pic:blipFill>
                  <pic:spPr>
                    <a:xfrm>
                      <a:off x="0" y="0"/>
                      <a:ext cx="5760085" cy="2002155"/>
                    </a:xfrm>
                    <a:prstGeom prst="rect">
                      <a:avLst/>
                    </a:prstGeom>
                  </pic:spPr>
                </pic:pic>
              </a:graphicData>
            </a:graphic>
          </wp:inline>
        </w:drawing>
      </w:r>
    </w:p>
    <w:p w14:paraId="30408B13"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p>
    <w:p w14:paraId="37242C46" w14:textId="77777777" w:rsidR="00D5155B" w:rsidRPr="00D5155B" w:rsidRDefault="00D5155B" w:rsidP="00D5155B">
      <w:pPr>
        <w:snapToGrid w:val="0"/>
        <w:spacing w:before="0"/>
        <w:jc w:val="both"/>
        <w:rPr>
          <w:rFonts w:asciiTheme="minorHAnsi" w:hAnsiTheme="minorHAnsi" w:cstheme="minorHAnsi"/>
        </w:rPr>
      </w:pPr>
      <w:r w:rsidRPr="00D5155B">
        <w:rPr>
          <w:rFonts w:asciiTheme="minorHAnsi" w:hAnsiTheme="minorHAnsi" w:cstheme="minorHAnsi"/>
        </w:rPr>
        <w:t>The planned reduction in cost recovery revenue for processing space notices is partially offset by an increase in the sales of publications revenue and an increase in revenue from interest. Table 6 provides the breakdown of revenue by source for 2024:</w:t>
      </w:r>
    </w:p>
    <w:p w14:paraId="01C34124" w14:textId="77777777" w:rsidR="00D5155B" w:rsidRPr="00D5155B" w:rsidRDefault="00D5155B" w:rsidP="00D5155B">
      <w:pPr>
        <w:snapToGrid w:val="0"/>
        <w:spacing w:before="0"/>
        <w:jc w:val="both"/>
        <w:rPr>
          <w:rFonts w:asciiTheme="minorHAnsi" w:hAnsiTheme="minorHAnsi" w:cstheme="minorHAnsi"/>
        </w:rPr>
      </w:pPr>
    </w:p>
    <w:p w14:paraId="3AA6AF09" w14:textId="77777777" w:rsidR="00D5155B" w:rsidRPr="00D5155B" w:rsidRDefault="00D5155B" w:rsidP="00D5155B">
      <w:pPr>
        <w:snapToGrid w:val="0"/>
        <w:spacing w:before="0"/>
        <w:jc w:val="center"/>
        <w:rPr>
          <w:rFonts w:asciiTheme="minorHAnsi" w:hAnsiTheme="minorHAnsi" w:cstheme="minorHAnsi"/>
        </w:rPr>
      </w:pPr>
      <w:r w:rsidRPr="00D5155B">
        <w:rPr>
          <w:rFonts w:asciiTheme="minorHAnsi" w:hAnsiTheme="minorHAnsi" w:cstheme="minorHAnsi"/>
        </w:rPr>
        <w:t>Table 6</w:t>
      </w:r>
    </w:p>
    <w:p w14:paraId="2795C583"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szCs w:val="24"/>
        </w:rPr>
      </w:pPr>
      <w:r w:rsidRPr="00D5155B">
        <w:rPr>
          <w:rFonts w:eastAsia="Calibri"/>
          <w:noProof/>
          <w:szCs w:val="24"/>
        </w:rPr>
        <w:drawing>
          <wp:inline distT="0" distB="0" distL="0" distR="0" wp14:anchorId="02EB63AB" wp14:editId="1B5B5311">
            <wp:extent cx="5760085" cy="2357755"/>
            <wp:effectExtent l="0" t="0" r="5715" b="4445"/>
            <wp:docPr id="917550711" name="Picture 91755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50711" name=""/>
                    <pic:cNvPicPr/>
                  </pic:nvPicPr>
                  <pic:blipFill>
                    <a:blip r:embed="rId22"/>
                    <a:stretch>
                      <a:fillRect/>
                    </a:stretch>
                  </pic:blipFill>
                  <pic:spPr>
                    <a:xfrm>
                      <a:off x="0" y="0"/>
                      <a:ext cx="5760085" cy="2357755"/>
                    </a:xfrm>
                    <a:prstGeom prst="rect">
                      <a:avLst/>
                    </a:prstGeom>
                  </pic:spPr>
                </pic:pic>
              </a:graphicData>
            </a:graphic>
          </wp:inline>
        </w:drawing>
      </w:r>
    </w:p>
    <w:p w14:paraId="0BAAB922" w14:textId="77777777" w:rsidR="009D2925" w:rsidRDefault="009D2925">
      <w:pPr>
        <w:tabs>
          <w:tab w:val="clear" w:pos="567"/>
          <w:tab w:val="clear" w:pos="1134"/>
          <w:tab w:val="clear" w:pos="1701"/>
          <w:tab w:val="clear" w:pos="2268"/>
          <w:tab w:val="clear" w:pos="2835"/>
        </w:tabs>
        <w:overflowPunct/>
        <w:autoSpaceDE/>
        <w:autoSpaceDN/>
        <w:adjustRightInd/>
        <w:spacing w:before="0"/>
        <w:textAlignment w:val="auto"/>
        <w:rPr>
          <w:rFonts w:cstheme="minorHAnsi"/>
        </w:rPr>
      </w:pPr>
      <w:r>
        <w:rPr>
          <w:rFonts w:cstheme="minorHAnsi"/>
        </w:rPr>
        <w:br w:type="page"/>
      </w:r>
    </w:p>
    <w:p w14:paraId="69D2EE07" w14:textId="2CE5EC65"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textAlignment w:val="auto"/>
        <w:rPr>
          <w:rFonts w:cstheme="minorHAnsi"/>
        </w:rPr>
      </w:pPr>
      <w:r w:rsidRPr="00D5155B">
        <w:rPr>
          <w:rFonts w:cstheme="minorHAnsi"/>
        </w:rPr>
        <w:lastRenderedPageBreak/>
        <w:t xml:space="preserve">2.9 </w:t>
      </w:r>
      <w:r w:rsidRPr="00D5155B">
        <w:rPr>
          <w:rFonts w:cstheme="minorHAnsi"/>
        </w:rPr>
        <w:tab/>
        <w:t xml:space="preserve">The key risk factors for the 2024 budget implementation are the following: </w:t>
      </w:r>
    </w:p>
    <w:p w14:paraId="5C0274F5" w14:textId="77777777" w:rsidR="00D5155B" w:rsidRPr="00D5155B" w:rsidRDefault="00D5155B" w:rsidP="009D2925">
      <w:pPr>
        <w:widowControl w:val="0"/>
        <w:numPr>
          <w:ilvl w:val="0"/>
          <w:numId w:val="6"/>
        </w:numPr>
        <w:tabs>
          <w:tab w:val="clear" w:pos="567"/>
          <w:tab w:val="clear" w:pos="1134"/>
          <w:tab w:val="clear" w:pos="1701"/>
          <w:tab w:val="clear" w:pos="2268"/>
          <w:tab w:val="clear" w:pos="2835"/>
        </w:tabs>
        <w:overflowPunct/>
        <w:autoSpaceDE/>
        <w:autoSpaceDN/>
        <w:adjustRightInd/>
        <w:ind w:left="714" w:hanging="357"/>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Cost recovery revenue from processing satellite network filings remains within the forecast of 10 MCHF for 2024.</w:t>
      </w:r>
    </w:p>
    <w:p w14:paraId="654DC2DA" w14:textId="77777777" w:rsidR="00D5155B" w:rsidRPr="00D5155B" w:rsidRDefault="00D5155B" w:rsidP="00D5155B">
      <w:pPr>
        <w:widowControl w:val="0"/>
        <w:numPr>
          <w:ilvl w:val="0"/>
          <w:numId w:val="6"/>
        </w:num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The following 2024 publications must be ready as scheduled to guarantee that the sales of publications revenue remain within the forecast of 20.2 MCHF for 2024: Ship stations (List V), Coast stations (List IV), Maritime manual, Radio Regulations.</w:t>
      </w:r>
    </w:p>
    <w:p w14:paraId="73391BF4" w14:textId="77777777" w:rsidR="00D5155B" w:rsidRPr="00D5155B" w:rsidRDefault="00D5155B" w:rsidP="00D5155B">
      <w:pPr>
        <w:widowControl w:val="0"/>
        <w:numPr>
          <w:ilvl w:val="0"/>
          <w:numId w:val="6"/>
        </w:num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HAnsi" w:hAnsiTheme="minorHAnsi" w:cstheme="minorHAnsi"/>
          <w:szCs w:val="24"/>
          <w:lang w:val="en-US"/>
        </w:rPr>
      </w:pPr>
      <w:r w:rsidRPr="00D5155B">
        <w:rPr>
          <w:rFonts w:asciiTheme="minorHAnsi" w:eastAsiaTheme="minorHAnsi" w:hAnsiTheme="minorHAnsi" w:cstheme="minorHAnsi"/>
          <w:szCs w:val="24"/>
          <w:lang w:val="en-US"/>
        </w:rPr>
        <w:t>Strict control over expenses should be implemented and backed by top management to ensure the approved budget is not exceeded.</w:t>
      </w:r>
    </w:p>
    <w:p w14:paraId="1CC119BD" w14:textId="77777777" w:rsidR="00D5155B" w:rsidRPr="00D5155B" w:rsidRDefault="00D5155B" w:rsidP="00327001">
      <w:pPr>
        <w:tabs>
          <w:tab w:val="clear" w:pos="567"/>
          <w:tab w:val="clear" w:pos="1134"/>
          <w:tab w:val="clear" w:pos="1701"/>
          <w:tab w:val="clear" w:pos="2268"/>
          <w:tab w:val="clear" w:pos="2835"/>
        </w:tabs>
        <w:overflowPunct/>
        <w:autoSpaceDE/>
        <w:autoSpaceDN/>
        <w:adjustRightInd/>
        <w:spacing w:before="240" w:after="120"/>
        <w:jc w:val="both"/>
        <w:textAlignment w:val="auto"/>
        <w:rPr>
          <w:b/>
          <w:bCs/>
          <w:sz w:val="26"/>
          <w:szCs w:val="26"/>
        </w:rPr>
      </w:pPr>
      <w:r w:rsidRPr="00D5155B">
        <w:rPr>
          <w:b/>
          <w:bCs/>
          <w:sz w:val="26"/>
          <w:szCs w:val="26"/>
        </w:rPr>
        <w:t>3.</w:t>
      </w:r>
      <w:r w:rsidRPr="00D5155B">
        <w:tab/>
      </w:r>
      <w:r w:rsidRPr="00D5155B">
        <w:rPr>
          <w:b/>
          <w:bCs/>
          <w:sz w:val="26"/>
          <w:szCs w:val="26"/>
        </w:rPr>
        <w:t>Efficiency measures (Annex 2 to Plenipotentiary Conference Decision 5)</w:t>
      </w:r>
    </w:p>
    <w:p w14:paraId="5CA0C059"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after="120"/>
        <w:jc w:val="both"/>
        <w:textAlignment w:val="auto"/>
        <w:rPr>
          <w:rFonts w:asciiTheme="minorHAnsi" w:hAnsiTheme="minorHAnsi" w:cstheme="minorHAnsi"/>
        </w:rPr>
      </w:pPr>
      <w:r w:rsidRPr="00D5155B">
        <w:rPr>
          <w:rFonts w:asciiTheme="minorHAnsi" w:hAnsiTheme="minorHAnsi" w:cstheme="minorHAnsi"/>
        </w:rPr>
        <w:t>3.1</w:t>
      </w:r>
      <w:r w:rsidRPr="00D5155B">
        <w:rPr>
          <w:rFonts w:asciiTheme="minorHAnsi" w:hAnsiTheme="minorHAnsi" w:cstheme="minorHAnsi"/>
        </w:rPr>
        <w:tab/>
        <w:t>Table 7 on pages 7 and 8 presents the actions taken and the possible savings under each of the 27 efficiency measures identified in Annex 2 to Decision 5 (Rev. Dubai 2018) for 2023 as of 20 November 2023. This table will be revised and updated after the end of 2023 and the 2023 closure of accounts. Updated Table 7 will be presented to the ordinary session of Council 2024.</w:t>
      </w:r>
    </w:p>
    <w:p w14:paraId="1DFFF81E" w14:textId="77777777" w:rsidR="00D5155B" w:rsidRPr="00D5155B" w:rsidRDefault="00D5155B" w:rsidP="00D5155B">
      <w:pPr>
        <w:tabs>
          <w:tab w:val="clear" w:pos="567"/>
          <w:tab w:val="clear" w:pos="1134"/>
          <w:tab w:val="clear" w:pos="1701"/>
          <w:tab w:val="clear" w:pos="2268"/>
          <w:tab w:val="clear" w:pos="2835"/>
        </w:tabs>
        <w:overflowPunct/>
        <w:autoSpaceDE/>
        <w:autoSpaceDN/>
        <w:adjustRightInd/>
        <w:spacing w:before="0" w:after="120"/>
        <w:jc w:val="both"/>
        <w:textAlignment w:val="auto"/>
        <w:rPr>
          <w:rFonts w:asciiTheme="minorHAnsi" w:hAnsiTheme="minorHAnsi" w:cstheme="minorHAnsi"/>
        </w:rPr>
      </w:pPr>
      <w:r w:rsidRPr="00D5155B">
        <w:rPr>
          <w:rFonts w:asciiTheme="minorHAnsi" w:hAnsiTheme="minorHAnsi" w:cstheme="minorHAnsi"/>
        </w:rPr>
        <w:t>3.2</w:t>
      </w:r>
      <w:r w:rsidRPr="00D5155B">
        <w:rPr>
          <w:rFonts w:asciiTheme="minorHAnsi" w:hAnsiTheme="minorHAnsi" w:cstheme="minorHAnsi"/>
        </w:rPr>
        <w:tab/>
        <w:t>Table 8 on pages 9 and 11 presents the prospective actions and possible savings under each of the 27 efficiency measures identified in Annex 2 to Decision 5 (Rev. Bucharest 2022) for 2024. These measures will be further analysed during the 2024 budget implementation, and it will be possible to provide estimates of the achieved savings for some of these efficiency measures at that time.</w:t>
      </w:r>
    </w:p>
    <w:p w14:paraId="0858B83D" w14:textId="7FDE4BF2" w:rsidR="00D5155B" w:rsidRDefault="00D5155B" w:rsidP="00D5155B">
      <w:pPr>
        <w:tabs>
          <w:tab w:val="clear" w:pos="567"/>
          <w:tab w:val="clear" w:pos="1134"/>
          <w:tab w:val="clear" w:pos="1701"/>
          <w:tab w:val="clear" w:pos="2268"/>
          <w:tab w:val="clear" w:pos="2835"/>
        </w:tabs>
        <w:overflowPunct/>
        <w:autoSpaceDE/>
        <w:autoSpaceDN/>
        <w:adjustRightInd/>
        <w:spacing w:before="0"/>
        <w:textAlignment w:val="auto"/>
        <w:rPr>
          <w:lang w:val="en-US"/>
        </w:rPr>
      </w:pPr>
      <w:r w:rsidRPr="00D5155B">
        <w:rPr>
          <w:rFonts w:asciiTheme="minorHAnsi" w:hAnsiTheme="minorHAnsi" w:cstheme="minorHAnsi"/>
        </w:rPr>
        <w:t>3.3</w:t>
      </w:r>
      <w:r w:rsidRPr="00D5155B">
        <w:rPr>
          <w:rFonts w:asciiTheme="minorHAnsi" w:hAnsiTheme="minorHAnsi" w:cstheme="minorHAnsi"/>
        </w:rPr>
        <w:tab/>
        <w:t>Efficiency measures relating to extra-budgetary activities will be analysed during the implementation of these activities and reported to the Council at its forthcoming sessions.</w:t>
      </w:r>
    </w:p>
    <w:p w14:paraId="02F24F3F" w14:textId="77777777" w:rsidR="00D5155B" w:rsidRDefault="00D5155B" w:rsidP="00F567FC">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3455C3DB" w14:textId="77777777" w:rsidR="00D5155B" w:rsidRDefault="00D5155B" w:rsidP="00F567FC">
      <w:pPr>
        <w:tabs>
          <w:tab w:val="clear" w:pos="567"/>
          <w:tab w:val="clear" w:pos="1134"/>
          <w:tab w:val="clear" w:pos="1701"/>
          <w:tab w:val="clear" w:pos="2268"/>
          <w:tab w:val="clear" w:pos="2835"/>
        </w:tabs>
        <w:overflowPunct/>
        <w:autoSpaceDE/>
        <w:autoSpaceDN/>
        <w:adjustRightInd/>
        <w:spacing w:before="0"/>
        <w:textAlignment w:val="auto"/>
        <w:rPr>
          <w:lang w:val="en-US"/>
        </w:rPr>
        <w:sectPr w:rsidR="00D5155B" w:rsidSect="001645A5">
          <w:footerReference w:type="default" r:id="rId23"/>
          <w:pgSz w:w="11907" w:h="16834" w:code="9"/>
          <w:pgMar w:top="1134" w:right="1418" w:bottom="567" w:left="1418" w:header="720" w:footer="624" w:gutter="0"/>
          <w:paperSrc w:first="15" w:other="15"/>
          <w:cols w:space="720"/>
          <w:docGrid w:linePitch="326"/>
        </w:sectPr>
      </w:pPr>
    </w:p>
    <w:p w14:paraId="68CFE6F8" w14:textId="77777777" w:rsidR="00D5155B" w:rsidRPr="00402467" w:rsidRDefault="00D5155B" w:rsidP="00D5155B">
      <w:p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b/>
          <w:bCs/>
          <w:color w:val="0070C0"/>
          <w:u w:val="single"/>
        </w:rPr>
      </w:pPr>
      <w:r w:rsidRPr="00402467">
        <w:rPr>
          <w:rFonts w:asciiTheme="minorHAnsi" w:hAnsiTheme="minorHAnsi" w:cstheme="minorHAnsi"/>
          <w:b/>
          <w:bCs/>
          <w:color w:val="0070C0"/>
          <w:u w:val="single"/>
        </w:rPr>
        <w:lastRenderedPageBreak/>
        <w:t>2023</w:t>
      </w:r>
      <w:r>
        <w:rPr>
          <w:rFonts w:asciiTheme="minorHAnsi" w:hAnsiTheme="minorHAnsi" w:cstheme="minorHAnsi"/>
          <w:b/>
          <w:bCs/>
          <w:color w:val="0070C0"/>
          <w:u w:val="single"/>
        </w:rPr>
        <w:t xml:space="preserve"> - Annex 2 to </w:t>
      </w:r>
      <w:r w:rsidRPr="00C32992">
        <w:rPr>
          <w:rFonts w:asciiTheme="minorHAnsi" w:hAnsiTheme="minorHAnsi" w:cstheme="minorHAnsi"/>
          <w:b/>
          <w:bCs/>
          <w:color w:val="0070C0"/>
          <w:u w:val="single"/>
        </w:rPr>
        <w:t>Decision 5 (Rev. Dubai, 2018)</w:t>
      </w:r>
    </w:p>
    <w:p w14:paraId="0ADCA3FE" w14:textId="77777777" w:rsidR="00D5155B" w:rsidRDefault="00D5155B" w:rsidP="00D5155B">
      <w:pPr>
        <w:jc w:val="center"/>
        <w:rPr>
          <w:rFonts w:asciiTheme="minorHAnsi" w:hAnsiTheme="minorHAnsi" w:cstheme="minorHAnsi"/>
        </w:rPr>
      </w:pPr>
      <w:r w:rsidRPr="00F10B94">
        <w:rPr>
          <w:rFonts w:asciiTheme="minorHAnsi" w:hAnsiTheme="minorHAnsi" w:cstheme="minorHAnsi"/>
        </w:rPr>
        <w:t>Table 7</w:t>
      </w:r>
    </w:p>
    <w:p w14:paraId="4D8C1054" w14:textId="77777777" w:rsidR="00D5155B" w:rsidRDefault="00D5155B" w:rsidP="00D5155B">
      <w:pPr>
        <w:jc w:val="center"/>
        <w:rPr>
          <w:rFonts w:asciiTheme="minorHAnsi" w:hAnsiTheme="minorHAnsi" w:cstheme="minorHAnsi"/>
        </w:rPr>
      </w:pPr>
      <w:r w:rsidRPr="00321F0C">
        <w:rPr>
          <w:rFonts w:asciiTheme="minorHAnsi" w:hAnsiTheme="minorHAnsi" w:cstheme="minorHAnsi"/>
          <w:noProof/>
        </w:rPr>
        <w:drawing>
          <wp:inline distT="0" distB="0" distL="0" distR="0" wp14:anchorId="008757D1" wp14:editId="634099CE">
            <wp:extent cx="8860790" cy="5212080"/>
            <wp:effectExtent l="0" t="0" r="3810" b="0"/>
            <wp:docPr id="2133258511" name="Picture 213325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8511" name=""/>
                    <pic:cNvPicPr/>
                  </pic:nvPicPr>
                  <pic:blipFill>
                    <a:blip r:embed="rId24"/>
                    <a:stretch>
                      <a:fillRect/>
                    </a:stretch>
                  </pic:blipFill>
                  <pic:spPr>
                    <a:xfrm>
                      <a:off x="0" y="0"/>
                      <a:ext cx="8860790" cy="5212080"/>
                    </a:xfrm>
                    <a:prstGeom prst="rect">
                      <a:avLst/>
                    </a:prstGeom>
                  </pic:spPr>
                </pic:pic>
              </a:graphicData>
            </a:graphic>
          </wp:inline>
        </w:drawing>
      </w:r>
    </w:p>
    <w:p w14:paraId="115B442E" w14:textId="77777777" w:rsid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p>
    <w:p w14:paraId="75534E22" w14:textId="77777777" w:rsidR="00D5155B" w:rsidRDefault="00D5155B" w:rsidP="00D5155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sidRPr="00321F0C">
        <w:rPr>
          <w:rFonts w:asciiTheme="minorHAnsi" w:hAnsiTheme="minorHAnsi" w:cstheme="minorHAnsi"/>
          <w:noProof/>
        </w:rPr>
        <w:lastRenderedPageBreak/>
        <w:drawing>
          <wp:inline distT="0" distB="0" distL="0" distR="0" wp14:anchorId="40596C79" wp14:editId="41A32DD5">
            <wp:extent cx="8860790" cy="5443220"/>
            <wp:effectExtent l="0" t="0" r="3810" b="5080"/>
            <wp:docPr id="56764066" name="Picture 567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4066" name=""/>
                    <pic:cNvPicPr/>
                  </pic:nvPicPr>
                  <pic:blipFill>
                    <a:blip r:embed="rId25"/>
                    <a:stretch>
                      <a:fillRect/>
                    </a:stretch>
                  </pic:blipFill>
                  <pic:spPr>
                    <a:xfrm>
                      <a:off x="0" y="0"/>
                      <a:ext cx="8860790" cy="5443220"/>
                    </a:xfrm>
                    <a:prstGeom prst="rect">
                      <a:avLst/>
                    </a:prstGeom>
                  </pic:spPr>
                </pic:pic>
              </a:graphicData>
            </a:graphic>
          </wp:inline>
        </w:drawing>
      </w:r>
    </w:p>
    <w:p w14:paraId="6E718FB7" w14:textId="77777777" w:rsidR="00D5155B" w:rsidRDefault="00D5155B" w:rsidP="00D5155B">
      <w:p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b/>
          <w:bCs/>
          <w:color w:val="0070C0"/>
          <w:u w:val="single"/>
        </w:rPr>
      </w:pPr>
    </w:p>
    <w:p w14:paraId="64BC751E" w14:textId="77777777" w:rsidR="009D2925" w:rsidRDefault="009D2925" w:rsidP="00D5155B">
      <w:p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b/>
          <w:bCs/>
          <w:color w:val="0070C0"/>
          <w:u w:val="single"/>
        </w:rPr>
      </w:pPr>
    </w:p>
    <w:p w14:paraId="15A35DD0" w14:textId="77777777" w:rsidR="00D5155B" w:rsidRPr="00402467" w:rsidRDefault="00D5155B" w:rsidP="00D5155B">
      <w:p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b/>
          <w:bCs/>
          <w:color w:val="0070C0"/>
          <w:u w:val="single"/>
        </w:rPr>
      </w:pPr>
      <w:r w:rsidRPr="00402467">
        <w:rPr>
          <w:rFonts w:asciiTheme="minorHAnsi" w:hAnsiTheme="minorHAnsi" w:cstheme="minorHAnsi"/>
          <w:b/>
          <w:bCs/>
          <w:color w:val="0070C0"/>
          <w:u w:val="single"/>
        </w:rPr>
        <w:lastRenderedPageBreak/>
        <w:t>2023</w:t>
      </w:r>
      <w:r>
        <w:rPr>
          <w:rFonts w:asciiTheme="minorHAnsi" w:hAnsiTheme="minorHAnsi" w:cstheme="minorHAnsi"/>
          <w:b/>
          <w:bCs/>
          <w:color w:val="0070C0"/>
          <w:u w:val="single"/>
        </w:rPr>
        <w:t xml:space="preserve"> - Annex 2 to </w:t>
      </w:r>
      <w:r w:rsidRPr="00C32992">
        <w:rPr>
          <w:rFonts w:asciiTheme="minorHAnsi" w:hAnsiTheme="minorHAnsi" w:cstheme="minorHAnsi"/>
          <w:b/>
          <w:bCs/>
          <w:color w:val="0070C0"/>
          <w:u w:val="single"/>
        </w:rPr>
        <w:t xml:space="preserve">Decision 5 (Rev. </w:t>
      </w:r>
      <w:r>
        <w:rPr>
          <w:rFonts w:asciiTheme="minorHAnsi" w:hAnsiTheme="minorHAnsi" w:cstheme="minorHAnsi"/>
          <w:b/>
          <w:bCs/>
          <w:color w:val="0070C0"/>
          <w:u w:val="single"/>
        </w:rPr>
        <w:t>Bucharest</w:t>
      </w:r>
      <w:r w:rsidRPr="00C32992">
        <w:rPr>
          <w:rFonts w:asciiTheme="minorHAnsi" w:hAnsiTheme="minorHAnsi" w:cstheme="minorHAnsi"/>
          <w:b/>
          <w:bCs/>
          <w:color w:val="0070C0"/>
          <w:u w:val="single"/>
        </w:rPr>
        <w:t>, 20</w:t>
      </w:r>
      <w:r>
        <w:rPr>
          <w:rFonts w:asciiTheme="minorHAnsi" w:hAnsiTheme="minorHAnsi" w:cstheme="minorHAnsi"/>
          <w:b/>
          <w:bCs/>
          <w:color w:val="0070C0"/>
          <w:u w:val="single"/>
        </w:rPr>
        <w:t>22</w:t>
      </w:r>
      <w:r w:rsidRPr="00C32992">
        <w:rPr>
          <w:rFonts w:asciiTheme="minorHAnsi" w:hAnsiTheme="minorHAnsi" w:cstheme="minorHAnsi"/>
          <w:b/>
          <w:bCs/>
          <w:color w:val="0070C0"/>
          <w:u w:val="single"/>
        </w:rPr>
        <w:t>)</w:t>
      </w:r>
    </w:p>
    <w:p w14:paraId="3752B1A1" w14:textId="77777777" w:rsidR="00D5155B" w:rsidRDefault="00D5155B" w:rsidP="00D5155B">
      <w:pPr>
        <w:jc w:val="center"/>
        <w:rPr>
          <w:rFonts w:asciiTheme="minorHAnsi" w:hAnsiTheme="minorHAnsi" w:cstheme="minorHAnsi"/>
        </w:rPr>
      </w:pPr>
      <w:r w:rsidRPr="00F10B94">
        <w:rPr>
          <w:rFonts w:asciiTheme="minorHAnsi" w:hAnsiTheme="minorHAnsi" w:cstheme="minorHAnsi"/>
        </w:rPr>
        <w:t xml:space="preserve">Table </w:t>
      </w:r>
      <w:r>
        <w:rPr>
          <w:rFonts w:asciiTheme="minorHAnsi" w:hAnsiTheme="minorHAnsi" w:cstheme="minorHAnsi"/>
        </w:rPr>
        <w:t>8</w:t>
      </w:r>
    </w:p>
    <w:p w14:paraId="7A7548BF" w14:textId="77777777" w:rsidR="00D5155B" w:rsidRDefault="00D5155B" w:rsidP="00D5155B">
      <w:pPr>
        <w:jc w:val="center"/>
        <w:rPr>
          <w:rFonts w:asciiTheme="minorHAnsi" w:hAnsiTheme="minorHAnsi" w:cstheme="minorHAnsi"/>
        </w:rPr>
      </w:pPr>
      <w:r w:rsidRPr="00321F0C">
        <w:rPr>
          <w:rFonts w:asciiTheme="minorHAnsi" w:hAnsiTheme="minorHAnsi" w:cstheme="minorHAnsi"/>
          <w:noProof/>
        </w:rPr>
        <w:drawing>
          <wp:inline distT="0" distB="0" distL="0" distR="0" wp14:anchorId="2C220FFC" wp14:editId="31CBF497">
            <wp:extent cx="8860790" cy="4986020"/>
            <wp:effectExtent l="0" t="0" r="3810" b="5080"/>
            <wp:docPr id="456515126" name="Picture 45651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15126" name=""/>
                    <pic:cNvPicPr/>
                  </pic:nvPicPr>
                  <pic:blipFill>
                    <a:blip r:embed="rId26"/>
                    <a:stretch>
                      <a:fillRect/>
                    </a:stretch>
                  </pic:blipFill>
                  <pic:spPr>
                    <a:xfrm>
                      <a:off x="0" y="0"/>
                      <a:ext cx="8860790" cy="4986020"/>
                    </a:xfrm>
                    <a:prstGeom prst="rect">
                      <a:avLst/>
                    </a:prstGeom>
                  </pic:spPr>
                </pic:pic>
              </a:graphicData>
            </a:graphic>
          </wp:inline>
        </w:drawing>
      </w:r>
    </w:p>
    <w:p w14:paraId="0074D0BC" w14:textId="77777777" w:rsidR="00D5155B" w:rsidRDefault="00D5155B" w:rsidP="00D5155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1C786DD4" w14:textId="77777777" w:rsidR="00D5155B" w:rsidRDefault="00D5155B" w:rsidP="00D5155B">
      <w:pPr>
        <w:jc w:val="center"/>
        <w:rPr>
          <w:rFonts w:asciiTheme="minorHAnsi" w:hAnsiTheme="minorHAnsi" w:cstheme="minorHAnsi"/>
        </w:rPr>
      </w:pPr>
      <w:r w:rsidRPr="00321F0C">
        <w:rPr>
          <w:rFonts w:asciiTheme="minorHAnsi" w:hAnsiTheme="minorHAnsi" w:cstheme="minorHAnsi"/>
          <w:noProof/>
        </w:rPr>
        <w:lastRenderedPageBreak/>
        <w:drawing>
          <wp:inline distT="0" distB="0" distL="0" distR="0" wp14:anchorId="7873079D" wp14:editId="6FF80C2A">
            <wp:extent cx="8860790" cy="5085080"/>
            <wp:effectExtent l="0" t="0" r="3810" b="0"/>
            <wp:docPr id="193482832" name="Picture 1934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832" name=""/>
                    <pic:cNvPicPr/>
                  </pic:nvPicPr>
                  <pic:blipFill>
                    <a:blip r:embed="rId27"/>
                    <a:stretch>
                      <a:fillRect/>
                    </a:stretch>
                  </pic:blipFill>
                  <pic:spPr>
                    <a:xfrm>
                      <a:off x="0" y="0"/>
                      <a:ext cx="8860790" cy="5085080"/>
                    </a:xfrm>
                    <a:prstGeom prst="rect">
                      <a:avLst/>
                    </a:prstGeom>
                  </pic:spPr>
                </pic:pic>
              </a:graphicData>
            </a:graphic>
          </wp:inline>
        </w:drawing>
      </w:r>
    </w:p>
    <w:p w14:paraId="531A13F7" w14:textId="77777777" w:rsidR="00D5155B" w:rsidRDefault="00D5155B" w:rsidP="00D5155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2A7CC7AE" w14:textId="77777777" w:rsidR="00D5155B" w:rsidRDefault="00D5155B" w:rsidP="00D5155B">
      <w:pPr>
        <w:jc w:val="center"/>
        <w:rPr>
          <w:rFonts w:asciiTheme="minorHAnsi" w:hAnsiTheme="minorHAnsi" w:cstheme="minorHAnsi"/>
        </w:rPr>
      </w:pPr>
      <w:r w:rsidRPr="00321F0C">
        <w:rPr>
          <w:rFonts w:asciiTheme="minorHAnsi" w:hAnsiTheme="minorHAnsi" w:cstheme="minorHAnsi"/>
          <w:noProof/>
        </w:rPr>
        <w:lastRenderedPageBreak/>
        <w:drawing>
          <wp:inline distT="0" distB="0" distL="0" distR="0" wp14:anchorId="19F7AA76" wp14:editId="4D532671">
            <wp:extent cx="8860790" cy="2552700"/>
            <wp:effectExtent l="0" t="0" r="3810" b="0"/>
            <wp:docPr id="759801096" name="Picture 7598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1096" name=""/>
                    <pic:cNvPicPr/>
                  </pic:nvPicPr>
                  <pic:blipFill>
                    <a:blip r:embed="rId28"/>
                    <a:stretch>
                      <a:fillRect/>
                    </a:stretch>
                  </pic:blipFill>
                  <pic:spPr>
                    <a:xfrm>
                      <a:off x="0" y="0"/>
                      <a:ext cx="8860790" cy="2552700"/>
                    </a:xfrm>
                    <a:prstGeom prst="rect">
                      <a:avLst/>
                    </a:prstGeom>
                  </pic:spPr>
                </pic:pic>
              </a:graphicData>
            </a:graphic>
          </wp:inline>
        </w:drawing>
      </w:r>
    </w:p>
    <w:p w14:paraId="10053162" w14:textId="77777777" w:rsidR="00D5155B" w:rsidRDefault="00D5155B" w:rsidP="00D5155B">
      <w:pPr>
        <w:jc w:val="center"/>
        <w:rPr>
          <w:rFonts w:asciiTheme="minorHAnsi" w:hAnsiTheme="minorHAnsi" w:cstheme="minorHAnsi"/>
        </w:rPr>
      </w:pPr>
    </w:p>
    <w:p w14:paraId="324447E8" w14:textId="77777777" w:rsidR="00D5155B" w:rsidRPr="00F10B94" w:rsidRDefault="00D5155B" w:rsidP="00D5155B">
      <w:pPr>
        <w:jc w:val="center"/>
        <w:rPr>
          <w:rFonts w:asciiTheme="minorHAnsi" w:hAnsiTheme="minorHAnsi" w:cstheme="minorHAnsi"/>
        </w:rPr>
      </w:pPr>
      <w:r>
        <w:rPr>
          <w:rFonts w:asciiTheme="minorHAnsi" w:hAnsiTheme="minorHAnsi" w:cstheme="minorHAnsi"/>
        </w:rPr>
        <w:t>______________</w:t>
      </w:r>
    </w:p>
    <w:sectPr w:rsidR="00D5155B" w:rsidRPr="00F10B94" w:rsidSect="009D2925">
      <w:pgSz w:w="16834" w:h="11907" w:orient="landscape"/>
      <w:pgMar w:top="1135" w:right="1135" w:bottom="1418" w:left="567"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A4A91" w14:textId="77777777" w:rsidR="003D23B1" w:rsidRDefault="003D23B1">
      <w:r>
        <w:separator/>
      </w:r>
    </w:p>
  </w:endnote>
  <w:endnote w:type="continuationSeparator" w:id="0">
    <w:p w14:paraId="6E5FD1CE" w14:textId="77777777" w:rsidR="003D23B1" w:rsidRDefault="003D23B1">
      <w:r>
        <w:continuationSeparator/>
      </w:r>
    </w:p>
  </w:endnote>
  <w:endnote w:type="continuationNotice" w:id="1">
    <w:p w14:paraId="4DC3C54D" w14:textId="77777777" w:rsidR="003D23B1" w:rsidRDefault="003D23B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881DFF" w:rsidRPr="00E06FD5" w14:paraId="5968C779" w14:textId="77777777" w:rsidTr="00284A51">
      <w:trPr>
        <w:jc w:val="center"/>
      </w:trPr>
      <w:tc>
        <w:tcPr>
          <w:tcW w:w="3107" w:type="dxa"/>
          <w:vAlign w:val="center"/>
        </w:tcPr>
        <w:p w14:paraId="4E9DBA45" w14:textId="77777777" w:rsidR="00881DFF" w:rsidRDefault="00881DFF" w:rsidP="00881DFF">
          <w:pPr>
            <w:pStyle w:val="Header"/>
            <w:jc w:val="left"/>
            <w:rPr>
              <w:noProof/>
            </w:rPr>
          </w:pPr>
          <w:r w:rsidRPr="009C253A">
            <w:rPr>
              <w:color w:val="0070C0"/>
            </w:rPr>
            <w:t>https://council.itu.int/working-groups</w:t>
          </w:r>
        </w:p>
      </w:tc>
      <w:tc>
        <w:tcPr>
          <w:tcW w:w="6957" w:type="dxa"/>
        </w:tcPr>
        <w:p w14:paraId="13FFDA5C" w14:textId="4EE7C23E" w:rsidR="00881DFF" w:rsidRPr="00E06FD5" w:rsidRDefault="00881DFF" w:rsidP="00881DFF">
          <w:pPr>
            <w:pStyle w:val="Header"/>
            <w:tabs>
              <w:tab w:val="left" w:pos="4718"/>
              <w:tab w:val="right" w:pos="8505"/>
              <w:tab w:val="right" w:pos="9639"/>
            </w:tabs>
            <w:jc w:val="left"/>
            <w:rPr>
              <w:rFonts w:ascii="Arial" w:hAnsi="Arial" w:cs="Arial"/>
              <w:b/>
              <w:bCs/>
              <w:szCs w:val="18"/>
            </w:rPr>
          </w:pPr>
          <w:r>
            <w:rPr>
              <w:bCs/>
            </w:rPr>
            <w:tab/>
          </w:r>
          <w:r w:rsidRPr="00623AE3">
            <w:rPr>
              <w:bCs/>
            </w:rPr>
            <w:t>C</w:t>
          </w:r>
          <w:r>
            <w:rPr>
              <w:bCs/>
            </w:rPr>
            <w:t>WG-FHR-17</w:t>
          </w:r>
          <w:r w:rsidRPr="00623AE3">
            <w:rPr>
              <w:bCs/>
            </w:rPr>
            <w:t>/</w:t>
          </w:r>
          <w:r w:rsidR="005A7A0B">
            <w:rPr>
              <w:bCs/>
            </w:rPr>
            <w:t>3</w:t>
          </w:r>
          <w:r>
            <w:rPr>
              <w:bCs/>
            </w:rPr>
            <w:tab/>
          </w:r>
          <w:r>
            <w:fldChar w:fldCharType="begin"/>
          </w:r>
          <w:r>
            <w:instrText>PAGE</w:instrText>
          </w:r>
          <w:r>
            <w:fldChar w:fldCharType="separate"/>
          </w:r>
          <w:r>
            <w:t>1</w:t>
          </w:r>
          <w:r>
            <w:rPr>
              <w:noProof/>
            </w:rPr>
            <w:fldChar w:fldCharType="end"/>
          </w:r>
        </w:p>
      </w:tc>
    </w:tr>
  </w:tbl>
  <w:p w14:paraId="21EAFAA1" w14:textId="77777777" w:rsidR="00881DFF" w:rsidRDefault="00881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07"/>
      <w:gridCol w:w="6957"/>
    </w:tblGrid>
    <w:tr w:rsidR="00881DFF" w:rsidRPr="00E06FD5" w14:paraId="16025A6C" w14:textId="77777777" w:rsidTr="001645A5">
      <w:trPr>
        <w:jc w:val="center"/>
      </w:trPr>
      <w:tc>
        <w:tcPr>
          <w:tcW w:w="3107" w:type="dxa"/>
          <w:vAlign w:val="center"/>
        </w:tcPr>
        <w:p w14:paraId="730F4506" w14:textId="77777777" w:rsidR="00881DFF" w:rsidRDefault="00881DFF" w:rsidP="00881DFF">
          <w:pPr>
            <w:pStyle w:val="Header"/>
            <w:jc w:val="left"/>
            <w:rPr>
              <w:noProof/>
            </w:rPr>
          </w:pPr>
          <w:r w:rsidRPr="009C253A">
            <w:rPr>
              <w:color w:val="0070C0"/>
            </w:rPr>
            <w:t>https://council.itu.int/working-groups</w:t>
          </w:r>
        </w:p>
      </w:tc>
      <w:tc>
        <w:tcPr>
          <w:tcW w:w="6957" w:type="dxa"/>
        </w:tcPr>
        <w:p w14:paraId="2BD7EF41" w14:textId="33D73764" w:rsidR="00881DFF" w:rsidRPr="00E06FD5" w:rsidRDefault="00881DFF" w:rsidP="00881DFF">
          <w:pPr>
            <w:pStyle w:val="Header"/>
            <w:tabs>
              <w:tab w:val="left" w:pos="4718"/>
              <w:tab w:val="right" w:pos="8505"/>
              <w:tab w:val="right" w:pos="9639"/>
            </w:tabs>
            <w:jc w:val="left"/>
            <w:rPr>
              <w:rFonts w:ascii="Arial" w:hAnsi="Arial" w:cs="Arial"/>
              <w:b/>
              <w:bCs/>
              <w:szCs w:val="18"/>
            </w:rPr>
          </w:pPr>
          <w:r>
            <w:rPr>
              <w:bCs/>
            </w:rPr>
            <w:tab/>
          </w:r>
          <w:r w:rsidRPr="00623AE3">
            <w:rPr>
              <w:bCs/>
            </w:rPr>
            <w:t>C</w:t>
          </w:r>
          <w:r>
            <w:rPr>
              <w:bCs/>
            </w:rPr>
            <w:t>WG-FHR-17</w:t>
          </w:r>
          <w:r w:rsidRPr="00623AE3">
            <w:rPr>
              <w:bCs/>
            </w:rPr>
            <w:t>/</w:t>
          </w:r>
          <w:r w:rsidR="00382699">
            <w:rPr>
              <w:bCs/>
            </w:rPr>
            <w:t>2</w:t>
          </w:r>
          <w:r>
            <w:rPr>
              <w:bCs/>
            </w:rPr>
            <w:tab/>
          </w:r>
          <w:r>
            <w:fldChar w:fldCharType="begin"/>
          </w:r>
          <w:r>
            <w:instrText>PAGE</w:instrText>
          </w:r>
          <w:r>
            <w:fldChar w:fldCharType="separate"/>
          </w:r>
          <w:r>
            <w:t>1</w:t>
          </w:r>
          <w:r>
            <w:rPr>
              <w:noProof/>
            </w:rPr>
            <w:fldChar w:fldCharType="end"/>
          </w:r>
        </w:p>
      </w:tc>
    </w:tr>
  </w:tbl>
  <w:p w14:paraId="279DFD68" w14:textId="77777777" w:rsidR="00881DFF" w:rsidRDefault="00881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07"/>
      <w:gridCol w:w="6957"/>
    </w:tblGrid>
    <w:tr w:rsidR="00206DCA" w:rsidRPr="00E06FD5" w14:paraId="69251318" w14:textId="77777777" w:rsidTr="00206DCA">
      <w:trPr>
        <w:jc w:val="center"/>
      </w:trPr>
      <w:tc>
        <w:tcPr>
          <w:tcW w:w="3107" w:type="dxa"/>
          <w:vAlign w:val="center"/>
        </w:tcPr>
        <w:p w14:paraId="6988B69B" w14:textId="7B97CFB4" w:rsidR="00206DCA" w:rsidRDefault="00206DCA" w:rsidP="00206DCA">
          <w:pPr>
            <w:pStyle w:val="Header"/>
            <w:jc w:val="left"/>
            <w:rPr>
              <w:noProof/>
            </w:rPr>
          </w:pPr>
        </w:p>
      </w:tc>
      <w:tc>
        <w:tcPr>
          <w:tcW w:w="6957" w:type="dxa"/>
        </w:tcPr>
        <w:p w14:paraId="3CD2416F" w14:textId="1B638B60" w:rsidR="00206DCA" w:rsidRPr="00E06FD5" w:rsidRDefault="00206DCA" w:rsidP="00881DFF">
          <w:pPr>
            <w:pStyle w:val="Header"/>
            <w:tabs>
              <w:tab w:val="left" w:pos="4718"/>
              <w:tab w:val="right" w:pos="8505"/>
              <w:tab w:val="right" w:pos="9639"/>
            </w:tabs>
            <w:jc w:val="left"/>
            <w:rPr>
              <w:rFonts w:ascii="Arial" w:hAnsi="Arial" w:cs="Arial"/>
              <w:b/>
              <w:bCs/>
              <w:szCs w:val="18"/>
            </w:rPr>
          </w:pPr>
          <w:r>
            <w:rPr>
              <w:bCs/>
            </w:rPr>
            <w:tab/>
          </w:r>
          <w:r w:rsidRPr="00623AE3">
            <w:rPr>
              <w:bCs/>
            </w:rPr>
            <w:t>C</w:t>
          </w:r>
          <w:r>
            <w:rPr>
              <w:bCs/>
            </w:rPr>
            <w:t>WG-FHR-17</w:t>
          </w:r>
          <w:r w:rsidRPr="00623AE3">
            <w:rPr>
              <w:bCs/>
            </w:rPr>
            <w:t>/</w:t>
          </w:r>
          <w:r w:rsidR="00382699">
            <w:rPr>
              <w:bCs/>
            </w:rPr>
            <w:t>2</w:t>
          </w:r>
          <w:r>
            <w:rPr>
              <w:bCs/>
            </w:rPr>
            <w:tab/>
          </w:r>
          <w:r>
            <w:fldChar w:fldCharType="begin"/>
          </w:r>
          <w:r>
            <w:instrText>PAGE</w:instrText>
          </w:r>
          <w:r>
            <w:fldChar w:fldCharType="separate"/>
          </w:r>
          <w:r>
            <w:t>1</w:t>
          </w:r>
          <w:r>
            <w:rPr>
              <w:noProof/>
            </w:rPr>
            <w:fldChar w:fldCharType="end"/>
          </w:r>
        </w:p>
      </w:tc>
    </w:tr>
  </w:tbl>
  <w:p w14:paraId="4E5A5C68" w14:textId="77777777" w:rsidR="00206DCA" w:rsidRDefault="00206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94DF3" w14:textId="77777777" w:rsidR="003D23B1" w:rsidRDefault="003D23B1">
      <w:r>
        <w:t>____________________</w:t>
      </w:r>
    </w:p>
  </w:footnote>
  <w:footnote w:type="continuationSeparator" w:id="0">
    <w:p w14:paraId="7614F0F6" w14:textId="77777777" w:rsidR="003D23B1" w:rsidRDefault="003D23B1">
      <w:r>
        <w:continuationSeparator/>
      </w:r>
    </w:p>
  </w:footnote>
  <w:footnote w:type="continuationNotice" w:id="1">
    <w:p w14:paraId="1D865909" w14:textId="77777777" w:rsidR="003D23B1" w:rsidRDefault="003D23B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BD10D4" w:rsidRPr="00784011" w14:paraId="09446645" w14:textId="77777777" w:rsidTr="00F74694">
      <w:trPr>
        <w:trHeight w:val="1304"/>
        <w:jc w:val="center"/>
      </w:trPr>
      <w:tc>
        <w:tcPr>
          <w:tcW w:w="6546" w:type="dxa"/>
        </w:tcPr>
        <w:p w14:paraId="31157027" w14:textId="77777777" w:rsidR="00BD10D4" w:rsidRPr="009621F8" w:rsidRDefault="00BD10D4" w:rsidP="00130599">
          <w:pPr>
            <w:pStyle w:val="Header"/>
            <w:jc w:val="left"/>
            <w:rPr>
              <w:rFonts w:ascii="Arial" w:hAnsi="Arial" w:cs="Arial"/>
              <w:b/>
              <w:bCs/>
              <w:color w:val="009CD6"/>
              <w:sz w:val="36"/>
              <w:szCs w:val="36"/>
            </w:rPr>
          </w:pPr>
          <w:r>
            <w:rPr>
              <w:rFonts w:ascii="Arial" w:hAnsi="Arial" w:cs="Arial"/>
              <w:b/>
              <w:bCs/>
              <w:noProof/>
              <w:color w:val="009CD6"/>
              <w:szCs w:val="18"/>
            </w:rPr>
            <mc:AlternateContent>
              <mc:Choice Requires="wps">
                <w:drawing>
                  <wp:anchor distT="0" distB="0" distL="114300" distR="114300" simplePos="0" relativeHeight="251665408" behindDoc="0" locked="0" layoutInCell="1" allowOverlap="1" wp14:anchorId="3E99972F" wp14:editId="2549C71C">
                    <wp:simplePos x="0" y="0"/>
                    <wp:positionH relativeFrom="column">
                      <wp:posOffset>569937</wp:posOffset>
                    </wp:positionH>
                    <wp:positionV relativeFrom="paragraph">
                      <wp:posOffset>63305</wp:posOffset>
                    </wp:positionV>
                    <wp:extent cx="1652954" cy="541215"/>
                    <wp:effectExtent l="0" t="0" r="4445" b="0"/>
                    <wp:wrapNone/>
                    <wp:docPr id="2063252410" name="Rectangle 2063252410"/>
                    <wp:cNvGraphicFramePr/>
                    <a:graphic xmlns:a="http://schemas.openxmlformats.org/drawingml/2006/main">
                      <a:graphicData uri="http://schemas.microsoft.com/office/word/2010/wordprocessingShape">
                        <wps:wsp>
                          <wps:cNvSpPr/>
                          <wps:spPr>
                            <a:xfrm>
                              <a:off x="0" y="0"/>
                              <a:ext cx="1652954" cy="5412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ED59B8">
                  <v:rect id="Rectangle 2063252410" style="position:absolute;margin-left:44.9pt;margin-top:5pt;width:130.1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B7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SewIAAF4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"/>
                </w:pict>
              </mc:Fallback>
            </mc:AlternateContent>
          </w:r>
          <w:r>
            <w:rPr>
              <w:noProof/>
            </w:rPr>
            <w:drawing>
              <wp:inline distT="0" distB="0" distL="0" distR="0" wp14:anchorId="1A683944" wp14:editId="2B69B31B">
                <wp:extent cx="2250000" cy="622800"/>
                <wp:effectExtent l="0" t="0" r="0" b="0"/>
                <wp:docPr id="1933285959" name="Picture 19332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1E7C6827" w14:textId="77777777" w:rsidR="00BD10D4" w:rsidRDefault="00BD10D4" w:rsidP="00AD3606">
          <w:pPr>
            <w:pStyle w:val="Header"/>
            <w:jc w:val="right"/>
            <w:rPr>
              <w:rFonts w:ascii="Arial" w:hAnsi="Arial" w:cs="Arial"/>
              <w:b/>
              <w:bCs/>
              <w:color w:val="009CD6"/>
              <w:szCs w:val="18"/>
            </w:rPr>
          </w:pPr>
        </w:p>
        <w:p w14:paraId="25B46DCC" w14:textId="77777777" w:rsidR="00BD10D4" w:rsidRDefault="00BD10D4" w:rsidP="00AD3606">
          <w:pPr>
            <w:pStyle w:val="Header"/>
            <w:jc w:val="right"/>
            <w:rPr>
              <w:rFonts w:ascii="Arial" w:hAnsi="Arial" w:cs="Arial"/>
              <w:b/>
              <w:bCs/>
              <w:color w:val="009CD6"/>
              <w:szCs w:val="18"/>
            </w:rPr>
          </w:pPr>
        </w:p>
        <w:p w14:paraId="15E4E57B" w14:textId="77777777" w:rsidR="00BD10D4" w:rsidRPr="00784011" w:rsidRDefault="00BD10D4"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p w14:paraId="20141C97" w14:textId="77777777" w:rsidR="00BD10D4" w:rsidRDefault="00BD10D4">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4384" behindDoc="0" locked="0" layoutInCell="1" allowOverlap="1" wp14:anchorId="1108DEA4" wp14:editId="1C51E62A">
              <wp:simplePos x="0" y="0"/>
              <wp:positionH relativeFrom="page">
                <wp:posOffset>14605</wp:posOffset>
              </wp:positionH>
              <wp:positionV relativeFrom="topMargin">
                <wp:posOffset>555625</wp:posOffset>
              </wp:positionV>
              <wp:extent cx="93345" cy="431800"/>
              <wp:effectExtent l="0" t="0" r="1905" b="6350"/>
              <wp:wrapNone/>
              <wp:docPr id="2125378050" name="Rectangle 2125378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3C636B">
            <v:rect id="Rectangle 2125378050" style="position:absolute;margin-left:1.15pt;margin-top:43.75pt;width:7.3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26" fillcolor="#009cd5" stroked="f" w14:anchorId="7623B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w10:wrap anchorx="page" anchory="margin"/>
            </v:rect>
          </w:pict>
        </mc:Fallback>
      </mc:AlternateContent>
    </w:r>
    <w:r w:rsidRPr="00130599">
      <w:rPr>
        <w:rFonts w:ascii="Arial" w:eastAsiaTheme="minorHAnsi" w:hAnsi="Arial" w:cs="Arial"/>
        <w:b/>
        <w:bCs/>
        <w:noProof/>
        <w:color w:val="009CD6"/>
        <w:szCs w:val="18"/>
      </w:rPr>
      <mc:AlternateContent>
        <mc:Choice Requires="wps">
          <w:drawing>
            <wp:anchor distT="0" distB="0" distL="114300" distR="114300" simplePos="0" relativeHeight="251666432" behindDoc="0" locked="0" layoutInCell="1" allowOverlap="1" wp14:anchorId="0CF78FA9" wp14:editId="104EF4EE">
              <wp:simplePos x="0" y="0"/>
              <wp:positionH relativeFrom="column">
                <wp:posOffset>306754</wp:posOffset>
              </wp:positionH>
              <wp:positionV relativeFrom="paragraph">
                <wp:posOffset>-835660</wp:posOffset>
              </wp:positionV>
              <wp:extent cx="3999230" cy="471170"/>
              <wp:effectExtent l="0" t="0" r="0" b="1270"/>
              <wp:wrapNone/>
              <wp:docPr id="1599550823" name="Text Box 1599550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4D90D705" w14:textId="5C72A9E4" w:rsidR="00BD10D4" w:rsidRDefault="00BD10D4" w:rsidP="00130599">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Pr>
                              <w:sz w:val="20"/>
                            </w:rPr>
                            <w:t>Seventeenth</w:t>
                          </w:r>
                          <w:r w:rsidRPr="00130599">
                            <w:rPr>
                              <w:sz w:val="20"/>
                            </w:rPr>
                            <w:t xml:space="preserve"> meeting </w:t>
                          </w:r>
                          <w:r>
                            <w:rPr>
                              <w:sz w:val="20"/>
                            </w:rPr>
                            <w:t xml:space="preserve">- </w:t>
                          </w:r>
                          <w:r w:rsidR="005135AD" w:rsidRPr="005135AD">
                            <w:rPr>
                              <w:sz w:val="20"/>
                            </w:rPr>
                            <w:t>From 24 to 26 January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F635E5">
            <v:shapetype id="_x0000_t202" coordsize="21600,21600" o:spt="202" path="m,l,21600r21600,l21600,xe" w14:anchorId="0CF78FA9">
              <v:stroke joinstyle="miter"/>
              <v:path gradientshapeok="t" o:connecttype="rect"/>
            </v:shapetype>
            <v:shape id="Text Box 1599550823" style="position:absolute;left:0;text-align:left;margin-left:24.15pt;margin-top:-65.8pt;width:314.9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">
              <v:textbox style="mso-fit-shape-to-text:t">
                <w:txbxContent>
                  <w:p w:rsidR="00BD10D4" w:rsidP="00130599" w:rsidRDefault="00BD10D4" w14:paraId="21F833A4" w14:textId="5C72A9E4">
                    <w:pPr>
                      <w:spacing w:before="0"/>
                    </w:pPr>
                    <w:r w:rsidRPr="00F74694">
                      <w:rPr>
                        <w:b/>
                        <w:bCs/>
                        <w:szCs w:val="24"/>
                      </w:rPr>
                      <w:t xml:space="preserve">Council Working Group </w:t>
                    </w:r>
                    <w:r w:rsidRPr="00F74694">
                      <w:rPr>
                        <w:b/>
                        <w:bCs/>
                        <w:szCs w:val="24"/>
                      </w:rPr>
                      <w:br/>
                    </w:r>
                    <w:r w:rsidRPr="00F74694">
                      <w:rPr>
                        <w:b/>
                        <w:bCs/>
                        <w:szCs w:val="24"/>
                      </w:rPr>
                      <w:t xml:space="preserve">on </w:t>
                    </w:r>
                    <w:r>
                      <w:rPr>
                        <w:b/>
                        <w:bCs/>
                        <w:szCs w:val="24"/>
                      </w:rPr>
                      <w:t>Financial and Human Resources</w:t>
                    </w:r>
                    <w:r>
                      <w:br/>
                    </w:r>
                    <w:r>
                      <w:rPr>
                        <w:sz w:val="20"/>
                      </w:rPr>
                      <w:t>Seventeenth</w:t>
                    </w:r>
                    <w:r w:rsidRPr="00130599">
                      <w:rPr>
                        <w:sz w:val="20"/>
                      </w:rPr>
                      <w:t xml:space="preserve"> meeting </w:t>
                    </w:r>
                    <w:r>
                      <w:rPr>
                        <w:sz w:val="20"/>
                      </w:rPr>
                      <w:t xml:space="preserve">- </w:t>
                    </w:r>
                    <w:r w:rsidRPr="005135AD" w:rsidR="005135AD">
                      <w:rPr>
                        <w:sz w:val="20"/>
                      </w:rPr>
                      <w:t>From 24 to 26 January 2024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9D33"/>
      </v:shape>
    </w:pict>
  </w:numPicBullet>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BE10261"/>
    <w:multiLevelType w:val="hybridMultilevel"/>
    <w:tmpl w:val="0B66AAA2"/>
    <w:lvl w:ilvl="0" w:tplc="F68019E6">
      <w:start w:val="1"/>
      <w:numFmt w:val="lowerLetter"/>
      <w:lvlText w:val="%1)"/>
      <w:lvlJc w:val="left"/>
      <w:pPr>
        <w:ind w:left="925" w:hanging="5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9505B0"/>
    <w:multiLevelType w:val="hybridMultilevel"/>
    <w:tmpl w:val="E03CEC5E"/>
    <w:lvl w:ilvl="0" w:tplc="95B85F26">
      <w:start w:val="1"/>
      <w:numFmt w:val="lowerLetter"/>
      <w:lvlText w:val="%1)"/>
      <w:lvlJc w:val="left"/>
      <w:pPr>
        <w:ind w:left="540" w:hanging="360"/>
      </w:p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3" w15:restartNumberingAfterBreak="0">
    <w:nsid w:val="43BB1509"/>
    <w:multiLevelType w:val="hybridMultilevel"/>
    <w:tmpl w:val="82ACA94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C5403A"/>
    <w:multiLevelType w:val="hybridMultilevel"/>
    <w:tmpl w:val="81145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0830A4"/>
    <w:multiLevelType w:val="hybridMultilevel"/>
    <w:tmpl w:val="486000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4816267">
    <w:abstractNumId w:val="0"/>
  </w:num>
  <w:num w:numId="2" w16cid:durableId="1302494249">
    <w:abstractNumId w:val="3"/>
  </w:num>
  <w:num w:numId="3" w16cid:durableId="111635533">
    <w:abstractNumId w:val="2"/>
  </w:num>
  <w:num w:numId="4" w16cid:durableId="268436393">
    <w:abstractNumId w:val="1"/>
  </w:num>
  <w:num w:numId="5" w16cid:durableId="421219099">
    <w:abstractNumId w:val="5"/>
  </w:num>
  <w:num w:numId="6" w16cid:durableId="347606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2"/>
    <w:rsid w:val="000210D4"/>
    <w:rsid w:val="00063016"/>
    <w:rsid w:val="00066795"/>
    <w:rsid w:val="00076AF6"/>
    <w:rsid w:val="00085CF2"/>
    <w:rsid w:val="000B1705"/>
    <w:rsid w:val="000D75B2"/>
    <w:rsid w:val="000F5058"/>
    <w:rsid w:val="001121F5"/>
    <w:rsid w:val="00130599"/>
    <w:rsid w:val="0013790E"/>
    <w:rsid w:val="001400DC"/>
    <w:rsid w:val="00140CE1"/>
    <w:rsid w:val="001645A5"/>
    <w:rsid w:val="001751FF"/>
    <w:rsid w:val="0017539C"/>
    <w:rsid w:val="00175AC2"/>
    <w:rsid w:val="0017609F"/>
    <w:rsid w:val="0019628A"/>
    <w:rsid w:val="001A7D1D"/>
    <w:rsid w:val="001B51DD"/>
    <w:rsid w:val="001C628E"/>
    <w:rsid w:val="001E0F7B"/>
    <w:rsid w:val="00206DCA"/>
    <w:rsid w:val="002119FD"/>
    <w:rsid w:val="00211ADC"/>
    <w:rsid w:val="002130E0"/>
    <w:rsid w:val="002404ED"/>
    <w:rsid w:val="00244F7F"/>
    <w:rsid w:val="00260ACE"/>
    <w:rsid w:val="00264425"/>
    <w:rsid w:val="00265875"/>
    <w:rsid w:val="0027303B"/>
    <w:rsid w:val="0028109B"/>
    <w:rsid w:val="002A2188"/>
    <w:rsid w:val="002B1F58"/>
    <w:rsid w:val="002C1C7A"/>
    <w:rsid w:val="002C54E2"/>
    <w:rsid w:val="0030160F"/>
    <w:rsid w:val="00320223"/>
    <w:rsid w:val="00322D0D"/>
    <w:rsid w:val="00327001"/>
    <w:rsid w:val="00341A6C"/>
    <w:rsid w:val="00361465"/>
    <w:rsid w:val="00382699"/>
    <w:rsid w:val="003877F5"/>
    <w:rsid w:val="003942D4"/>
    <w:rsid w:val="003958A8"/>
    <w:rsid w:val="003C2533"/>
    <w:rsid w:val="003D1991"/>
    <w:rsid w:val="003D23B1"/>
    <w:rsid w:val="003D55B9"/>
    <w:rsid w:val="003D5A7F"/>
    <w:rsid w:val="004016E2"/>
    <w:rsid w:val="0040435A"/>
    <w:rsid w:val="00416A24"/>
    <w:rsid w:val="00431D9E"/>
    <w:rsid w:val="00433CE8"/>
    <w:rsid w:val="00434A5C"/>
    <w:rsid w:val="004544D9"/>
    <w:rsid w:val="004659E3"/>
    <w:rsid w:val="00472BAD"/>
    <w:rsid w:val="00484009"/>
    <w:rsid w:val="00490E72"/>
    <w:rsid w:val="00491157"/>
    <w:rsid w:val="004921C8"/>
    <w:rsid w:val="00495B0B"/>
    <w:rsid w:val="004A1B8B"/>
    <w:rsid w:val="004D1851"/>
    <w:rsid w:val="004D599D"/>
    <w:rsid w:val="004E2EA5"/>
    <w:rsid w:val="004E3AEB"/>
    <w:rsid w:val="0050223C"/>
    <w:rsid w:val="005135AD"/>
    <w:rsid w:val="005243FF"/>
    <w:rsid w:val="00564FBC"/>
    <w:rsid w:val="005800BC"/>
    <w:rsid w:val="00582442"/>
    <w:rsid w:val="00584878"/>
    <w:rsid w:val="005A335D"/>
    <w:rsid w:val="005A7A0B"/>
    <w:rsid w:val="005B4BA2"/>
    <w:rsid w:val="005E2BD5"/>
    <w:rsid w:val="005F3269"/>
    <w:rsid w:val="00623AE3"/>
    <w:rsid w:val="0064737F"/>
    <w:rsid w:val="006535F1"/>
    <w:rsid w:val="0065557D"/>
    <w:rsid w:val="00660D50"/>
    <w:rsid w:val="00662984"/>
    <w:rsid w:val="006716BB"/>
    <w:rsid w:val="00676C7D"/>
    <w:rsid w:val="006B1859"/>
    <w:rsid w:val="006B6680"/>
    <w:rsid w:val="006B6DCC"/>
    <w:rsid w:val="00702DEF"/>
    <w:rsid w:val="00706861"/>
    <w:rsid w:val="0075051B"/>
    <w:rsid w:val="00775655"/>
    <w:rsid w:val="00793188"/>
    <w:rsid w:val="00793606"/>
    <w:rsid w:val="00794D34"/>
    <w:rsid w:val="007B270A"/>
    <w:rsid w:val="007E4BDF"/>
    <w:rsid w:val="00813E5E"/>
    <w:rsid w:val="0083581B"/>
    <w:rsid w:val="008572A0"/>
    <w:rsid w:val="00863874"/>
    <w:rsid w:val="00864AFF"/>
    <w:rsid w:val="00865925"/>
    <w:rsid w:val="00881DFF"/>
    <w:rsid w:val="00891503"/>
    <w:rsid w:val="008B4A6A"/>
    <w:rsid w:val="008C7E27"/>
    <w:rsid w:val="008F5129"/>
    <w:rsid w:val="008F7448"/>
    <w:rsid w:val="0090147A"/>
    <w:rsid w:val="009173EF"/>
    <w:rsid w:val="00932906"/>
    <w:rsid w:val="00961B0B"/>
    <w:rsid w:val="00962D33"/>
    <w:rsid w:val="00971C28"/>
    <w:rsid w:val="009B2D4B"/>
    <w:rsid w:val="009B38C3"/>
    <w:rsid w:val="009C253A"/>
    <w:rsid w:val="009D2925"/>
    <w:rsid w:val="009E17BD"/>
    <w:rsid w:val="009E485A"/>
    <w:rsid w:val="009F347C"/>
    <w:rsid w:val="00A04CEC"/>
    <w:rsid w:val="00A27F92"/>
    <w:rsid w:val="00A32257"/>
    <w:rsid w:val="00A34664"/>
    <w:rsid w:val="00A36D20"/>
    <w:rsid w:val="00A514A4"/>
    <w:rsid w:val="00A52C84"/>
    <w:rsid w:val="00A55622"/>
    <w:rsid w:val="00A650C2"/>
    <w:rsid w:val="00A83502"/>
    <w:rsid w:val="00AD15B3"/>
    <w:rsid w:val="00AD3606"/>
    <w:rsid w:val="00AD4A3D"/>
    <w:rsid w:val="00AF6E49"/>
    <w:rsid w:val="00B04A67"/>
    <w:rsid w:val="00B0583C"/>
    <w:rsid w:val="00B358B2"/>
    <w:rsid w:val="00B40A81"/>
    <w:rsid w:val="00B44910"/>
    <w:rsid w:val="00B650C7"/>
    <w:rsid w:val="00B72267"/>
    <w:rsid w:val="00B76EB6"/>
    <w:rsid w:val="00B7737B"/>
    <w:rsid w:val="00B824C8"/>
    <w:rsid w:val="00B84B9D"/>
    <w:rsid w:val="00BC251A"/>
    <w:rsid w:val="00BC31DF"/>
    <w:rsid w:val="00BD032B"/>
    <w:rsid w:val="00BD10D4"/>
    <w:rsid w:val="00BE2640"/>
    <w:rsid w:val="00C01189"/>
    <w:rsid w:val="00C374DE"/>
    <w:rsid w:val="00C47AD4"/>
    <w:rsid w:val="00C52D81"/>
    <w:rsid w:val="00C55198"/>
    <w:rsid w:val="00C939BE"/>
    <w:rsid w:val="00CA6393"/>
    <w:rsid w:val="00CA7CB8"/>
    <w:rsid w:val="00CB18FF"/>
    <w:rsid w:val="00CB6787"/>
    <w:rsid w:val="00CD0C08"/>
    <w:rsid w:val="00CE03FB"/>
    <w:rsid w:val="00CE433C"/>
    <w:rsid w:val="00CF0161"/>
    <w:rsid w:val="00CF33F3"/>
    <w:rsid w:val="00CF3781"/>
    <w:rsid w:val="00D06183"/>
    <w:rsid w:val="00D22C42"/>
    <w:rsid w:val="00D464CC"/>
    <w:rsid w:val="00D5155B"/>
    <w:rsid w:val="00D65041"/>
    <w:rsid w:val="00DB00D5"/>
    <w:rsid w:val="00DB1936"/>
    <w:rsid w:val="00DB384B"/>
    <w:rsid w:val="00DF0189"/>
    <w:rsid w:val="00E06FD5"/>
    <w:rsid w:val="00E10E80"/>
    <w:rsid w:val="00E124F0"/>
    <w:rsid w:val="00E227F3"/>
    <w:rsid w:val="00E545C6"/>
    <w:rsid w:val="00E60F04"/>
    <w:rsid w:val="00E65B24"/>
    <w:rsid w:val="00E854E4"/>
    <w:rsid w:val="00E86DBF"/>
    <w:rsid w:val="00EB0D6F"/>
    <w:rsid w:val="00EB2232"/>
    <w:rsid w:val="00EC101E"/>
    <w:rsid w:val="00EC5337"/>
    <w:rsid w:val="00ED454D"/>
    <w:rsid w:val="00EE49E8"/>
    <w:rsid w:val="00EF15F8"/>
    <w:rsid w:val="00F067C4"/>
    <w:rsid w:val="00F06875"/>
    <w:rsid w:val="00F16BAB"/>
    <w:rsid w:val="00F2150A"/>
    <w:rsid w:val="00F231D8"/>
    <w:rsid w:val="00F44C00"/>
    <w:rsid w:val="00F45D2C"/>
    <w:rsid w:val="00F46C5F"/>
    <w:rsid w:val="00F524EB"/>
    <w:rsid w:val="00F567FC"/>
    <w:rsid w:val="00F632C0"/>
    <w:rsid w:val="00F74694"/>
    <w:rsid w:val="00F94A63"/>
    <w:rsid w:val="00FA1C28"/>
    <w:rsid w:val="00FB1279"/>
    <w:rsid w:val="00FB6B76"/>
    <w:rsid w:val="00FB7596"/>
    <w:rsid w:val="00FD7016"/>
    <w:rsid w:val="00FE4077"/>
    <w:rsid w:val="00FE500D"/>
    <w:rsid w:val="00FE77D2"/>
    <w:rsid w:val="029515FA"/>
    <w:rsid w:val="0E4FE430"/>
    <w:rsid w:val="23AAD616"/>
    <w:rsid w:val="311B6658"/>
    <w:rsid w:val="5A5F5017"/>
    <w:rsid w:val="5EE1AF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2E6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676C7D"/>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paragraph" w:customStyle="1" w:styleId="Subtitle1">
    <w:name w:val="Subtitle1"/>
    <w:basedOn w:val="Title1"/>
    <w:qFormat/>
    <w:rsid w:val="00DF0189"/>
    <w:pPr>
      <w:framePr w:wrap="around" w:vAnchor="margin" w:hAnchor="text"/>
      <w:spacing w:before="120" w:after="160"/>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FD7016"/>
    <w:rPr>
      <w:color w:val="605E5C"/>
      <w:shd w:val="clear" w:color="auto" w:fill="E1DFDD"/>
    </w:rPr>
  </w:style>
  <w:style w:type="paragraph" w:styleId="ListParagraph">
    <w:name w:val="List Paragraph"/>
    <w:basedOn w:val="Normal"/>
    <w:uiPriority w:val="34"/>
    <w:qFormat/>
    <w:rsid w:val="00881DFF"/>
    <w:pPr>
      <w:tabs>
        <w:tab w:val="clear" w:pos="567"/>
        <w:tab w:val="clear" w:pos="1134"/>
        <w:tab w:val="clear" w:pos="1701"/>
        <w:tab w:val="clear" w:pos="2268"/>
        <w:tab w:val="clear" w:pos="2835"/>
      </w:tabs>
      <w:overflowPunct/>
      <w:autoSpaceDE/>
      <w:autoSpaceDN/>
      <w:adjustRightInd/>
      <w:spacing w:before="0"/>
      <w:ind w:left="720"/>
      <w:contextualSpacing/>
      <w:jc w:val="both"/>
      <w:textAlignment w:val="auto"/>
    </w:pPr>
    <w:rPr>
      <w:rFonts w:ascii="Times New Roman" w:hAnsi="Times New Roman"/>
      <w:sz w:val="22"/>
      <w:lang w:val="en-US"/>
    </w:rPr>
  </w:style>
  <w:style w:type="character" w:customStyle="1" w:styleId="NormalaftertitleChar">
    <w:name w:val="Normal after title Char"/>
    <w:link w:val="Normalaftertitle"/>
    <w:locked/>
    <w:rsid w:val="00881DFF"/>
    <w:rPr>
      <w:rFonts w:ascii="Calibri" w:hAnsi="Calibri"/>
      <w:sz w:val="24"/>
      <w:lang w:val="en-GB" w:eastAsia="en-US"/>
    </w:rPr>
  </w:style>
  <w:style w:type="character" w:customStyle="1" w:styleId="CallChar">
    <w:name w:val="Call Char"/>
    <w:basedOn w:val="DefaultParagraphFont"/>
    <w:link w:val="Call"/>
    <w:rsid w:val="00881DFF"/>
    <w:rPr>
      <w:rFonts w:ascii="Calibri" w:hAnsi="Calibri"/>
      <w:i/>
      <w:sz w:val="24"/>
      <w:lang w:val="en-GB" w:eastAsia="en-US"/>
    </w:rPr>
  </w:style>
  <w:style w:type="paragraph" w:styleId="NormalWeb">
    <w:name w:val="Normal (Web)"/>
    <w:basedOn w:val="Normal"/>
    <w:uiPriority w:val="99"/>
    <w:unhideWhenUsed/>
    <w:rsid w:val="00881DFF"/>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styleId="Revision">
    <w:name w:val="Revision"/>
    <w:hidden/>
    <w:uiPriority w:val="99"/>
    <w:semiHidden/>
    <w:rsid w:val="007E4BDF"/>
    <w:rPr>
      <w:rFonts w:ascii="Calibri" w:hAnsi="Calibri"/>
      <w:sz w:val="24"/>
      <w:lang w:val="en-GB"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Calibri" w:hAnsi="Calibri"/>
      <w:lang w:val="en-GB"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s://www.itu.int/en/council/Documents/basic-texts/dec-005-E.pdf" TargetMode="External"/><Relationship Id="rId17" Type="http://schemas.openxmlformats.org/officeDocument/2006/relationships/image" Target="media/image4.em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en/council/Documents/basic-texts-2023/dec-005-E.pdf" TargetMode="Externa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7A014BF6FE3A4AB656F5985E3C82C4" ma:contentTypeVersion="3" ma:contentTypeDescription="Create a new document." ma:contentTypeScope="" ma:versionID="b463d01d744cd3e118a3270eabc75631">
  <xsd:schema xmlns:xsd="http://www.w3.org/2001/XMLSchema" xmlns:xs="http://www.w3.org/2001/XMLSchema" xmlns:p="http://schemas.microsoft.com/office/2006/metadata/properties" xmlns:ns2="085b46e1-7f22-4e81-9ba5-912dc5a5fd9a" targetNamespace="http://schemas.microsoft.com/office/2006/metadata/properties" ma:root="true" ma:fieldsID="5d4088d9f3955b72ef584b3d432ce6a6" ns2:_="">
    <xsd:import namespace="085b46e1-7f22-4e81-9ba5-912dc5a5fd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b46e1-7f22-4e81-9ba5-912dc5a5f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1896C-1031-4AF7-AECF-F0C7FD9FF2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63E6DE-2CD2-4265-8B2F-A25B065B0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b46e1-7f22-4e81-9ba5-912dc5a5f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6DF152-59A8-4D90-AEC6-6A157138EEE9}">
  <ds:schemaRefs>
    <ds:schemaRef ds:uri="http://schemas.microsoft.com/sharepoint/v3/contenttype/forms"/>
  </ds:schemaRefs>
</ds:datastoreItem>
</file>

<file path=customXml/itemProps4.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1296</Words>
  <Characters>6851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2023 and 2024 budget implementation forecasts - Report on the implementation of efficiency measures for 2023 and 2024</vt:lpstr>
    </vt:vector>
  </TitlesOfParts>
  <Manager/>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and 2024 budget implementation forecasts - Report on the implementation of efficiency measures for 2023 and 2024</dc:title>
  <dc:subject>Council Working Group on Financial and Human Resources</dc:subject>
  <dc:creator/>
  <cp:keywords>CWG-FHR, C24, Council-24</cp:keywords>
  <dc:description/>
  <cp:lastModifiedBy/>
  <cp:revision>1</cp:revision>
  <dcterms:created xsi:type="dcterms:W3CDTF">2023-12-20T12:48:00Z</dcterms:created>
  <dcterms:modified xsi:type="dcterms:W3CDTF">2023-12-20T13:00:00Z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0x010100927A014BF6FE3A4AB656F5985E3C82C4</vt:lpwstr>
  </property>
</Properties>
</file>