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A85311" w14:paraId="0043AC80" w14:textId="77777777" w:rsidTr="00AD3606">
        <w:trPr>
          <w:cantSplit/>
          <w:trHeight w:val="23"/>
        </w:trPr>
        <w:tc>
          <w:tcPr>
            <w:tcW w:w="3969" w:type="dxa"/>
            <w:vMerge w:val="restart"/>
            <w:tcMar>
              <w:left w:w="0" w:type="dxa"/>
            </w:tcMar>
          </w:tcPr>
          <w:p w14:paraId="60A806D3" w14:textId="6316C87D" w:rsidR="00AD3606" w:rsidRPr="00D458FB" w:rsidRDefault="00AD3606" w:rsidP="00472BAD">
            <w:pPr>
              <w:tabs>
                <w:tab w:val="left" w:pos="851"/>
              </w:tabs>
              <w:spacing w:before="0" w:line="240" w:lineRule="atLeast"/>
              <w:rPr>
                <w:b/>
                <w:lang w:val="en-US"/>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70E48746" w:rsidR="00AD3606" w:rsidRPr="00552FCF" w:rsidRDefault="00AD3606" w:rsidP="00472BAD">
            <w:pPr>
              <w:tabs>
                <w:tab w:val="left" w:pos="851"/>
              </w:tabs>
              <w:spacing w:before="0" w:line="240" w:lineRule="atLeast"/>
              <w:jc w:val="right"/>
              <w:rPr>
                <w:b/>
                <w:lang w:val="fr-FR"/>
              </w:rPr>
            </w:pPr>
            <w:r w:rsidRPr="00552FCF">
              <w:rPr>
                <w:b/>
                <w:lang w:val="fr-FR"/>
              </w:rPr>
              <w:t xml:space="preserve">Document </w:t>
            </w:r>
            <w:proofErr w:type="spellStart"/>
            <w:r w:rsidRPr="00552FCF">
              <w:rPr>
                <w:b/>
                <w:lang w:val="fr-FR"/>
              </w:rPr>
              <w:t>C</w:t>
            </w:r>
            <w:r w:rsidR="00A52C84" w:rsidRPr="00552FCF">
              <w:rPr>
                <w:b/>
                <w:lang w:val="fr-FR"/>
              </w:rPr>
              <w:t>WG</w:t>
            </w:r>
            <w:proofErr w:type="spellEnd"/>
            <w:r w:rsidR="00A52C84" w:rsidRPr="00552FCF">
              <w:rPr>
                <w:b/>
                <w:lang w:val="fr-FR"/>
              </w:rPr>
              <w:t>-</w:t>
            </w:r>
            <w:proofErr w:type="spellStart"/>
            <w:r w:rsidR="00891503" w:rsidRPr="00552FCF">
              <w:rPr>
                <w:b/>
                <w:lang w:val="fr-FR"/>
              </w:rPr>
              <w:t>COP</w:t>
            </w:r>
            <w:r w:rsidR="00A52C84" w:rsidRPr="00552FCF">
              <w:rPr>
                <w:b/>
                <w:lang w:val="fr-FR"/>
              </w:rPr>
              <w:t>-</w:t>
            </w:r>
            <w:r w:rsidR="00BC54CD" w:rsidRPr="00552FCF">
              <w:rPr>
                <w:b/>
                <w:lang w:val="fr-FR"/>
              </w:rPr>
              <w:t>2</w:t>
            </w:r>
            <w:r w:rsidR="00225FA7" w:rsidRPr="00552FCF">
              <w:rPr>
                <w:b/>
                <w:lang w:val="fr-FR"/>
              </w:rPr>
              <w:t>1</w:t>
            </w:r>
            <w:proofErr w:type="spellEnd"/>
            <w:r w:rsidRPr="00552FCF">
              <w:rPr>
                <w:b/>
                <w:lang w:val="fr-FR"/>
              </w:rPr>
              <w:t>/</w:t>
            </w:r>
            <w:proofErr w:type="spellStart"/>
            <w:r w:rsidR="00866F4F" w:rsidRPr="00552FCF">
              <w:rPr>
                <w:b/>
                <w:lang w:val="fr-FR"/>
              </w:rPr>
              <w:t>INF</w:t>
            </w:r>
            <w:proofErr w:type="spellEnd"/>
            <w:r w:rsidR="00866F4F" w:rsidRPr="00552FCF">
              <w:rPr>
                <w:b/>
                <w:lang w:val="fr-FR"/>
              </w:rPr>
              <w:t>/</w:t>
            </w:r>
            <w:r w:rsidR="002E5586">
              <w:rPr>
                <w:b/>
                <w:lang w:val="fr-FR"/>
              </w:rPr>
              <w:t>13</w:t>
            </w:r>
          </w:p>
        </w:tc>
      </w:tr>
      <w:tr w:rsidR="00AD3606" w:rsidRPr="00D458FB" w14:paraId="789B45BA" w14:textId="77777777" w:rsidTr="00AD3606">
        <w:trPr>
          <w:cantSplit/>
        </w:trPr>
        <w:tc>
          <w:tcPr>
            <w:tcW w:w="3969" w:type="dxa"/>
            <w:vMerge/>
          </w:tcPr>
          <w:p w14:paraId="3F3D4E17" w14:textId="77777777" w:rsidR="00AD3606" w:rsidRPr="00552FCF"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2DE9ACEA" w14:textId="40B9B518" w:rsidR="00AD3606" w:rsidRPr="00D458FB" w:rsidRDefault="0086393E" w:rsidP="00AD3606">
            <w:pPr>
              <w:tabs>
                <w:tab w:val="left" w:pos="851"/>
              </w:tabs>
              <w:spacing w:before="0"/>
              <w:jc w:val="right"/>
              <w:rPr>
                <w:b/>
                <w:lang w:val="en-US"/>
              </w:rPr>
            </w:pPr>
            <w:r>
              <w:rPr>
                <w:b/>
                <w:lang w:val="en-US"/>
              </w:rPr>
              <w:t>18 September</w:t>
            </w:r>
            <w:r w:rsidR="00225FA7" w:rsidRPr="00D458FB">
              <w:rPr>
                <w:b/>
                <w:lang w:val="en-US"/>
              </w:rPr>
              <w:t xml:space="preserve"> 2024</w:t>
            </w:r>
          </w:p>
        </w:tc>
      </w:tr>
      <w:tr w:rsidR="00AD3606" w:rsidRPr="00D458FB" w14:paraId="58A84C4A" w14:textId="77777777" w:rsidTr="00AD3606">
        <w:trPr>
          <w:cantSplit/>
          <w:trHeight w:val="23"/>
        </w:trPr>
        <w:tc>
          <w:tcPr>
            <w:tcW w:w="3969" w:type="dxa"/>
            <w:vMerge/>
          </w:tcPr>
          <w:p w14:paraId="77CEDDAA" w14:textId="77777777" w:rsidR="00AD3606" w:rsidRPr="00D458FB" w:rsidRDefault="00AD3606" w:rsidP="00AD3606">
            <w:pPr>
              <w:tabs>
                <w:tab w:val="left" w:pos="851"/>
              </w:tabs>
              <w:spacing w:line="240" w:lineRule="atLeast"/>
              <w:rPr>
                <w:b/>
                <w:lang w:val="en-US"/>
              </w:rPr>
            </w:pPr>
            <w:bookmarkStart w:id="7" w:name="dorlang" w:colFirst="1" w:colLast="1"/>
            <w:bookmarkEnd w:id="6"/>
          </w:p>
        </w:tc>
        <w:tc>
          <w:tcPr>
            <w:tcW w:w="5245" w:type="dxa"/>
          </w:tcPr>
          <w:p w14:paraId="561AAE94" w14:textId="05CDF347" w:rsidR="00AD3606" w:rsidRPr="00D458FB" w:rsidRDefault="00891503" w:rsidP="00AD3606">
            <w:pPr>
              <w:tabs>
                <w:tab w:val="left" w:pos="851"/>
              </w:tabs>
              <w:spacing w:before="0" w:line="240" w:lineRule="atLeast"/>
              <w:jc w:val="right"/>
              <w:rPr>
                <w:b/>
                <w:lang w:val="en-US"/>
              </w:rPr>
            </w:pPr>
            <w:r w:rsidRPr="00D458FB">
              <w:rPr>
                <w:b/>
                <w:lang w:val="en-US"/>
              </w:rPr>
              <w:t>English only</w:t>
            </w:r>
          </w:p>
        </w:tc>
      </w:tr>
      <w:tr w:rsidR="00472BAD" w:rsidRPr="00D458FB" w14:paraId="12C5EF5F" w14:textId="77777777" w:rsidTr="00AD3606">
        <w:trPr>
          <w:cantSplit/>
          <w:trHeight w:val="23"/>
        </w:trPr>
        <w:tc>
          <w:tcPr>
            <w:tcW w:w="3969" w:type="dxa"/>
          </w:tcPr>
          <w:p w14:paraId="4B839BA2" w14:textId="77777777" w:rsidR="00472BAD" w:rsidRPr="00D458FB" w:rsidRDefault="00472BAD" w:rsidP="00AD3606">
            <w:pPr>
              <w:tabs>
                <w:tab w:val="left" w:pos="851"/>
              </w:tabs>
              <w:spacing w:line="240" w:lineRule="atLeast"/>
              <w:rPr>
                <w:b/>
                <w:lang w:val="en-US"/>
              </w:rPr>
            </w:pPr>
          </w:p>
        </w:tc>
        <w:tc>
          <w:tcPr>
            <w:tcW w:w="5245" w:type="dxa"/>
          </w:tcPr>
          <w:p w14:paraId="12F66D25" w14:textId="77777777" w:rsidR="00472BAD" w:rsidRPr="00D458FB" w:rsidRDefault="00472BAD" w:rsidP="00AD3606">
            <w:pPr>
              <w:tabs>
                <w:tab w:val="left" w:pos="851"/>
              </w:tabs>
              <w:spacing w:before="0" w:line="240" w:lineRule="atLeast"/>
              <w:jc w:val="right"/>
              <w:rPr>
                <w:b/>
                <w:lang w:val="en-US"/>
              </w:rPr>
            </w:pPr>
          </w:p>
        </w:tc>
      </w:tr>
      <w:tr w:rsidR="00AD3606" w:rsidRPr="00D458FB" w14:paraId="27000B2A" w14:textId="77777777" w:rsidTr="00AD3606">
        <w:trPr>
          <w:cantSplit/>
        </w:trPr>
        <w:tc>
          <w:tcPr>
            <w:tcW w:w="9214" w:type="dxa"/>
            <w:gridSpan w:val="2"/>
            <w:tcMar>
              <w:left w:w="0" w:type="dxa"/>
            </w:tcMar>
          </w:tcPr>
          <w:p w14:paraId="4E7CDB90" w14:textId="17690BDA" w:rsidR="00AD3606" w:rsidRPr="00D458FB" w:rsidRDefault="00EB5155" w:rsidP="00F0400D">
            <w:pPr>
              <w:pStyle w:val="Source"/>
              <w:framePr w:hSpace="0" w:wrap="auto" w:vAnchor="margin" w:hAnchor="text" w:xAlign="left" w:yAlign="inline"/>
              <w:rPr>
                <w:lang w:val="en-US"/>
              </w:rPr>
            </w:pPr>
            <w:bookmarkStart w:id="8" w:name="dsource" w:colFirst="0" w:colLast="0"/>
            <w:bookmarkEnd w:id="7"/>
            <w:r w:rsidRPr="00D458FB">
              <w:rPr>
                <w:lang w:val="en-US"/>
              </w:rPr>
              <w:t xml:space="preserve">Contribution by </w:t>
            </w:r>
            <w:r w:rsidR="00C83925" w:rsidRPr="00D458FB">
              <w:rPr>
                <w:lang w:val="en-US"/>
              </w:rPr>
              <w:t xml:space="preserve">the </w:t>
            </w:r>
            <w:r w:rsidR="00D403C0" w:rsidRPr="00D458FB">
              <w:rPr>
                <w:lang w:val="en-US"/>
              </w:rPr>
              <w:t>United States</w:t>
            </w:r>
            <w:r w:rsidR="00A85311">
              <w:rPr>
                <w:lang w:val="en-US"/>
              </w:rPr>
              <w:t xml:space="preserve"> of America</w:t>
            </w:r>
          </w:p>
        </w:tc>
      </w:tr>
      <w:tr w:rsidR="00AD3606" w:rsidRPr="00D458FB" w14:paraId="2340750D" w14:textId="77777777" w:rsidTr="00AD3606">
        <w:trPr>
          <w:cantSplit/>
        </w:trPr>
        <w:tc>
          <w:tcPr>
            <w:tcW w:w="9214" w:type="dxa"/>
            <w:gridSpan w:val="2"/>
            <w:tcMar>
              <w:left w:w="0" w:type="dxa"/>
            </w:tcMar>
          </w:tcPr>
          <w:p w14:paraId="47B91AA8" w14:textId="4E130F56" w:rsidR="00AD3606" w:rsidRPr="00D458FB" w:rsidRDefault="00B471FC" w:rsidP="008C5907">
            <w:pPr>
              <w:pStyle w:val="Subtitle"/>
              <w:framePr w:hSpace="0" w:wrap="auto" w:xAlign="left" w:yAlign="inline"/>
              <w:rPr>
                <w:lang w:val="en-US"/>
              </w:rPr>
            </w:pPr>
            <w:bookmarkStart w:id="9" w:name="dtitle1" w:colFirst="0" w:colLast="0"/>
            <w:bookmarkEnd w:id="8"/>
            <w:r>
              <w:rPr>
                <w:lang w:val="en-US"/>
              </w:rPr>
              <w:t xml:space="preserve">CONSIDERATIONS WHEN DEVELOPING </w:t>
            </w:r>
            <w:r w:rsidRPr="00D458FB">
              <w:rPr>
                <w:lang w:val="en-US"/>
              </w:rPr>
              <w:t>REPORTING MECHANISMS TO HELP PREVENT, MINIMIZE, AND MITIGATE BULLYING AND OTHER FORMS OF ONLINE HARASSMENT AND ABUSE</w:t>
            </w:r>
          </w:p>
        </w:tc>
      </w:tr>
      <w:tr w:rsidR="00AD3606" w:rsidRPr="00D458FB"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D458FB" w:rsidRDefault="00F16BAB" w:rsidP="00F16BAB">
            <w:pPr>
              <w:spacing w:before="160"/>
              <w:rPr>
                <w:b/>
                <w:bCs/>
                <w:sz w:val="26"/>
                <w:szCs w:val="26"/>
                <w:lang w:val="en-US"/>
              </w:rPr>
            </w:pPr>
            <w:r w:rsidRPr="00D458FB">
              <w:rPr>
                <w:b/>
                <w:bCs/>
                <w:sz w:val="26"/>
                <w:szCs w:val="26"/>
                <w:lang w:val="en-US"/>
              </w:rPr>
              <w:t>Purpose</w:t>
            </w:r>
          </w:p>
          <w:p w14:paraId="1DEA9072" w14:textId="03BC46E3" w:rsidR="007821BB" w:rsidRPr="00D458FB" w:rsidRDefault="007821BB" w:rsidP="007821BB">
            <w:pPr>
              <w:rPr>
                <w:lang w:val="en-US"/>
              </w:rPr>
            </w:pPr>
            <w:r w:rsidRPr="00D458FB">
              <w:rPr>
                <w:lang w:val="en-US"/>
              </w:rPr>
              <w:t xml:space="preserve">The purpose of this contribution is to share U.S. </w:t>
            </w:r>
            <w:r w:rsidR="00341E53" w:rsidRPr="00D458FB">
              <w:rPr>
                <w:lang w:val="en-US"/>
              </w:rPr>
              <w:t>recommendat</w:t>
            </w:r>
            <w:r w:rsidR="00160B8A" w:rsidRPr="00D458FB">
              <w:rPr>
                <w:lang w:val="en-US"/>
              </w:rPr>
              <w:t>ions for</w:t>
            </w:r>
            <w:r w:rsidRPr="00D458FB">
              <w:rPr>
                <w:lang w:val="en-US"/>
              </w:rPr>
              <w:t xml:space="preserve"> </w:t>
            </w:r>
            <w:r w:rsidR="00F46E72" w:rsidRPr="00D458FB">
              <w:rPr>
                <w:lang w:val="en-US"/>
              </w:rPr>
              <w:t xml:space="preserve">child online protection </w:t>
            </w:r>
            <w:r w:rsidR="003721B4" w:rsidRPr="00D458FB">
              <w:rPr>
                <w:lang w:val="en-US"/>
              </w:rPr>
              <w:t>reporting mechanisms</w:t>
            </w:r>
            <w:r w:rsidR="00160B8A" w:rsidRPr="00D458FB">
              <w:rPr>
                <w:lang w:val="en-US"/>
              </w:rPr>
              <w:t xml:space="preserve"> t</w:t>
            </w:r>
            <w:r w:rsidR="008E6167" w:rsidRPr="00D458FB">
              <w:rPr>
                <w:lang w:val="en-US"/>
              </w:rPr>
              <w:t xml:space="preserve">o address online harassment and abuse of </w:t>
            </w:r>
            <w:r w:rsidR="007C01B5" w:rsidRPr="00D458FB">
              <w:rPr>
                <w:lang w:val="en-US"/>
              </w:rPr>
              <w:t>children and youth</w:t>
            </w:r>
            <w:r w:rsidR="003721B4" w:rsidRPr="00D458FB">
              <w:rPr>
                <w:lang w:val="en-US"/>
              </w:rPr>
              <w:t>.</w:t>
            </w:r>
            <w:r w:rsidRPr="00D458FB">
              <w:rPr>
                <w:lang w:val="en-US"/>
              </w:rPr>
              <w:t xml:space="preserve"> </w:t>
            </w:r>
          </w:p>
          <w:p w14:paraId="5076D5C4" w14:textId="28F00572" w:rsidR="00AD3606" w:rsidRPr="00D458FB" w:rsidRDefault="00AD3606" w:rsidP="00F16BAB">
            <w:pPr>
              <w:spacing w:before="160"/>
              <w:rPr>
                <w:b/>
                <w:bCs/>
                <w:sz w:val="26"/>
                <w:szCs w:val="26"/>
                <w:lang w:val="en-US"/>
              </w:rPr>
            </w:pPr>
            <w:r w:rsidRPr="00D458FB">
              <w:rPr>
                <w:b/>
                <w:bCs/>
                <w:sz w:val="26"/>
                <w:szCs w:val="26"/>
                <w:lang w:val="en-US"/>
              </w:rPr>
              <w:t>Action required</w:t>
            </w:r>
          </w:p>
          <w:p w14:paraId="53A776F1" w14:textId="16309A9B" w:rsidR="00891503" w:rsidRPr="00D458FB" w:rsidRDefault="00866F4F" w:rsidP="00F16BAB">
            <w:pPr>
              <w:spacing w:before="160"/>
              <w:rPr>
                <w:lang w:val="en-US"/>
              </w:rPr>
            </w:pPr>
            <w:r w:rsidRPr="00D458FB">
              <w:rPr>
                <w:lang w:val="en-US"/>
              </w:rPr>
              <w:t xml:space="preserve">This report is transmitted to the </w:t>
            </w:r>
            <w:r w:rsidR="00F41345" w:rsidRPr="00D458FB">
              <w:rPr>
                <w:lang w:val="en-US"/>
              </w:rPr>
              <w:t xml:space="preserve">Council Working Group on </w:t>
            </w:r>
            <w:r w:rsidR="005567BC" w:rsidRPr="00D458FB">
              <w:rPr>
                <w:lang w:val="en-US"/>
              </w:rPr>
              <w:t xml:space="preserve">child online protection </w:t>
            </w:r>
            <w:r w:rsidRPr="00D458FB">
              <w:rPr>
                <w:b/>
                <w:bCs/>
                <w:lang w:val="en-US"/>
              </w:rPr>
              <w:t>for information</w:t>
            </w:r>
            <w:r w:rsidRPr="00D458FB">
              <w:rPr>
                <w:lang w:val="en-US"/>
              </w:rPr>
              <w:t>.</w:t>
            </w:r>
          </w:p>
          <w:p w14:paraId="2AAB18B0" w14:textId="53B34B54" w:rsidR="00AD3606" w:rsidRPr="00D458FB" w:rsidRDefault="00891503" w:rsidP="00891503">
            <w:pPr>
              <w:spacing w:before="160"/>
              <w:rPr>
                <w:caps/>
                <w:sz w:val="22"/>
                <w:lang w:val="en-US"/>
              </w:rPr>
            </w:pPr>
            <w:r w:rsidRPr="00D458FB">
              <w:rPr>
                <w:sz w:val="22"/>
                <w:lang w:val="en-US"/>
              </w:rPr>
              <w:t>__________________</w:t>
            </w:r>
            <w:r w:rsidR="00AD3606" w:rsidRPr="00D458FB">
              <w:rPr>
                <w:sz w:val="22"/>
                <w:lang w:val="en-US"/>
              </w:rPr>
              <w:t>__________________</w:t>
            </w:r>
          </w:p>
          <w:p w14:paraId="00DEE14C" w14:textId="52A58AE6" w:rsidR="00AD3606" w:rsidRPr="00D458FB" w:rsidRDefault="00EB5155" w:rsidP="00F16BAB">
            <w:pPr>
              <w:spacing w:before="160"/>
              <w:rPr>
                <w:sz w:val="26"/>
                <w:szCs w:val="26"/>
                <w:lang w:val="en-US"/>
              </w:rPr>
            </w:pPr>
            <w:r w:rsidRPr="00D458FB">
              <w:rPr>
                <w:b/>
                <w:bCs/>
                <w:sz w:val="26"/>
                <w:szCs w:val="26"/>
                <w:lang w:val="en-US"/>
              </w:rPr>
              <w:t>References</w:t>
            </w:r>
          </w:p>
          <w:p w14:paraId="388FACC3" w14:textId="77777777" w:rsidR="00AD3606" w:rsidRPr="00D458FB" w:rsidRDefault="000404A0" w:rsidP="00F16BAB">
            <w:pPr>
              <w:spacing w:after="160"/>
              <w:rPr>
                <w:i/>
                <w:iCs/>
                <w:sz w:val="22"/>
                <w:szCs w:val="22"/>
                <w:lang w:val="en-US"/>
              </w:rPr>
            </w:pPr>
            <w:r w:rsidRPr="00D458FB">
              <w:rPr>
                <w:i/>
                <w:iCs/>
                <w:sz w:val="22"/>
                <w:szCs w:val="22"/>
                <w:lang w:val="en-US"/>
              </w:rPr>
              <w:t>Online Health and Safety for Children and Youth: Best Practices for Families and Guidance for Industry</w:t>
            </w:r>
          </w:p>
          <w:p w14:paraId="0175CD6C" w14:textId="12052380" w:rsidR="000404A0" w:rsidRPr="00D458FB" w:rsidRDefault="00C06D50" w:rsidP="00F16BAB">
            <w:pPr>
              <w:spacing w:after="160"/>
              <w:rPr>
                <w:i/>
                <w:iCs/>
                <w:sz w:val="22"/>
                <w:szCs w:val="22"/>
                <w:lang w:val="en-US"/>
              </w:rPr>
            </w:pPr>
            <w:hyperlink r:id="rId11" w:history="1">
              <w:r w:rsidR="00C83925" w:rsidRPr="00D458FB">
                <w:rPr>
                  <w:rStyle w:val="Hyperlink"/>
                  <w:i/>
                  <w:iCs/>
                  <w:sz w:val="22"/>
                  <w:szCs w:val="22"/>
                  <w:lang w:val="en-US"/>
                </w:rPr>
                <w:t>https://www.ntia.gov/category/kids-online-health-and-safety/online-health-and-safety-for-children-and-youth</w:t>
              </w:r>
            </w:hyperlink>
            <w:r w:rsidR="00C83925" w:rsidRPr="00D458FB">
              <w:rPr>
                <w:i/>
                <w:iCs/>
                <w:sz w:val="22"/>
                <w:szCs w:val="22"/>
                <w:lang w:val="en-US"/>
              </w:rPr>
              <w:t xml:space="preserve"> </w:t>
            </w:r>
          </w:p>
        </w:tc>
      </w:tr>
    </w:tbl>
    <w:p w14:paraId="4CDB8B60" w14:textId="77777777" w:rsidR="00E227F3" w:rsidRPr="00D458FB" w:rsidRDefault="00E227F3">
      <w:pPr>
        <w:tabs>
          <w:tab w:val="clear" w:pos="567"/>
          <w:tab w:val="clear" w:pos="1134"/>
          <w:tab w:val="clear" w:pos="1701"/>
          <w:tab w:val="clear" w:pos="2268"/>
          <w:tab w:val="clear" w:pos="2835"/>
        </w:tabs>
        <w:overflowPunct/>
        <w:autoSpaceDE/>
        <w:autoSpaceDN/>
        <w:adjustRightInd/>
        <w:spacing w:before="0"/>
        <w:textAlignment w:val="auto"/>
        <w:rPr>
          <w:lang w:val="en-US"/>
        </w:rPr>
      </w:pPr>
      <w:bookmarkStart w:id="10" w:name="_Hlk133421428"/>
      <w:bookmarkEnd w:id="2"/>
      <w:bookmarkEnd w:id="9"/>
    </w:p>
    <w:bookmarkEnd w:id="3"/>
    <w:bookmarkEnd w:id="4"/>
    <w:p w14:paraId="1D7ED322" w14:textId="77777777" w:rsidR="0090147A" w:rsidRPr="00D458FB" w:rsidRDefault="0090147A">
      <w:pPr>
        <w:tabs>
          <w:tab w:val="clear" w:pos="567"/>
          <w:tab w:val="clear" w:pos="1134"/>
          <w:tab w:val="clear" w:pos="1701"/>
          <w:tab w:val="clear" w:pos="2268"/>
          <w:tab w:val="clear" w:pos="2835"/>
        </w:tabs>
        <w:overflowPunct/>
        <w:autoSpaceDE/>
        <w:autoSpaceDN/>
        <w:adjustRightInd/>
        <w:spacing w:before="0"/>
        <w:textAlignment w:val="auto"/>
        <w:rPr>
          <w:b/>
          <w:lang w:val="en-US"/>
        </w:rPr>
      </w:pPr>
      <w:r w:rsidRPr="00D458FB">
        <w:rPr>
          <w:lang w:val="en-US"/>
        </w:rPr>
        <w:br w:type="page"/>
      </w:r>
    </w:p>
    <w:bookmarkEnd w:id="5"/>
    <w:bookmarkEnd w:id="10"/>
    <w:p w14:paraId="5EF57DE7" w14:textId="44D25396" w:rsidR="00161D95" w:rsidRDefault="00714B14" w:rsidP="00BD1611">
      <w:pPr>
        <w:jc w:val="both"/>
        <w:rPr>
          <w:lang w:val="en-US"/>
        </w:rPr>
      </w:pPr>
      <w:r>
        <w:rPr>
          <w:lang w:val="en-US"/>
        </w:rPr>
        <w:lastRenderedPageBreak/>
        <w:t xml:space="preserve">Access to digital media can be beneficial to </w:t>
      </w:r>
      <w:r w:rsidR="00924238">
        <w:rPr>
          <w:lang w:val="en-US"/>
        </w:rPr>
        <w:t>young people</w:t>
      </w:r>
      <w:r>
        <w:rPr>
          <w:lang w:val="en-US"/>
        </w:rPr>
        <w:t>, allowing them to build community</w:t>
      </w:r>
      <w:r w:rsidR="00924238">
        <w:rPr>
          <w:lang w:val="en-US"/>
        </w:rPr>
        <w:t xml:space="preserve"> and </w:t>
      </w:r>
      <w:r w:rsidR="00E75756">
        <w:rPr>
          <w:lang w:val="en-US"/>
        </w:rPr>
        <w:t>find learning opportunities</w:t>
      </w:r>
      <w:r w:rsidR="00C237E2">
        <w:rPr>
          <w:lang w:val="en-US"/>
        </w:rPr>
        <w:t>, providing a benefit to their well-being</w:t>
      </w:r>
      <w:r w:rsidR="00924238">
        <w:rPr>
          <w:lang w:val="en-US"/>
        </w:rPr>
        <w:t xml:space="preserve">. </w:t>
      </w:r>
      <w:r w:rsidR="00AC29B5">
        <w:rPr>
          <w:lang w:val="en-US"/>
        </w:rPr>
        <w:t xml:space="preserve">For many </w:t>
      </w:r>
      <w:r w:rsidR="00B471FC">
        <w:rPr>
          <w:lang w:val="en-US"/>
        </w:rPr>
        <w:t>youths</w:t>
      </w:r>
      <w:r w:rsidR="00AC29B5">
        <w:rPr>
          <w:lang w:val="en-US"/>
        </w:rPr>
        <w:t>, s</w:t>
      </w:r>
      <w:r w:rsidR="00161D95">
        <w:rPr>
          <w:lang w:val="en-US"/>
        </w:rPr>
        <w:t xml:space="preserve">ocial media and </w:t>
      </w:r>
      <w:r w:rsidR="00AC29B5">
        <w:rPr>
          <w:lang w:val="en-US"/>
        </w:rPr>
        <w:t xml:space="preserve">digital technology </w:t>
      </w:r>
      <w:r w:rsidR="00DA683C">
        <w:rPr>
          <w:lang w:val="en-US"/>
        </w:rPr>
        <w:t>facilitate</w:t>
      </w:r>
      <w:r w:rsidR="00AC29B5">
        <w:rPr>
          <w:lang w:val="en-US"/>
        </w:rPr>
        <w:t xml:space="preserve"> self-directed </w:t>
      </w:r>
      <w:r w:rsidR="00565825">
        <w:rPr>
          <w:lang w:val="en-US"/>
        </w:rPr>
        <w:t>education, help them make connections, and reduce isolation</w:t>
      </w:r>
      <w:r w:rsidR="00FF6DE7">
        <w:rPr>
          <w:lang w:val="en-US"/>
        </w:rPr>
        <w:t xml:space="preserve">, particularly for those who are marginalized. </w:t>
      </w:r>
    </w:p>
    <w:p w14:paraId="3AC17938" w14:textId="6A749C97" w:rsidR="00143359" w:rsidRDefault="008D0DDE" w:rsidP="00BD1611">
      <w:pPr>
        <w:jc w:val="both"/>
        <w:rPr>
          <w:lang w:val="en-US"/>
        </w:rPr>
      </w:pPr>
      <w:r>
        <w:rPr>
          <w:lang w:val="en-US"/>
        </w:rPr>
        <w:t xml:space="preserve">At the same time, young people can be negatively impacted by various </w:t>
      </w:r>
      <w:r w:rsidR="00E558F9">
        <w:rPr>
          <w:lang w:val="en-US"/>
        </w:rPr>
        <w:t>online harms</w:t>
      </w:r>
      <w:r w:rsidR="007A035F">
        <w:rPr>
          <w:lang w:val="en-US"/>
        </w:rPr>
        <w:t>, including harassment, cyberbullying, and sexual exploitation and abuse</w:t>
      </w:r>
      <w:r w:rsidR="008A567C">
        <w:rPr>
          <w:lang w:val="en-US"/>
        </w:rPr>
        <w:t xml:space="preserve">, </w:t>
      </w:r>
      <w:r w:rsidR="00161D95">
        <w:rPr>
          <w:lang w:val="en-US"/>
        </w:rPr>
        <w:t xml:space="preserve">threatening their safety and well-being. </w:t>
      </w:r>
      <w:r w:rsidR="003F7227">
        <w:rPr>
          <w:lang w:val="en-US"/>
        </w:rPr>
        <w:t>A</w:t>
      </w:r>
      <w:r w:rsidR="00143359" w:rsidRPr="00143359">
        <w:rPr>
          <w:lang w:val="en-US"/>
        </w:rPr>
        <w:t xml:space="preserve"> 2022 survey</w:t>
      </w:r>
      <w:r w:rsidR="003F7227">
        <w:rPr>
          <w:lang w:val="en-US"/>
        </w:rPr>
        <w:t xml:space="preserve"> </w:t>
      </w:r>
      <w:r w:rsidR="00143359" w:rsidRPr="00143359">
        <w:rPr>
          <w:lang w:val="en-US"/>
        </w:rPr>
        <w:t xml:space="preserve">of </w:t>
      </w:r>
      <w:r w:rsidR="003F7227">
        <w:rPr>
          <w:lang w:val="en-US"/>
        </w:rPr>
        <w:t xml:space="preserve">U.S. </w:t>
      </w:r>
      <w:r w:rsidR="00143359" w:rsidRPr="00143359">
        <w:rPr>
          <w:lang w:val="en-US"/>
        </w:rPr>
        <w:t>teens found that about half experienced some form of cyberbullying, including being harassed</w:t>
      </w:r>
      <w:r w:rsidR="003F7227">
        <w:rPr>
          <w:lang w:val="en-US"/>
        </w:rPr>
        <w:t xml:space="preserve"> </w:t>
      </w:r>
      <w:r w:rsidR="00143359" w:rsidRPr="00143359">
        <w:rPr>
          <w:lang w:val="en-US"/>
        </w:rPr>
        <w:t>and being sent explicit images that they did not request.</w:t>
      </w:r>
      <w:r w:rsidR="00552FCF">
        <w:rPr>
          <w:rStyle w:val="FootnoteReference"/>
          <w:lang w:val="en-US"/>
        </w:rPr>
        <w:footnoteReference w:id="1"/>
      </w:r>
      <w:r w:rsidR="003F7227">
        <w:rPr>
          <w:lang w:val="en-US"/>
        </w:rPr>
        <w:t xml:space="preserve"> </w:t>
      </w:r>
    </w:p>
    <w:p w14:paraId="6D8DDCC0" w14:textId="1FB3B55A" w:rsidR="008708FE" w:rsidRDefault="00D2000C" w:rsidP="00BD1611">
      <w:pPr>
        <w:jc w:val="both"/>
        <w:rPr>
          <w:lang w:val="en-US"/>
        </w:rPr>
      </w:pPr>
      <w:r w:rsidRPr="00D2000C">
        <w:rPr>
          <w:lang w:val="en-US"/>
        </w:rPr>
        <w:t xml:space="preserve">Cyberbullying is a major concern for </w:t>
      </w:r>
      <w:r w:rsidR="00E64CC9">
        <w:rPr>
          <w:lang w:val="en-US"/>
        </w:rPr>
        <w:t>young people online</w:t>
      </w:r>
      <w:r w:rsidRPr="00D2000C">
        <w:rPr>
          <w:lang w:val="en-US"/>
        </w:rPr>
        <w:t>.</w:t>
      </w:r>
      <w:r w:rsidR="00E64CC9">
        <w:rPr>
          <w:lang w:val="en-US"/>
        </w:rPr>
        <w:t xml:space="preserve"> </w:t>
      </w:r>
      <w:r w:rsidR="00B547E8">
        <w:rPr>
          <w:lang w:val="en-US"/>
        </w:rPr>
        <w:t>According to the</w:t>
      </w:r>
      <w:r w:rsidR="0055725D">
        <w:rPr>
          <w:lang w:val="en-US"/>
        </w:rPr>
        <w:t xml:space="preserve"> </w:t>
      </w:r>
      <w:r w:rsidR="0055725D" w:rsidRPr="0055725D">
        <w:rPr>
          <w:lang w:val="en-US"/>
        </w:rPr>
        <w:t>Centers for Disease Control and Prevention</w:t>
      </w:r>
      <w:r w:rsidR="00B547E8">
        <w:rPr>
          <w:lang w:val="en-US"/>
        </w:rPr>
        <w:t xml:space="preserve"> </w:t>
      </w:r>
      <w:r w:rsidR="0055725D">
        <w:rPr>
          <w:lang w:val="en-US"/>
        </w:rPr>
        <w:t>(</w:t>
      </w:r>
      <w:r w:rsidR="00665F78">
        <w:rPr>
          <w:lang w:val="en-US"/>
        </w:rPr>
        <w:t>CDC</w:t>
      </w:r>
      <w:r w:rsidR="0055725D">
        <w:rPr>
          <w:lang w:val="en-US"/>
        </w:rPr>
        <w:t>)</w:t>
      </w:r>
      <w:r w:rsidR="00B547E8">
        <w:rPr>
          <w:lang w:val="en-US"/>
        </w:rPr>
        <w:t>, b</w:t>
      </w:r>
      <w:r w:rsidR="008708FE">
        <w:rPr>
          <w:lang w:val="en-US"/>
        </w:rPr>
        <w:t>ullying among children and young people is defined as</w:t>
      </w:r>
      <w:r w:rsidR="00B547E8">
        <w:rPr>
          <w:lang w:val="en-US"/>
        </w:rPr>
        <w:t xml:space="preserve"> “any</w:t>
      </w:r>
      <w:r w:rsidR="008708FE">
        <w:rPr>
          <w:lang w:val="en-US"/>
        </w:rPr>
        <w:t xml:space="preserve"> unwanted aggressive behavior</w:t>
      </w:r>
      <w:r w:rsidR="00235FB4">
        <w:rPr>
          <w:lang w:val="en-US"/>
        </w:rPr>
        <w:t xml:space="preserve">(s) by another youth or group of youths who are not siblings or current dating partners that involves an observed or perceived power imbalance and is repeated multiple times or is highly likely to be </w:t>
      </w:r>
      <w:r w:rsidR="006133D2">
        <w:rPr>
          <w:lang w:val="en-US"/>
        </w:rPr>
        <w:t xml:space="preserve">repeated. Bullying may </w:t>
      </w:r>
      <w:r w:rsidR="006E7833" w:rsidRPr="00D2000C">
        <w:rPr>
          <w:lang w:val="en-US"/>
        </w:rPr>
        <w:t>inflict harm or distress on the targeted youth including physical, psychological, social, or educational harm</w:t>
      </w:r>
      <w:r w:rsidR="006E7833">
        <w:rPr>
          <w:lang w:val="en-US"/>
        </w:rPr>
        <w:t>.”</w:t>
      </w:r>
      <w:r w:rsidR="00A5094E">
        <w:rPr>
          <w:rStyle w:val="FootnoteReference"/>
          <w:lang w:val="en-US"/>
        </w:rPr>
        <w:footnoteReference w:id="2"/>
      </w:r>
      <w:r w:rsidR="0055725D">
        <w:rPr>
          <w:lang w:val="en-US"/>
        </w:rPr>
        <w:t xml:space="preserve"> </w:t>
      </w:r>
      <w:r w:rsidR="00FA3A94">
        <w:rPr>
          <w:lang w:val="en-US"/>
        </w:rPr>
        <w:t>Cyber</w:t>
      </w:r>
      <w:r w:rsidR="004E6A40">
        <w:rPr>
          <w:lang w:val="en-US"/>
        </w:rPr>
        <w:t>bullying</w:t>
      </w:r>
      <w:r w:rsidR="00AB677B">
        <w:rPr>
          <w:lang w:val="en-US"/>
        </w:rPr>
        <w:t xml:space="preserve"> </w:t>
      </w:r>
      <w:r w:rsidR="001E6729">
        <w:rPr>
          <w:lang w:val="en-US"/>
        </w:rPr>
        <w:t>–</w:t>
      </w:r>
      <w:r w:rsidR="00AB677B">
        <w:rPr>
          <w:lang w:val="en-US"/>
        </w:rPr>
        <w:t xml:space="preserve"> </w:t>
      </w:r>
      <w:r w:rsidR="00C454A0">
        <w:rPr>
          <w:lang w:val="en-US"/>
        </w:rPr>
        <w:t>occurring</w:t>
      </w:r>
      <w:r w:rsidR="001E6729">
        <w:rPr>
          <w:lang w:val="en-US"/>
        </w:rPr>
        <w:t xml:space="preserve"> in online spaces such as social media, online games, websites, instant messaging, chat rooms, text messages, and online forums – </w:t>
      </w:r>
      <w:r w:rsidR="004E6A40">
        <w:rPr>
          <w:lang w:val="en-US"/>
        </w:rPr>
        <w:t xml:space="preserve">can </w:t>
      </w:r>
      <w:r w:rsidR="00AB677B">
        <w:rPr>
          <w:lang w:val="en-US"/>
        </w:rPr>
        <w:t>take the form of</w:t>
      </w:r>
      <w:r w:rsidR="004E6A40">
        <w:rPr>
          <w:lang w:val="en-US"/>
        </w:rPr>
        <w:t xml:space="preserve"> social isolation</w:t>
      </w:r>
      <w:r w:rsidR="001E6729">
        <w:rPr>
          <w:lang w:val="en-US"/>
        </w:rPr>
        <w:t xml:space="preserve">, </w:t>
      </w:r>
      <w:r w:rsidR="004E6A40">
        <w:rPr>
          <w:lang w:val="en-US"/>
        </w:rPr>
        <w:t>rumor spreading</w:t>
      </w:r>
      <w:r w:rsidR="001E6729">
        <w:rPr>
          <w:lang w:val="en-US"/>
        </w:rPr>
        <w:t xml:space="preserve">, cyberstalking, </w:t>
      </w:r>
      <w:r w:rsidR="00BF40B8">
        <w:rPr>
          <w:lang w:val="en-US"/>
        </w:rPr>
        <w:t xml:space="preserve">and </w:t>
      </w:r>
      <w:r w:rsidR="001E6729">
        <w:rPr>
          <w:lang w:val="en-US"/>
        </w:rPr>
        <w:t>public sharing of private sexual images (both real and AI-generated),</w:t>
      </w:r>
      <w:r w:rsidR="004E6A40">
        <w:rPr>
          <w:lang w:val="en-US"/>
        </w:rPr>
        <w:t xml:space="preserve"> and can </w:t>
      </w:r>
      <w:r w:rsidR="00FA3A94">
        <w:rPr>
          <w:lang w:val="en-US"/>
        </w:rPr>
        <w:t xml:space="preserve">result in depression, anxiety, and substance abuse that continue into adulthood. </w:t>
      </w:r>
      <w:r w:rsidR="004A4B1F">
        <w:rPr>
          <w:lang w:val="en-US"/>
        </w:rPr>
        <w:t xml:space="preserve">Cyberbullying is one of the most prevalent preceding risk factors for youth </w:t>
      </w:r>
      <w:r w:rsidR="009150DB">
        <w:rPr>
          <w:lang w:val="en-US"/>
        </w:rPr>
        <w:t>suicide-related behaviors.</w:t>
      </w:r>
      <w:r w:rsidR="00C9028F">
        <w:rPr>
          <w:rStyle w:val="FootnoteReference"/>
          <w:lang w:val="en-US"/>
        </w:rPr>
        <w:footnoteReference w:id="3"/>
      </w:r>
      <w:r w:rsidR="005E7F24">
        <w:rPr>
          <w:lang w:val="en-US"/>
        </w:rPr>
        <w:t xml:space="preserve"> </w:t>
      </w:r>
    </w:p>
    <w:p w14:paraId="764990F1" w14:textId="622AD17E" w:rsidR="00D2000C" w:rsidRDefault="00E64CC9" w:rsidP="00BD1611">
      <w:pPr>
        <w:jc w:val="both"/>
        <w:rPr>
          <w:lang w:val="en-US"/>
        </w:rPr>
      </w:pPr>
      <w:r>
        <w:rPr>
          <w:lang w:val="en-US"/>
        </w:rPr>
        <w:t>In 2021, n</w:t>
      </w:r>
      <w:r w:rsidR="00D2000C" w:rsidRPr="00D2000C">
        <w:rPr>
          <w:lang w:val="en-US"/>
        </w:rPr>
        <w:t>early 16</w:t>
      </w:r>
      <w:r w:rsidR="00C06D50">
        <w:rPr>
          <w:lang w:val="en-US"/>
        </w:rPr>
        <w:t xml:space="preserve"> per cent </w:t>
      </w:r>
      <w:r w:rsidR="00D2000C" w:rsidRPr="00D2000C">
        <w:rPr>
          <w:lang w:val="en-US"/>
        </w:rPr>
        <w:t>of U.S. high school</w:t>
      </w:r>
      <w:r>
        <w:rPr>
          <w:lang w:val="en-US"/>
        </w:rPr>
        <w:t xml:space="preserve"> </w:t>
      </w:r>
      <w:r w:rsidR="00D2000C" w:rsidRPr="00D2000C">
        <w:rPr>
          <w:lang w:val="en-US"/>
        </w:rPr>
        <w:t>students reported being cyberbullied.</w:t>
      </w:r>
      <w:r w:rsidR="00BA6DD2">
        <w:rPr>
          <w:rStyle w:val="FootnoteReference"/>
          <w:lang w:val="en-US"/>
        </w:rPr>
        <w:footnoteReference w:id="4"/>
      </w:r>
      <w:r>
        <w:rPr>
          <w:lang w:val="en-US"/>
        </w:rPr>
        <w:t xml:space="preserve"> </w:t>
      </w:r>
      <w:r w:rsidR="00DB398C">
        <w:rPr>
          <w:lang w:val="en-US"/>
        </w:rPr>
        <w:t>A</w:t>
      </w:r>
      <w:r w:rsidR="00004FEE">
        <w:rPr>
          <w:lang w:val="en-US"/>
        </w:rPr>
        <w:t xml:space="preserve"> Pew Research Center survey</w:t>
      </w:r>
      <w:r w:rsidR="00DB398C">
        <w:rPr>
          <w:lang w:val="en-US"/>
        </w:rPr>
        <w:t xml:space="preserve"> revealed that </w:t>
      </w:r>
      <w:r w:rsidR="00004FEE">
        <w:rPr>
          <w:lang w:val="en-US"/>
        </w:rPr>
        <w:t>nearly</w:t>
      </w:r>
      <w:r w:rsidR="00D2000C" w:rsidRPr="00D2000C">
        <w:rPr>
          <w:lang w:val="en-US"/>
        </w:rPr>
        <w:t xml:space="preserve"> half (49</w:t>
      </w:r>
      <w:r w:rsidR="00C06D50">
        <w:rPr>
          <w:lang w:val="en-US"/>
        </w:rPr>
        <w:t xml:space="preserve"> per cent</w:t>
      </w:r>
      <w:r w:rsidR="00D2000C" w:rsidRPr="00D2000C">
        <w:rPr>
          <w:lang w:val="en-US"/>
        </w:rPr>
        <w:t>)</w:t>
      </w:r>
      <w:r w:rsidR="00943A1B">
        <w:rPr>
          <w:lang w:val="en-US"/>
        </w:rPr>
        <w:t xml:space="preserve"> </w:t>
      </w:r>
      <w:r w:rsidR="00D2000C" w:rsidRPr="00D2000C">
        <w:rPr>
          <w:lang w:val="en-US"/>
        </w:rPr>
        <w:t xml:space="preserve">of </w:t>
      </w:r>
      <w:r w:rsidR="009A52CF">
        <w:rPr>
          <w:lang w:val="en-US"/>
        </w:rPr>
        <w:t xml:space="preserve">youth aged </w:t>
      </w:r>
      <w:r w:rsidR="00D2000C" w:rsidRPr="00D2000C">
        <w:rPr>
          <w:lang w:val="en-US"/>
        </w:rPr>
        <w:t>15</w:t>
      </w:r>
      <w:r w:rsidR="00E9463B">
        <w:rPr>
          <w:lang w:val="en-US"/>
        </w:rPr>
        <w:t>-</w:t>
      </w:r>
      <w:r w:rsidR="00D2000C" w:rsidRPr="00D2000C">
        <w:rPr>
          <w:lang w:val="en-US"/>
        </w:rPr>
        <w:t>17, and 42</w:t>
      </w:r>
      <w:r w:rsidR="00C06D50">
        <w:rPr>
          <w:lang w:val="en-US"/>
        </w:rPr>
        <w:t xml:space="preserve"> per cent </w:t>
      </w:r>
      <w:r w:rsidR="00D2000C" w:rsidRPr="00D2000C">
        <w:rPr>
          <w:lang w:val="en-US"/>
        </w:rPr>
        <w:t>of those age</w:t>
      </w:r>
      <w:r w:rsidR="009A52CF">
        <w:rPr>
          <w:lang w:val="en-US"/>
        </w:rPr>
        <w:t>d</w:t>
      </w:r>
      <w:r w:rsidR="00D2000C" w:rsidRPr="00D2000C">
        <w:rPr>
          <w:lang w:val="en-US"/>
        </w:rPr>
        <w:t xml:space="preserve"> 13</w:t>
      </w:r>
      <w:r w:rsidR="00C06D50">
        <w:rPr>
          <w:lang w:val="en-US"/>
        </w:rPr>
        <w:t>-</w:t>
      </w:r>
      <w:r w:rsidR="00D2000C" w:rsidRPr="00D2000C">
        <w:rPr>
          <w:lang w:val="en-US"/>
        </w:rPr>
        <w:t>14, reported being threatened or harassed, or receiving explicit images they did not request.</w:t>
      </w:r>
      <w:r w:rsidR="002E009A">
        <w:rPr>
          <w:rStyle w:val="FootnoteReference"/>
          <w:lang w:val="en-US"/>
        </w:rPr>
        <w:footnoteReference w:id="5"/>
      </w:r>
      <w:r w:rsidR="00943A1B">
        <w:rPr>
          <w:lang w:val="en-US"/>
        </w:rPr>
        <w:t xml:space="preserve"> Further, </w:t>
      </w:r>
      <w:r w:rsidR="00D2000C" w:rsidRPr="00D2000C">
        <w:rPr>
          <w:lang w:val="en-US"/>
        </w:rPr>
        <w:t>LGBTQI+ youth, youth from racial and ethnic minority groups, and youth with disabilities are more likely to experience cyberbullying than their</w:t>
      </w:r>
      <w:r w:rsidR="008708FE">
        <w:rPr>
          <w:lang w:val="en-US"/>
        </w:rPr>
        <w:t xml:space="preserve"> </w:t>
      </w:r>
      <w:r w:rsidR="00D2000C" w:rsidRPr="00D2000C">
        <w:rPr>
          <w:lang w:val="en-US"/>
        </w:rPr>
        <w:t>peers.</w:t>
      </w:r>
      <w:r w:rsidR="00943A1B">
        <w:rPr>
          <w:lang w:val="en-US"/>
        </w:rPr>
        <w:t xml:space="preserve"> </w:t>
      </w:r>
    </w:p>
    <w:p w14:paraId="060520DD" w14:textId="54D12D01" w:rsidR="00626B82" w:rsidRDefault="008C1445" w:rsidP="00BD1611">
      <w:pPr>
        <w:jc w:val="both"/>
        <w:rPr>
          <w:lang w:val="en-US"/>
        </w:rPr>
      </w:pPr>
      <w:r>
        <w:rPr>
          <w:lang w:val="en-US"/>
        </w:rPr>
        <w:t>At the same time</w:t>
      </w:r>
      <w:r w:rsidR="00626B82" w:rsidRPr="00626B82">
        <w:rPr>
          <w:lang w:val="en-US"/>
        </w:rPr>
        <w:t>, there is limited understanding about the effectiveness of focused bullying prevention efforts,</w:t>
      </w:r>
      <w:r>
        <w:rPr>
          <w:lang w:val="en-US"/>
        </w:rPr>
        <w:t xml:space="preserve"> </w:t>
      </w:r>
      <w:r w:rsidR="00626B82" w:rsidRPr="00626B82">
        <w:rPr>
          <w:lang w:val="en-US"/>
        </w:rPr>
        <w:t>including cyberbullying prevention strategies, outside the school environment. Rigorous and</w:t>
      </w:r>
      <w:r w:rsidR="0095233B">
        <w:rPr>
          <w:lang w:val="en-US"/>
        </w:rPr>
        <w:t xml:space="preserve"> </w:t>
      </w:r>
      <w:r w:rsidR="00626B82" w:rsidRPr="00626B82">
        <w:rPr>
          <w:lang w:val="en-US"/>
        </w:rPr>
        <w:t xml:space="preserve">timely evaluations of strategies to </w:t>
      </w:r>
      <w:r w:rsidR="0095233B">
        <w:rPr>
          <w:lang w:val="en-US"/>
        </w:rPr>
        <w:t>promote</w:t>
      </w:r>
      <w:r w:rsidR="00626B82" w:rsidRPr="00626B82">
        <w:rPr>
          <w:lang w:val="en-US"/>
        </w:rPr>
        <w:t xml:space="preserve"> safe and healthy online environments for youth are </w:t>
      </w:r>
      <w:r w:rsidR="0095233B">
        <w:rPr>
          <w:lang w:val="en-US"/>
        </w:rPr>
        <w:t xml:space="preserve">required </w:t>
      </w:r>
      <w:r w:rsidR="00626B82" w:rsidRPr="00626B82">
        <w:rPr>
          <w:lang w:val="en-US"/>
        </w:rPr>
        <w:t xml:space="preserve">to prevent cyberbullying across different online </w:t>
      </w:r>
      <w:r w:rsidR="00626B82" w:rsidRPr="00626B82">
        <w:rPr>
          <w:lang w:val="en-US"/>
        </w:rPr>
        <w:lastRenderedPageBreak/>
        <w:t xml:space="preserve">platforms (e.g., social media, online gaming, </w:t>
      </w:r>
      <w:r w:rsidR="0095233B">
        <w:rPr>
          <w:lang w:val="en-US"/>
        </w:rPr>
        <w:t>and forums</w:t>
      </w:r>
      <w:r w:rsidR="00626B82" w:rsidRPr="00626B82">
        <w:rPr>
          <w:lang w:val="en-US"/>
        </w:rPr>
        <w:t xml:space="preserve">) and populations (e.g., </w:t>
      </w:r>
      <w:r w:rsidR="00CB5BBB">
        <w:rPr>
          <w:lang w:val="en-US"/>
        </w:rPr>
        <w:t>across age groups</w:t>
      </w:r>
      <w:r w:rsidR="00626B82" w:rsidRPr="00626B82">
        <w:rPr>
          <w:lang w:val="en-US"/>
        </w:rPr>
        <w:t xml:space="preserve"> and youth</w:t>
      </w:r>
      <w:r w:rsidR="0095233B">
        <w:rPr>
          <w:lang w:val="en-US"/>
        </w:rPr>
        <w:t xml:space="preserve"> </w:t>
      </w:r>
      <w:r w:rsidR="00626B82" w:rsidRPr="00626B82">
        <w:rPr>
          <w:lang w:val="en-US"/>
        </w:rPr>
        <w:t>with developmental/physical disabilities or from different racial/ethnic backgrounds).</w:t>
      </w:r>
      <w:r w:rsidR="0095233B">
        <w:rPr>
          <w:lang w:val="en-US"/>
        </w:rPr>
        <w:t xml:space="preserve"> </w:t>
      </w:r>
      <w:r w:rsidR="00CB5BBB">
        <w:rPr>
          <w:lang w:val="en-US"/>
        </w:rPr>
        <w:t xml:space="preserve">Young people </w:t>
      </w:r>
      <w:r w:rsidR="00733151">
        <w:rPr>
          <w:lang w:val="en-US"/>
        </w:rPr>
        <w:t>report being</w:t>
      </w:r>
      <w:r w:rsidR="00CB5BBB">
        <w:rPr>
          <w:lang w:val="en-US"/>
        </w:rPr>
        <w:t xml:space="preserve"> </w:t>
      </w:r>
      <w:r w:rsidR="00626B82" w:rsidRPr="00626B82">
        <w:rPr>
          <w:lang w:val="en-US"/>
        </w:rPr>
        <w:t>skeptical of social media companies’ willingness and ability to effectively respond</w:t>
      </w:r>
      <w:r w:rsidR="00CB5BBB">
        <w:rPr>
          <w:lang w:val="en-US"/>
        </w:rPr>
        <w:t xml:space="preserve"> </w:t>
      </w:r>
      <w:r w:rsidR="00626B82" w:rsidRPr="00626B82">
        <w:rPr>
          <w:lang w:val="en-US"/>
        </w:rPr>
        <w:t xml:space="preserve">to bullying online via their content moderation systems and other interventions. </w:t>
      </w:r>
      <w:r w:rsidR="00FF5766">
        <w:rPr>
          <w:lang w:val="en-US"/>
        </w:rPr>
        <w:t xml:space="preserve">In consultations conducted by the Biden-Harris Administration’s Kids Online Health and Safety Task Force, </w:t>
      </w:r>
      <w:r w:rsidR="00803A4E">
        <w:rPr>
          <w:lang w:val="en-US"/>
        </w:rPr>
        <w:t>children and teens</w:t>
      </w:r>
      <w:r w:rsidR="00626B82" w:rsidRPr="00626B82">
        <w:rPr>
          <w:lang w:val="en-US"/>
        </w:rPr>
        <w:t xml:space="preserve"> </w:t>
      </w:r>
      <w:r w:rsidR="00733151">
        <w:rPr>
          <w:lang w:val="en-US"/>
        </w:rPr>
        <w:t xml:space="preserve">also </w:t>
      </w:r>
      <w:r w:rsidR="00D54EC4">
        <w:rPr>
          <w:lang w:val="en-US"/>
        </w:rPr>
        <w:t xml:space="preserve">shared </w:t>
      </w:r>
      <w:r w:rsidR="00626B82" w:rsidRPr="00626B82">
        <w:rPr>
          <w:lang w:val="en-US"/>
        </w:rPr>
        <w:t>that the process of using safety tools when they encounter toxic online behaviors is overwhelming.</w:t>
      </w:r>
      <w:r w:rsidR="00D54EC4">
        <w:rPr>
          <w:lang w:val="en-US"/>
        </w:rPr>
        <w:t xml:space="preserve"> </w:t>
      </w:r>
      <w:r w:rsidR="00626B82" w:rsidRPr="00626B82">
        <w:rPr>
          <w:lang w:val="en-US"/>
        </w:rPr>
        <w:t xml:space="preserve">Finally, </w:t>
      </w:r>
      <w:r w:rsidR="00705C88">
        <w:rPr>
          <w:lang w:val="en-US"/>
        </w:rPr>
        <w:t>protective factors</w:t>
      </w:r>
      <w:r w:rsidR="0093609B">
        <w:rPr>
          <w:lang w:val="en-US"/>
        </w:rPr>
        <w:t xml:space="preserve"> </w:t>
      </w:r>
      <w:r w:rsidR="00BD1611">
        <w:rPr>
          <w:lang w:val="en-US"/>
        </w:rPr>
        <w:t>—</w:t>
      </w:r>
      <w:r w:rsidR="0093609B">
        <w:rPr>
          <w:lang w:val="en-US"/>
        </w:rPr>
        <w:t xml:space="preserve">such as positive, prosocial interpersonal relationships </w:t>
      </w:r>
      <w:r w:rsidR="00BF74CF">
        <w:rPr>
          <w:lang w:val="en-US"/>
        </w:rPr>
        <w:t xml:space="preserve">(both in offline and virtual communities) </w:t>
      </w:r>
      <w:r w:rsidR="00E65472">
        <w:rPr>
          <w:lang w:val="en-US"/>
        </w:rPr>
        <w:t>with parents/caregivers, other adults, and peers</w:t>
      </w:r>
      <w:r w:rsidR="00BD1611">
        <w:rPr>
          <w:lang w:val="en-US"/>
        </w:rPr>
        <w:t>—</w:t>
      </w:r>
      <w:r w:rsidR="0093609B">
        <w:rPr>
          <w:lang w:val="en-US"/>
        </w:rPr>
        <w:t xml:space="preserve"> are </w:t>
      </w:r>
      <w:r w:rsidR="00626B82" w:rsidRPr="00626B82">
        <w:rPr>
          <w:lang w:val="en-US"/>
        </w:rPr>
        <w:t xml:space="preserve">important to </w:t>
      </w:r>
      <w:r w:rsidR="00E65472">
        <w:rPr>
          <w:lang w:val="en-US"/>
        </w:rPr>
        <w:t>protect against bullying and other forms of youth violence</w:t>
      </w:r>
      <w:r w:rsidR="009A0C91">
        <w:rPr>
          <w:lang w:val="en-US"/>
        </w:rPr>
        <w:t>, suicidality, and self-harm</w:t>
      </w:r>
      <w:r w:rsidR="00626B82" w:rsidRPr="00626B82">
        <w:rPr>
          <w:lang w:val="en-US"/>
        </w:rPr>
        <w:t xml:space="preserve">. </w:t>
      </w:r>
    </w:p>
    <w:p w14:paraId="01BD8CD1" w14:textId="6151E590" w:rsidR="00AF2085" w:rsidRPr="00AF2085" w:rsidRDefault="009F28B3" w:rsidP="00BD1611">
      <w:pPr>
        <w:jc w:val="both"/>
        <w:rPr>
          <w:lang w:val="en-US"/>
        </w:rPr>
      </w:pPr>
      <w:r>
        <w:rPr>
          <w:lang w:val="en-US"/>
        </w:rPr>
        <w:t>Online service providers have</w:t>
      </w:r>
      <w:r w:rsidR="00692646">
        <w:rPr>
          <w:lang w:val="en-US"/>
        </w:rPr>
        <w:t xml:space="preserve"> a significant role to play in helping to mitigate </w:t>
      </w:r>
      <w:r w:rsidR="00251EEF">
        <w:rPr>
          <w:lang w:val="en-US"/>
        </w:rPr>
        <w:t xml:space="preserve">cyberbullying and other forms of online harassment and abuse. </w:t>
      </w:r>
      <w:r w:rsidR="00786ACF" w:rsidRPr="00786ACF">
        <w:rPr>
          <w:lang w:val="en-US"/>
        </w:rPr>
        <w:t>There is a huge diversity in the online platforms and services that young people use, and there is no</w:t>
      </w:r>
      <w:r w:rsidR="00786ACF">
        <w:rPr>
          <w:lang w:val="en-US"/>
        </w:rPr>
        <w:t xml:space="preserve"> </w:t>
      </w:r>
      <w:r w:rsidR="00786ACF" w:rsidRPr="00786ACF">
        <w:rPr>
          <w:lang w:val="en-US"/>
        </w:rPr>
        <w:t>one-size-fits-all approach to making platforms safer for kids. Thus, it is pivotal that platform operators</w:t>
      </w:r>
      <w:r w:rsidR="00786ACF">
        <w:rPr>
          <w:lang w:val="en-US"/>
        </w:rPr>
        <w:t xml:space="preserve"> </w:t>
      </w:r>
      <w:r w:rsidR="00786ACF" w:rsidRPr="00786ACF">
        <w:rPr>
          <w:lang w:val="en-US"/>
        </w:rPr>
        <w:t xml:space="preserve">design their services </w:t>
      </w:r>
      <w:r w:rsidR="00AF2085" w:rsidRPr="00AF2085">
        <w:rPr>
          <w:lang w:val="en-US"/>
        </w:rPr>
        <w:t>based on research and performance assessments (e.g., user experience testing)</w:t>
      </w:r>
    </w:p>
    <w:p w14:paraId="2451C61A" w14:textId="76452A8E" w:rsidR="00AF2085" w:rsidRDefault="00AF2085" w:rsidP="00BD1611">
      <w:pPr>
        <w:jc w:val="both"/>
        <w:rPr>
          <w:lang w:val="en-US"/>
        </w:rPr>
      </w:pPr>
      <w:r w:rsidRPr="00AF2085">
        <w:rPr>
          <w:lang w:val="en-US"/>
        </w:rPr>
        <w:t>focused on youth’s experiences</w:t>
      </w:r>
      <w:r w:rsidR="009C2EB7">
        <w:rPr>
          <w:lang w:val="en-US"/>
        </w:rPr>
        <w:t xml:space="preserve"> with cyberbullying, harassment, and other forms of online abuse</w:t>
      </w:r>
      <w:r w:rsidRPr="00AF2085">
        <w:rPr>
          <w:lang w:val="en-US"/>
        </w:rPr>
        <w:t>.</w:t>
      </w:r>
      <w:r w:rsidR="009C2EB7">
        <w:rPr>
          <w:lang w:val="en-US"/>
        </w:rPr>
        <w:t xml:space="preserve"> Providers </w:t>
      </w:r>
      <w:r w:rsidR="00242137">
        <w:rPr>
          <w:lang w:val="en-US"/>
        </w:rPr>
        <w:t>can</w:t>
      </w:r>
      <w:r w:rsidR="009C2EB7">
        <w:rPr>
          <w:lang w:val="en-US"/>
        </w:rPr>
        <w:t xml:space="preserve"> e</w:t>
      </w:r>
      <w:r w:rsidR="006B22F7" w:rsidRPr="006B22F7">
        <w:rPr>
          <w:lang w:val="en-US"/>
        </w:rPr>
        <w:t>ngage youth, parents and caregivers, relevant stakeholders, and experts from the field</w:t>
      </w:r>
      <w:r w:rsidR="009C2EB7">
        <w:rPr>
          <w:lang w:val="en-US"/>
        </w:rPr>
        <w:t xml:space="preserve"> </w:t>
      </w:r>
      <w:r w:rsidR="006B22F7" w:rsidRPr="006B22F7">
        <w:rPr>
          <w:lang w:val="en-US"/>
        </w:rPr>
        <w:t>throughout the entire product development lifecycle</w:t>
      </w:r>
      <w:r w:rsidR="00C06D50">
        <w:rPr>
          <w:lang w:val="en-US"/>
        </w:rPr>
        <w:t xml:space="preserve"> </w:t>
      </w:r>
      <w:r w:rsidR="006B22F7" w:rsidRPr="006B22F7">
        <w:rPr>
          <w:lang w:val="en-US"/>
        </w:rPr>
        <w:t>—including young people from different</w:t>
      </w:r>
      <w:r w:rsidR="006B22F7">
        <w:rPr>
          <w:lang w:val="en-US"/>
        </w:rPr>
        <w:t xml:space="preserve"> </w:t>
      </w:r>
      <w:r w:rsidR="006B22F7" w:rsidRPr="006B22F7">
        <w:rPr>
          <w:lang w:val="en-US"/>
        </w:rPr>
        <w:t>backgrounds and age groups</w:t>
      </w:r>
      <w:r w:rsidR="00186C8D">
        <w:rPr>
          <w:lang w:val="en-US"/>
        </w:rPr>
        <w:t>.</w:t>
      </w:r>
    </w:p>
    <w:p w14:paraId="6F459FF9" w14:textId="2B746B62" w:rsidR="007C5352" w:rsidRDefault="003C2FDF" w:rsidP="00BD1611">
      <w:pPr>
        <w:jc w:val="both"/>
        <w:rPr>
          <w:lang w:val="en-US"/>
        </w:rPr>
      </w:pPr>
      <w:r>
        <w:rPr>
          <w:lang w:val="en-US"/>
        </w:rPr>
        <w:t xml:space="preserve">Online service providers </w:t>
      </w:r>
      <w:r w:rsidR="00D16EB0">
        <w:rPr>
          <w:lang w:val="en-US"/>
        </w:rPr>
        <w:t>can</w:t>
      </w:r>
      <w:r>
        <w:rPr>
          <w:lang w:val="en-US"/>
        </w:rPr>
        <w:t xml:space="preserve"> i</w:t>
      </w:r>
      <w:r w:rsidR="007C5352" w:rsidRPr="007C5352">
        <w:rPr>
          <w:lang w:val="en-US"/>
        </w:rPr>
        <w:t>mplement designs that help prevent, minimize, and mitigate bullying and other forms of</w:t>
      </w:r>
      <w:r>
        <w:rPr>
          <w:lang w:val="en-US"/>
        </w:rPr>
        <w:t xml:space="preserve"> </w:t>
      </w:r>
      <w:r w:rsidR="007C5352" w:rsidRPr="007C5352">
        <w:rPr>
          <w:lang w:val="en-US"/>
        </w:rPr>
        <w:t>online harassment and abuse</w:t>
      </w:r>
      <w:r w:rsidR="00D16EB0">
        <w:rPr>
          <w:lang w:val="en-US"/>
        </w:rPr>
        <w:t xml:space="preserve">. This could include, for example, </w:t>
      </w:r>
      <w:r w:rsidR="004D12F8">
        <w:rPr>
          <w:lang w:val="en-US"/>
        </w:rPr>
        <w:t>e</w:t>
      </w:r>
      <w:r w:rsidR="004D12F8" w:rsidRPr="004D12F8">
        <w:rPr>
          <w:lang w:val="en-US"/>
        </w:rPr>
        <w:t>mbed</w:t>
      </w:r>
      <w:r w:rsidR="004D12F8">
        <w:rPr>
          <w:lang w:val="en-US"/>
        </w:rPr>
        <w:t>ding</w:t>
      </w:r>
      <w:r w:rsidR="004D12F8" w:rsidRPr="004D12F8">
        <w:rPr>
          <w:lang w:val="en-US"/>
        </w:rPr>
        <w:t xml:space="preserve"> online civility norms across online spaces (e.g., onboarding, policies, design, monitoring, and resources).</w:t>
      </w:r>
      <w:r w:rsidR="004D12F8">
        <w:rPr>
          <w:lang w:val="en-US"/>
        </w:rPr>
        <w:t xml:space="preserve"> Providers </w:t>
      </w:r>
      <w:r w:rsidR="00242137">
        <w:rPr>
          <w:lang w:val="en-US"/>
        </w:rPr>
        <w:t>can</w:t>
      </w:r>
      <w:r w:rsidR="004D12F8">
        <w:rPr>
          <w:lang w:val="en-US"/>
        </w:rPr>
        <w:t xml:space="preserve"> </w:t>
      </w:r>
      <w:r w:rsidR="00D16EB0">
        <w:rPr>
          <w:lang w:val="en-US"/>
        </w:rPr>
        <w:t>e</w:t>
      </w:r>
      <w:r w:rsidR="007C5352" w:rsidRPr="007C5352">
        <w:rPr>
          <w:lang w:val="en-US"/>
        </w:rPr>
        <w:t>valuat</w:t>
      </w:r>
      <w:r w:rsidR="004D12F8">
        <w:rPr>
          <w:lang w:val="en-US"/>
        </w:rPr>
        <w:t>e</w:t>
      </w:r>
      <w:r w:rsidR="007C5352" w:rsidRPr="007C5352">
        <w:rPr>
          <w:lang w:val="en-US"/>
        </w:rPr>
        <w:t xml:space="preserve"> technical interventions aimed at minimizing online bullying, such as reporting and bystander support tools, for their effects on both youth who are being</w:t>
      </w:r>
      <w:r w:rsidR="00D16EB0">
        <w:rPr>
          <w:lang w:val="en-US"/>
        </w:rPr>
        <w:t xml:space="preserve"> </w:t>
      </w:r>
      <w:r w:rsidR="007C5352" w:rsidRPr="007C5352">
        <w:rPr>
          <w:lang w:val="en-US"/>
        </w:rPr>
        <w:t>bullied and those who are bullying others.</w:t>
      </w:r>
      <w:r w:rsidR="005D0992">
        <w:rPr>
          <w:lang w:val="en-US"/>
        </w:rPr>
        <w:t xml:space="preserve"> Providers </w:t>
      </w:r>
      <w:r w:rsidR="00242137">
        <w:rPr>
          <w:lang w:val="en-US"/>
        </w:rPr>
        <w:t>can</w:t>
      </w:r>
      <w:r w:rsidR="005D0992">
        <w:rPr>
          <w:lang w:val="en-US"/>
        </w:rPr>
        <w:t xml:space="preserve"> seek to u</w:t>
      </w:r>
      <w:r w:rsidR="007C5352" w:rsidRPr="007C5352">
        <w:rPr>
          <w:lang w:val="en-US"/>
        </w:rPr>
        <w:t>se diverse, tailored approaches to help protect users from being bullied, prevent users</w:t>
      </w:r>
      <w:r w:rsidR="005D0992">
        <w:rPr>
          <w:lang w:val="en-US"/>
        </w:rPr>
        <w:t xml:space="preserve"> </w:t>
      </w:r>
      <w:r w:rsidR="007C5352" w:rsidRPr="007C5352">
        <w:rPr>
          <w:lang w:val="en-US"/>
        </w:rPr>
        <w:t>from bullying others, and empower bystanders to stand up to bullying (e.g., by providing tools that allow users to reach out to trusted friends when they are experiencing</w:t>
      </w:r>
      <w:r w:rsidR="005D0992">
        <w:rPr>
          <w:lang w:val="en-US"/>
        </w:rPr>
        <w:t xml:space="preserve"> </w:t>
      </w:r>
      <w:r w:rsidR="007C5352" w:rsidRPr="007C5352">
        <w:rPr>
          <w:lang w:val="en-US"/>
        </w:rPr>
        <w:t>bullying).</w:t>
      </w:r>
      <w:r w:rsidR="00D86936">
        <w:rPr>
          <w:lang w:val="en-US"/>
        </w:rPr>
        <w:t xml:space="preserve"> Online service providers </w:t>
      </w:r>
      <w:r w:rsidR="00F65B9F">
        <w:rPr>
          <w:lang w:val="en-US"/>
        </w:rPr>
        <w:t>can also provide tools and adopt policies that give young people more control over their experiences online, such as a</w:t>
      </w:r>
      <w:r w:rsidR="00F65B9F" w:rsidRPr="00F65B9F">
        <w:rPr>
          <w:lang w:val="en-US"/>
        </w:rPr>
        <w:t>llow</w:t>
      </w:r>
      <w:r w:rsidR="00F65B9F">
        <w:rPr>
          <w:lang w:val="en-US"/>
        </w:rPr>
        <w:t>ing</w:t>
      </w:r>
      <w:r w:rsidR="00F65B9F" w:rsidRPr="00F65B9F">
        <w:rPr>
          <w:lang w:val="en-US"/>
        </w:rPr>
        <w:t xml:space="preserve"> muting</w:t>
      </w:r>
      <w:r w:rsidR="00F65B9F">
        <w:rPr>
          <w:lang w:val="en-US"/>
        </w:rPr>
        <w:t xml:space="preserve"> or </w:t>
      </w:r>
      <w:r w:rsidR="00F65B9F" w:rsidRPr="00F65B9F">
        <w:rPr>
          <w:lang w:val="en-US"/>
        </w:rPr>
        <w:t xml:space="preserve">blocking of problematic users, even if the behavior does not rise to the </w:t>
      </w:r>
      <w:r w:rsidR="00F65B9F">
        <w:rPr>
          <w:lang w:val="en-US"/>
        </w:rPr>
        <w:t>l</w:t>
      </w:r>
      <w:r w:rsidR="00F65B9F" w:rsidRPr="00F65B9F">
        <w:rPr>
          <w:lang w:val="en-US"/>
        </w:rPr>
        <w:t>evel</w:t>
      </w:r>
      <w:r w:rsidR="00F65B9F">
        <w:rPr>
          <w:lang w:val="en-US"/>
        </w:rPr>
        <w:t xml:space="preserve"> </w:t>
      </w:r>
      <w:r w:rsidR="00F65B9F" w:rsidRPr="00F65B9F">
        <w:rPr>
          <w:lang w:val="en-US"/>
        </w:rPr>
        <w:t>of violating platform policies.</w:t>
      </w:r>
      <w:r w:rsidR="00DB2E9F">
        <w:rPr>
          <w:lang w:val="en-US"/>
        </w:rPr>
        <w:t xml:space="preserve"> It is also vital that online services understand the barriers that youth face to </w:t>
      </w:r>
      <w:r w:rsidR="007A0C04">
        <w:rPr>
          <w:lang w:val="en-US"/>
        </w:rPr>
        <w:t>employing the reporting mechanisms that many services already provide, and take steps to remedy those</w:t>
      </w:r>
      <w:r w:rsidR="005720E1">
        <w:rPr>
          <w:lang w:val="en-US"/>
        </w:rPr>
        <w:t xml:space="preserve"> issues, including improving response times and efficacy of interventions.</w:t>
      </w:r>
    </w:p>
    <w:p w14:paraId="4A954372" w14:textId="16268F18" w:rsidR="007C5352" w:rsidRDefault="005720E1" w:rsidP="00BD1611">
      <w:pPr>
        <w:jc w:val="both"/>
        <w:rPr>
          <w:lang w:val="en-US"/>
        </w:rPr>
      </w:pPr>
      <w:r>
        <w:rPr>
          <w:lang w:val="en-US"/>
        </w:rPr>
        <w:t>In addition to user reports, v</w:t>
      </w:r>
      <w:r w:rsidR="00140021" w:rsidRPr="007E3FB3">
        <w:rPr>
          <w:lang w:val="en-US"/>
        </w:rPr>
        <w:t>arious data-driven methods and models are used across online spaces and platforms to detect cyberbullying. While different methods and models are best suited for different types of content and</w:t>
      </w:r>
      <w:r w:rsidR="00140021">
        <w:rPr>
          <w:lang w:val="en-US"/>
        </w:rPr>
        <w:t xml:space="preserve"> </w:t>
      </w:r>
      <w:r w:rsidR="00140021" w:rsidRPr="007E3FB3">
        <w:rPr>
          <w:lang w:val="en-US"/>
        </w:rPr>
        <w:t>platforms, challenges persist in the consistent identification of cyberbullying across social media</w:t>
      </w:r>
      <w:r w:rsidR="00140021">
        <w:rPr>
          <w:lang w:val="en-US"/>
        </w:rPr>
        <w:t xml:space="preserve"> </w:t>
      </w:r>
      <w:r w:rsidR="00140021" w:rsidRPr="007E3FB3">
        <w:rPr>
          <w:lang w:val="en-US"/>
        </w:rPr>
        <w:t>spaces.</w:t>
      </w:r>
      <w:r w:rsidR="00140021">
        <w:rPr>
          <w:lang w:val="en-US"/>
        </w:rPr>
        <w:t xml:space="preserve"> The accuracy and efficacy of both human moderators and </w:t>
      </w:r>
      <w:r w:rsidR="00140021" w:rsidRPr="007E3FB3">
        <w:rPr>
          <w:lang w:val="en-US"/>
        </w:rPr>
        <w:t xml:space="preserve">cyberbullying detection models can be </w:t>
      </w:r>
      <w:r w:rsidR="00535243">
        <w:rPr>
          <w:lang w:val="en-US"/>
        </w:rPr>
        <w:t xml:space="preserve">further </w:t>
      </w:r>
      <w:r w:rsidR="00140021" w:rsidRPr="007E3FB3">
        <w:rPr>
          <w:lang w:val="en-US"/>
        </w:rPr>
        <w:t>affected by cultural differences</w:t>
      </w:r>
      <w:r w:rsidR="00140021">
        <w:rPr>
          <w:lang w:val="en-US"/>
        </w:rPr>
        <w:t xml:space="preserve"> among youth</w:t>
      </w:r>
      <w:r w:rsidR="00140021" w:rsidRPr="007E3FB3">
        <w:rPr>
          <w:lang w:val="en-US"/>
        </w:rPr>
        <w:t xml:space="preserve">. </w:t>
      </w:r>
      <w:r w:rsidR="00140021">
        <w:rPr>
          <w:lang w:val="en-US"/>
        </w:rPr>
        <w:t>A</w:t>
      </w:r>
      <w:r w:rsidR="00140021" w:rsidRPr="007E3FB3">
        <w:rPr>
          <w:lang w:val="en-US"/>
        </w:rPr>
        <w:t xml:space="preserve">dditional contextual information from users’ posts on a service </w:t>
      </w:r>
      <w:r w:rsidR="00140021">
        <w:rPr>
          <w:lang w:val="en-US"/>
        </w:rPr>
        <w:t>can</w:t>
      </w:r>
      <w:r w:rsidR="00140021" w:rsidRPr="007E3FB3">
        <w:rPr>
          <w:lang w:val="en-US"/>
        </w:rPr>
        <w:t xml:space="preserve"> help improve the</w:t>
      </w:r>
      <w:r>
        <w:rPr>
          <w:lang w:val="en-US"/>
        </w:rPr>
        <w:t xml:space="preserve"> </w:t>
      </w:r>
      <w:r w:rsidR="00140021" w:rsidRPr="007E3FB3">
        <w:rPr>
          <w:lang w:val="en-US"/>
        </w:rPr>
        <w:t>accuracy of online bullying detection.</w:t>
      </w:r>
      <w:r w:rsidR="00F65B9F">
        <w:rPr>
          <w:lang w:val="en-US"/>
        </w:rPr>
        <w:t xml:space="preserve"> Online service providers </w:t>
      </w:r>
      <w:r w:rsidR="00242137">
        <w:rPr>
          <w:lang w:val="en-US"/>
        </w:rPr>
        <w:t xml:space="preserve">can </w:t>
      </w:r>
      <w:r w:rsidR="00F65B9F">
        <w:rPr>
          <w:lang w:val="en-US"/>
        </w:rPr>
        <w:t>d</w:t>
      </w:r>
      <w:r w:rsidR="00F65B9F" w:rsidRPr="00F65B9F">
        <w:rPr>
          <w:lang w:val="en-US"/>
        </w:rPr>
        <w:t>evelop a classification framework for incorporating cultural differences to identify indicators of online bullying victimization</w:t>
      </w:r>
      <w:r w:rsidR="00F65B9F">
        <w:rPr>
          <w:lang w:val="en-US"/>
        </w:rPr>
        <w:t>.</w:t>
      </w:r>
      <w:r w:rsidR="00B556FB">
        <w:rPr>
          <w:lang w:val="en-US"/>
        </w:rPr>
        <w:t xml:space="preserve"> They </w:t>
      </w:r>
      <w:r w:rsidR="00242137">
        <w:rPr>
          <w:lang w:val="en-US"/>
        </w:rPr>
        <w:t>can</w:t>
      </w:r>
      <w:r w:rsidR="00B556FB">
        <w:rPr>
          <w:lang w:val="en-US"/>
        </w:rPr>
        <w:t xml:space="preserve"> also e</w:t>
      </w:r>
      <w:r w:rsidR="007C5352" w:rsidRPr="007C5352">
        <w:rPr>
          <w:lang w:val="en-US"/>
        </w:rPr>
        <w:t>nsure equitable access to online safety resources and mechanisms for diverse user audiences (e.g., consider literacy levels, accessibility across different devices, and languages).</w:t>
      </w:r>
      <w:r w:rsidR="00B556FB">
        <w:rPr>
          <w:lang w:val="en-US"/>
        </w:rPr>
        <w:t xml:space="preserve"> </w:t>
      </w:r>
      <w:r w:rsidR="00EB0E36">
        <w:rPr>
          <w:lang w:val="en-US"/>
        </w:rPr>
        <w:t xml:space="preserve">Providers can also adopt a risk-based approach to </w:t>
      </w:r>
      <w:r w:rsidR="00EB0E36">
        <w:rPr>
          <w:lang w:val="en-US"/>
        </w:rPr>
        <w:lastRenderedPageBreak/>
        <w:t>prioritizing interventions and i</w:t>
      </w:r>
      <w:r w:rsidR="007C5352" w:rsidRPr="007C5352">
        <w:rPr>
          <w:lang w:val="en-US"/>
        </w:rPr>
        <w:t>dentify specific groups that have experienced more bullying</w:t>
      </w:r>
      <w:r w:rsidR="00EB0E36">
        <w:rPr>
          <w:lang w:val="en-US"/>
        </w:rPr>
        <w:t xml:space="preserve"> on their services</w:t>
      </w:r>
      <w:r w:rsidR="00D04162">
        <w:rPr>
          <w:lang w:val="en-US"/>
        </w:rPr>
        <w:t xml:space="preserve">, </w:t>
      </w:r>
      <w:proofErr w:type="gramStart"/>
      <w:r w:rsidR="00D04162">
        <w:rPr>
          <w:lang w:val="en-US"/>
        </w:rPr>
        <w:t>in order</w:t>
      </w:r>
      <w:r w:rsidR="007C5352" w:rsidRPr="007C5352">
        <w:rPr>
          <w:lang w:val="en-US"/>
        </w:rPr>
        <w:t xml:space="preserve"> to</w:t>
      </w:r>
      <w:proofErr w:type="gramEnd"/>
      <w:r w:rsidR="007C5352" w:rsidRPr="007C5352">
        <w:rPr>
          <w:lang w:val="en-US"/>
        </w:rPr>
        <w:t xml:space="preserve"> develop tailored interventions to address cyberbullying.</w:t>
      </w:r>
    </w:p>
    <w:p w14:paraId="43915C9E" w14:textId="4ADE3021" w:rsidR="00301121" w:rsidRPr="007C5352" w:rsidRDefault="00301121" w:rsidP="00BD1611">
      <w:pPr>
        <w:jc w:val="both"/>
        <w:rPr>
          <w:lang w:val="en-US"/>
        </w:rPr>
      </w:pPr>
      <w:r>
        <w:rPr>
          <w:lang w:val="en-US"/>
        </w:rPr>
        <w:t>It is important for online service providers and experts to sh</w:t>
      </w:r>
      <w:r w:rsidRPr="007C5352">
        <w:rPr>
          <w:lang w:val="en-US"/>
        </w:rPr>
        <w:t>are evidence-based bullying prevention resources with parents/caregivers and youth</w:t>
      </w:r>
      <w:r w:rsidR="00BB5EC7">
        <w:rPr>
          <w:lang w:val="en-US"/>
        </w:rPr>
        <w:t xml:space="preserve">. Examples of those resources could include </w:t>
      </w:r>
      <w:r w:rsidRPr="007C5352">
        <w:rPr>
          <w:lang w:val="en-US"/>
        </w:rPr>
        <w:t xml:space="preserve">cyberbullying tactics; </w:t>
      </w:r>
      <w:r w:rsidR="002E2B96">
        <w:rPr>
          <w:lang w:val="en-US"/>
        </w:rPr>
        <w:t>how to prevent</w:t>
      </w:r>
      <w:r w:rsidRPr="007C5352">
        <w:rPr>
          <w:lang w:val="en-US"/>
        </w:rPr>
        <w:t xml:space="preserve"> cyberbullying; social media, apps, and sites</w:t>
      </w:r>
      <w:r>
        <w:rPr>
          <w:lang w:val="en-US"/>
        </w:rPr>
        <w:t xml:space="preserve"> </w:t>
      </w:r>
      <w:r w:rsidRPr="007C5352">
        <w:rPr>
          <w:lang w:val="en-US"/>
        </w:rPr>
        <w:t>commonly used by children and teens</w:t>
      </w:r>
      <w:r w:rsidR="0062110A">
        <w:rPr>
          <w:lang w:val="en-US"/>
        </w:rPr>
        <w:t xml:space="preserve"> and the reporting mechanisms they provide</w:t>
      </w:r>
      <w:r w:rsidRPr="007C5352">
        <w:rPr>
          <w:lang w:val="en-US"/>
        </w:rPr>
        <w:t xml:space="preserve">; and </w:t>
      </w:r>
      <w:r w:rsidR="002E2B96">
        <w:rPr>
          <w:lang w:val="en-US"/>
        </w:rPr>
        <w:t xml:space="preserve">information on </w:t>
      </w:r>
      <w:r w:rsidRPr="007C5352">
        <w:rPr>
          <w:lang w:val="en-US"/>
        </w:rPr>
        <w:t xml:space="preserve">cyberbullying and online gaming. </w:t>
      </w:r>
      <w:hyperlink r:id="rId12" w:history="1">
        <w:proofErr w:type="spellStart"/>
        <w:r w:rsidRPr="007C419D">
          <w:rPr>
            <w:rStyle w:val="Hyperlink"/>
            <w:lang w:val="en-US"/>
          </w:rPr>
          <w:t>StopBullying.gov</w:t>
        </w:r>
        <w:proofErr w:type="spellEnd"/>
      </w:hyperlink>
      <w:r w:rsidR="002E2B96">
        <w:rPr>
          <w:lang w:val="en-US"/>
        </w:rPr>
        <w:t xml:space="preserve"> </w:t>
      </w:r>
      <w:r>
        <w:rPr>
          <w:lang w:val="en-US"/>
        </w:rPr>
        <w:t xml:space="preserve">includes a comprehensive set of resources. Online service providers </w:t>
      </w:r>
      <w:r w:rsidR="00242137">
        <w:rPr>
          <w:lang w:val="en-US"/>
        </w:rPr>
        <w:t>can</w:t>
      </w:r>
      <w:r>
        <w:rPr>
          <w:lang w:val="en-US"/>
        </w:rPr>
        <w:t xml:space="preserve"> also d</w:t>
      </w:r>
      <w:r w:rsidRPr="007C5352">
        <w:rPr>
          <w:lang w:val="en-US"/>
        </w:rPr>
        <w:t xml:space="preserve">irect young people expressing self-harm or suicide-related behaviors to </w:t>
      </w:r>
      <w:r>
        <w:rPr>
          <w:lang w:val="en-US"/>
        </w:rPr>
        <w:t xml:space="preserve">relevant national helplines, such as </w:t>
      </w:r>
      <w:r w:rsidRPr="007C5352">
        <w:rPr>
          <w:lang w:val="en-US"/>
        </w:rPr>
        <w:t>the 988 Suicide</w:t>
      </w:r>
      <w:r>
        <w:rPr>
          <w:lang w:val="en-US"/>
        </w:rPr>
        <w:t xml:space="preserve"> </w:t>
      </w:r>
      <w:r w:rsidRPr="007C5352">
        <w:rPr>
          <w:lang w:val="en-US"/>
        </w:rPr>
        <w:t>and Crisis Lifeline</w:t>
      </w:r>
      <w:r>
        <w:rPr>
          <w:lang w:val="en-US"/>
        </w:rPr>
        <w:t xml:space="preserve"> in the United States.</w:t>
      </w:r>
    </w:p>
    <w:p w14:paraId="7FD48E4E" w14:textId="43AD2265" w:rsidR="003C2FDF" w:rsidRPr="00242137" w:rsidRDefault="003C2FDF" w:rsidP="00BD1611">
      <w:pPr>
        <w:jc w:val="both"/>
        <w:rPr>
          <w:lang w:val="en-US"/>
        </w:rPr>
      </w:pPr>
      <w:r>
        <w:rPr>
          <w:lang w:val="en-US"/>
        </w:rPr>
        <w:t>Finally, i</w:t>
      </w:r>
      <w:r w:rsidRPr="007E3FB3">
        <w:rPr>
          <w:lang w:val="en-US"/>
        </w:rPr>
        <w:t>t is important that safety efforts</w:t>
      </w:r>
      <w:r>
        <w:rPr>
          <w:lang w:val="en-US"/>
        </w:rPr>
        <w:t xml:space="preserve"> focused on online harassment and abuse</w:t>
      </w:r>
      <w:r w:rsidRPr="007E3FB3">
        <w:rPr>
          <w:lang w:val="en-US"/>
        </w:rPr>
        <w:t xml:space="preserve"> </w:t>
      </w:r>
      <w:proofErr w:type="gramStart"/>
      <w:r w:rsidRPr="007E3FB3">
        <w:rPr>
          <w:lang w:val="en-US"/>
        </w:rPr>
        <w:t>take into account</w:t>
      </w:r>
      <w:proofErr w:type="gramEnd"/>
      <w:r w:rsidRPr="007E3FB3">
        <w:rPr>
          <w:lang w:val="en-US"/>
        </w:rPr>
        <w:t xml:space="preserve"> that sextortion and non-consensual sharing or</w:t>
      </w:r>
      <w:r>
        <w:rPr>
          <w:lang w:val="en-US"/>
        </w:rPr>
        <w:t xml:space="preserve"> </w:t>
      </w:r>
      <w:r w:rsidRPr="007E3FB3">
        <w:rPr>
          <w:lang w:val="en-US"/>
        </w:rPr>
        <w:t>threatening to disseminate sexual images are also perpetrated by peers, including by current or former</w:t>
      </w:r>
      <w:r>
        <w:rPr>
          <w:lang w:val="en-US"/>
        </w:rPr>
        <w:t xml:space="preserve"> </w:t>
      </w:r>
      <w:r w:rsidRPr="007C5352">
        <w:rPr>
          <w:lang w:val="en-US"/>
        </w:rPr>
        <w:t>dating partners. Other forms of technology-facilitated abuse, such as cyberstalking, can take</w:t>
      </w:r>
      <w:r>
        <w:rPr>
          <w:lang w:val="en-US"/>
        </w:rPr>
        <w:t xml:space="preserve"> </w:t>
      </w:r>
      <w:r w:rsidRPr="007C5352">
        <w:rPr>
          <w:lang w:val="en-US"/>
        </w:rPr>
        <w:t>place in the context of dating violence, with different considerations and implications for youth safe</w:t>
      </w:r>
      <w:r>
        <w:rPr>
          <w:lang w:val="en-US"/>
        </w:rPr>
        <w:t xml:space="preserve">ty. Online service providers </w:t>
      </w:r>
      <w:r w:rsidR="00242137">
        <w:rPr>
          <w:lang w:val="en-US"/>
        </w:rPr>
        <w:t>can</w:t>
      </w:r>
      <w:r>
        <w:rPr>
          <w:lang w:val="en-US"/>
        </w:rPr>
        <w:t xml:space="preserve"> consider how their bullying and harassment reporting flows are triaged with respect to their reporting mechanisms for child sexual abuse.</w:t>
      </w:r>
      <w:r w:rsidR="00241A03">
        <w:rPr>
          <w:lang w:val="en-US"/>
        </w:rPr>
        <w:t xml:space="preserve"> </w:t>
      </w:r>
      <w:r w:rsidR="00283C18">
        <w:rPr>
          <w:lang w:val="en-US"/>
        </w:rPr>
        <w:t xml:space="preserve">Online services </w:t>
      </w:r>
      <w:r w:rsidR="00242137">
        <w:rPr>
          <w:lang w:val="en-US"/>
        </w:rPr>
        <w:t>can</w:t>
      </w:r>
      <w:r w:rsidR="00283C18">
        <w:rPr>
          <w:lang w:val="en-US"/>
        </w:rPr>
        <w:t xml:space="preserve"> respond promptly to user-submitted reports of online child sexual exploitation and abuse</w:t>
      </w:r>
      <w:r w:rsidR="00FD1AB4">
        <w:rPr>
          <w:lang w:val="en-US"/>
        </w:rPr>
        <w:t>, as well as bullying, harassment, and other abuse</w:t>
      </w:r>
      <w:r w:rsidR="00283C18">
        <w:rPr>
          <w:lang w:val="en-US"/>
        </w:rPr>
        <w:t>.</w:t>
      </w:r>
      <w:r w:rsidR="00855069">
        <w:rPr>
          <w:lang w:val="en-US"/>
        </w:rPr>
        <w:t xml:space="preserve"> It is vital for online services to address youth users’ skepticism of the utility of reporting mechanisms by </w:t>
      </w:r>
      <w:r w:rsidR="00FD1AB4">
        <w:rPr>
          <w:lang w:val="en-US"/>
        </w:rPr>
        <w:t xml:space="preserve">providing prompt responses that </w:t>
      </w:r>
      <w:r w:rsidR="0095364A">
        <w:rPr>
          <w:lang w:val="en-US"/>
        </w:rPr>
        <w:t>effectively resolve the challenges the young person is facing.</w:t>
      </w:r>
    </w:p>
    <w:p w14:paraId="0D0BDBCB" w14:textId="77777777" w:rsidR="003C2FDF" w:rsidRDefault="003C2FDF" w:rsidP="006B22F7">
      <w:pPr>
        <w:tabs>
          <w:tab w:val="clear" w:pos="567"/>
          <w:tab w:val="clear" w:pos="1134"/>
          <w:tab w:val="clear" w:pos="1701"/>
          <w:tab w:val="clear" w:pos="2268"/>
          <w:tab w:val="clear" w:pos="2835"/>
        </w:tabs>
        <w:overflowPunct/>
        <w:autoSpaceDE/>
        <w:autoSpaceDN/>
        <w:adjustRightInd/>
        <w:spacing w:before="0"/>
        <w:textAlignment w:val="auto"/>
        <w:rPr>
          <w:lang w:val="en-US"/>
        </w:rPr>
      </w:pPr>
    </w:p>
    <w:p w14:paraId="32D23043" w14:textId="77777777" w:rsidR="00725477" w:rsidRPr="00D458FB" w:rsidRDefault="00725477">
      <w:pPr>
        <w:tabs>
          <w:tab w:val="clear" w:pos="567"/>
          <w:tab w:val="clear" w:pos="1134"/>
          <w:tab w:val="clear" w:pos="1701"/>
          <w:tab w:val="clear" w:pos="2268"/>
          <w:tab w:val="clear" w:pos="2835"/>
        </w:tabs>
        <w:overflowPunct/>
        <w:autoSpaceDE/>
        <w:autoSpaceDN/>
        <w:adjustRightInd/>
        <w:spacing w:before="0"/>
        <w:textAlignment w:val="auto"/>
        <w:rPr>
          <w:lang w:val="en-US"/>
        </w:rPr>
      </w:pPr>
    </w:p>
    <w:p w14:paraId="58861AFC" w14:textId="77777777" w:rsidR="00725477" w:rsidRPr="00D458FB" w:rsidRDefault="00725477" w:rsidP="00725477">
      <w:pPr>
        <w:spacing w:before="480"/>
        <w:jc w:val="center"/>
        <w:rPr>
          <w:rFonts w:asciiTheme="minorHAnsi" w:hAnsiTheme="minorHAnsi" w:cstheme="minorHAnsi"/>
          <w:szCs w:val="24"/>
          <w:lang w:val="en-US"/>
        </w:rPr>
      </w:pPr>
      <w:r w:rsidRPr="00D458FB">
        <w:rPr>
          <w:rFonts w:cs="Calibri"/>
          <w:szCs w:val="24"/>
          <w:lang w:val="en-US"/>
        </w:rPr>
        <w:t>______________</w:t>
      </w:r>
    </w:p>
    <w:sectPr w:rsidR="00725477" w:rsidRPr="00D458FB" w:rsidSect="00AD3606">
      <w:footerReference w:type="default" r:id="rId13"/>
      <w:headerReference w:type="first" r:id="rId14"/>
      <w:footerReference w:type="first" r:id="rId1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88DFA8" w14:textId="77777777" w:rsidR="00411413" w:rsidRDefault="00411413">
      <w:r>
        <w:separator/>
      </w:r>
    </w:p>
  </w:endnote>
  <w:endnote w:type="continuationSeparator" w:id="0">
    <w:p w14:paraId="7FD417FB" w14:textId="77777777" w:rsidR="00411413" w:rsidRDefault="0041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BC54CD">
      <w:trPr>
        <w:trHeight w:val="142"/>
        <w:jc w:val="center"/>
      </w:trPr>
      <w:tc>
        <w:tcPr>
          <w:tcW w:w="1803" w:type="dxa"/>
          <w:vAlign w:val="center"/>
        </w:tcPr>
        <w:p w14:paraId="727FD637" w14:textId="696C90B6" w:rsidR="00EE49E8" w:rsidRDefault="00EE49E8" w:rsidP="00EE49E8">
          <w:pPr>
            <w:pStyle w:val="Header"/>
            <w:jc w:val="left"/>
            <w:rPr>
              <w:noProof/>
            </w:rPr>
          </w:pPr>
        </w:p>
      </w:tc>
      <w:tc>
        <w:tcPr>
          <w:tcW w:w="8261" w:type="dxa"/>
        </w:tcPr>
        <w:p w14:paraId="2D49E76E" w14:textId="529A1D66"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891503">
            <w:rPr>
              <w:bCs/>
            </w:rPr>
            <w:t>COP</w:t>
          </w:r>
          <w:r w:rsidR="00A52C84">
            <w:rPr>
              <w:bCs/>
            </w:rPr>
            <w:t>-</w:t>
          </w:r>
          <w:r w:rsidR="00BC54CD">
            <w:rPr>
              <w:bCs/>
            </w:rPr>
            <w:t>2</w:t>
          </w:r>
          <w:r w:rsidR="00225FA7">
            <w:rPr>
              <w:bCs/>
            </w:rPr>
            <w:t>1</w:t>
          </w:r>
          <w:r w:rsidR="00A52C84" w:rsidRPr="00623AE3">
            <w:rPr>
              <w:bCs/>
            </w:rPr>
            <w:t>/</w:t>
          </w:r>
          <w:r w:rsidR="00866F4F">
            <w:rPr>
              <w:bCs/>
            </w:rPr>
            <w:t>INF/</w:t>
          </w:r>
          <w:r w:rsidR="00B471FC">
            <w:rPr>
              <w:bCs/>
            </w:rPr>
            <w:t>13</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68C83E22" w:rsidR="00EE49E8" w:rsidRDefault="00A52C84" w:rsidP="00EE49E8">
          <w:pPr>
            <w:pStyle w:val="Header"/>
            <w:jc w:val="left"/>
            <w:rPr>
              <w:noProof/>
            </w:rPr>
          </w:pPr>
          <w:r w:rsidRPr="009C253A">
            <w:rPr>
              <w:color w:val="0070C0"/>
            </w:rPr>
            <w:t>https://</w:t>
          </w:r>
          <w:proofErr w:type="spellStart"/>
          <w:r w:rsidRPr="009C253A">
            <w:rPr>
              <w:color w:val="0070C0"/>
            </w:rPr>
            <w:t>council.itu.int</w:t>
          </w:r>
          <w:proofErr w:type="spellEnd"/>
          <w:r w:rsidRPr="009C253A">
            <w:rPr>
              <w:color w:val="0070C0"/>
            </w:rPr>
            <w:t>/working-groups</w:t>
          </w:r>
        </w:p>
      </w:tc>
      <w:tc>
        <w:tcPr>
          <w:tcW w:w="6957" w:type="dxa"/>
        </w:tcPr>
        <w:p w14:paraId="3F62E0D8" w14:textId="2A843379"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891503">
            <w:rPr>
              <w:bCs/>
            </w:rPr>
            <w:t>COP</w:t>
          </w:r>
          <w:r w:rsidR="00A52C84">
            <w:rPr>
              <w:bCs/>
            </w:rPr>
            <w:t>-</w:t>
          </w:r>
          <w:r w:rsidR="00BC54CD">
            <w:rPr>
              <w:bCs/>
            </w:rPr>
            <w:t>2</w:t>
          </w:r>
          <w:r w:rsidR="00225FA7">
            <w:rPr>
              <w:bCs/>
            </w:rPr>
            <w:t>1</w:t>
          </w:r>
          <w:r w:rsidRPr="00623AE3">
            <w:rPr>
              <w:bCs/>
            </w:rPr>
            <w:t>/</w:t>
          </w:r>
          <w:r w:rsidR="00866F4F">
            <w:rPr>
              <w:bCs/>
            </w:rPr>
            <w:t>INF/</w:t>
          </w:r>
          <w:r w:rsidR="00B471FC">
            <w:rPr>
              <w:bCs/>
            </w:rPr>
            <w:t>13</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FF31F" w14:textId="77777777" w:rsidR="00411413" w:rsidRDefault="00411413">
      <w:r>
        <w:t>____________________</w:t>
      </w:r>
    </w:p>
  </w:footnote>
  <w:footnote w:type="continuationSeparator" w:id="0">
    <w:p w14:paraId="6E4C98C2" w14:textId="77777777" w:rsidR="00411413" w:rsidRDefault="00411413">
      <w:r>
        <w:continuationSeparator/>
      </w:r>
    </w:p>
  </w:footnote>
  <w:footnote w:id="1">
    <w:p w14:paraId="223FBFFD" w14:textId="25A53F4B" w:rsidR="00552FCF" w:rsidRPr="00121910" w:rsidRDefault="00552FCF" w:rsidP="00121910">
      <w:pPr>
        <w:pStyle w:val="FootnoteText"/>
        <w:jc w:val="both"/>
        <w:rPr>
          <w:lang w:val="en-US"/>
        </w:rPr>
      </w:pPr>
      <w:r w:rsidRPr="00995300">
        <w:rPr>
          <w:rStyle w:val="FootnoteReference"/>
          <w:szCs w:val="16"/>
        </w:rPr>
        <w:footnoteRef/>
      </w:r>
      <w:r w:rsidRPr="003A7924">
        <w:t xml:space="preserve"> </w:t>
      </w:r>
      <w:r w:rsidR="00B471FC">
        <w:tab/>
      </w:r>
      <w:r w:rsidRPr="00B471FC">
        <w:t xml:space="preserve">E. </w:t>
      </w:r>
      <w:r w:rsidRPr="00121910">
        <w:t>Vogels</w:t>
      </w:r>
      <w:r w:rsidRPr="00B471FC">
        <w:t xml:space="preserve">, Pew Research </w:t>
      </w:r>
      <w:proofErr w:type="spellStart"/>
      <w:r w:rsidRPr="00B471FC">
        <w:t>Center</w:t>
      </w:r>
      <w:proofErr w:type="spellEnd"/>
      <w:r w:rsidRPr="00B471FC">
        <w:t>, “Teens and Cyberbullying 2022” (December 2022)</w:t>
      </w:r>
      <w:r w:rsidR="003A7924" w:rsidRPr="00B471FC">
        <w:t>,</w:t>
      </w:r>
      <w:r w:rsidR="009025FF" w:rsidRPr="00B471FC">
        <w:t xml:space="preserve"> </w:t>
      </w:r>
      <w:hyperlink r:id="rId1" w:history="1">
        <w:r w:rsidR="009025FF" w:rsidRPr="00121910">
          <w:rPr>
            <w:rStyle w:val="Hyperlink"/>
          </w:rPr>
          <w:t>https://www.pewresearch.org/internet/2022/12/15/teens-and-cyberbullying-2022/</w:t>
        </w:r>
      </w:hyperlink>
      <w:r w:rsidR="009025FF" w:rsidRPr="00121910">
        <w:t xml:space="preserve">. </w:t>
      </w:r>
    </w:p>
  </w:footnote>
  <w:footnote w:id="2">
    <w:p w14:paraId="79627C87" w14:textId="3DE27175" w:rsidR="00A5094E" w:rsidRPr="00A5094E" w:rsidRDefault="00A5094E" w:rsidP="00121910">
      <w:pPr>
        <w:pStyle w:val="FootnoteText"/>
        <w:jc w:val="both"/>
        <w:rPr>
          <w:lang w:val="en-US"/>
        </w:rPr>
      </w:pPr>
      <w:r w:rsidRPr="00121910">
        <w:rPr>
          <w:rStyle w:val="FootnoteReference"/>
        </w:rPr>
        <w:footnoteRef/>
      </w:r>
      <w:r w:rsidR="00121910">
        <w:tab/>
      </w:r>
      <w:r w:rsidRPr="00A5094E">
        <w:t xml:space="preserve">R. </w:t>
      </w:r>
      <w:r w:rsidRPr="00121910">
        <w:t>Gladden</w:t>
      </w:r>
      <w:r w:rsidRPr="00A5094E">
        <w:t xml:space="preserve">, A. Vivolo-Kantor, M. Hamburger, and C. Lumpkin, "Bullying Surveillance Among Youths: Uniform Definitions for Public Health and Recommended Data Elements, Version 1.0," Atlanta, GA: National </w:t>
      </w:r>
      <w:proofErr w:type="spellStart"/>
      <w:r w:rsidRPr="00A5094E">
        <w:t>Center</w:t>
      </w:r>
      <w:proofErr w:type="spellEnd"/>
      <w:r w:rsidRPr="00A5094E">
        <w:t xml:space="preserve"> for Injury Prevention and Control, CDC; (2014)</w:t>
      </w:r>
      <w:r>
        <w:t>.</w:t>
      </w:r>
    </w:p>
  </w:footnote>
  <w:footnote w:id="3">
    <w:p w14:paraId="60DAA412" w14:textId="1D73CBF0" w:rsidR="00C9028F" w:rsidRPr="00BA6DD2" w:rsidRDefault="00C9028F" w:rsidP="00121910">
      <w:pPr>
        <w:pStyle w:val="FootnoteText"/>
        <w:jc w:val="both"/>
        <w:rPr>
          <w:lang w:val="en-US"/>
        </w:rPr>
      </w:pPr>
      <w:r w:rsidRPr="00995300">
        <w:rPr>
          <w:rStyle w:val="FootnoteReference"/>
          <w:szCs w:val="16"/>
        </w:rPr>
        <w:footnoteRef/>
      </w:r>
      <w:r w:rsidR="00121910">
        <w:tab/>
      </w:r>
      <w:r w:rsidRPr="00BA6DD2">
        <w:t xml:space="preserve">S. Sumner, B. Ferguson, B. Bason, J. Dink, E. Yard, M. Hertz, B. Hilkert, K. Holland, M. Mercado-Crespo, S. Tang, and C. Jones, "Association of Online Risk Factors with Subsequent Youth Suicide-Related </w:t>
      </w:r>
      <w:proofErr w:type="spellStart"/>
      <w:r w:rsidRPr="00BA6DD2">
        <w:t>Behaviors</w:t>
      </w:r>
      <w:proofErr w:type="spellEnd"/>
      <w:r w:rsidRPr="00BA6DD2">
        <w:t xml:space="preserve"> in the US," JAMA Network Open, 4(9):</w:t>
      </w:r>
      <w:proofErr w:type="spellStart"/>
      <w:r w:rsidRPr="00BA6DD2">
        <w:t>e2125860</w:t>
      </w:r>
      <w:proofErr w:type="spellEnd"/>
      <w:r w:rsidRPr="00BA6DD2">
        <w:t xml:space="preserve">. </w:t>
      </w:r>
      <w:proofErr w:type="spellStart"/>
      <w:r w:rsidRPr="00BA6DD2">
        <w:t>doi</w:t>
      </w:r>
      <w:proofErr w:type="spellEnd"/>
      <w:r w:rsidRPr="00BA6DD2">
        <w:t>: 10.1001/</w:t>
      </w:r>
      <w:proofErr w:type="spellStart"/>
      <w:r w:rsidRPr="00BA6DD2">
        <w:t>jamanetworkopen.2021.25860</w:t>
      </w:r>
      <w:proofErr w:type="spellEnd"/>
      <w:r w:rsidR="009514B0" w:rsidRPr="00BA6DD2">
        <w:t>.</w:t>
      </w:r>
    </w:p>
  </w:footnote>
  <w:footnote w:id="4">
    <w:p w14:paraId="6C2BE78F" w14:textId="367BD19B" w:rsidR="00BA6DD2" w:rsidRPr="00BA6DD2" w:rsidRDefault="00BA6DD2" w:rsidP="00121910">
      <w:pPr>
        <w:pStyle w:val="FootnoteText"/>
        <w:jc w:val="both"/>
        <w:rPr>
          <w:lang w:val="en-US"/>
        </w:rPr>
      </w:pPr>
      <w:r w:rsidRPr="00995300">
        <w:rPr>
          <w:rStyle w:val="FootnoteReference"/>
          <w:szCs w:val="16"/>
        </w:rPr>
        <w:footnoteRef/>
      </w:r>
      <w:r w:rsidR="00121910">
        <w:tab/>
      </w:r>
      <w:r w:rsidRPr="00BA6DD2">
        <w:t xml:space="preserve">H. Clayton, G. Kilmer, S. </w:t>
      </w:r>
      <w:proofErr w:type="spellStart"/>
      <w:r w:rsidRPr="00BA6DD2">
        <w:t>DeGue</w:t>
      </w:r>
      <w:proofErr w:type="spellEnd"/>
      <w:r w:rsidRPr="00BA6DD2">
        <w:t xml:space="preserve">, L. Estefan, V. Le, N. Suarez, B. Lyons, and J. Thornton, "Dating Violence, Sexual Violence, and Bullying Victimization among High School Students – Youth Risk </w:t>
      </w:r>
      <w:proofErr w:type="spellStart"/>
      <w:r w:rsidRPr="00BA6DD2">
        <w:t>Behavior</w:t>
      </w:r>
      <w:proofErr w:type="spellEnd"/>
      <w:r w:rsidRPr="00BA6DD2">
        <w:t xml:space="preserve"> Survey," United States, (2021): </w:t>
      </w:r>
      <w:proofErr w:type="spellStart"/>
      <w:r w:rsidRPr="00BA6DD2">
        <w:t>MMWR</w:t>
      </w:r>
      <w:proofErr w:type="spellEnd"/>
      <w:r w:rsidRPr="00BA6DD2">
        <w:t xml:space="preserve"> supp. 2023:72(1).</w:t>
      </w:r>
    </w:p>
  </w:footnote>
  <w:footnote w:id="5">
    <w:p w14:paraId="0E09BDC2" w14:textId="4C410AB9" w:rsidR="002E009A" w:rsidRPr="00121910" w:rsidRDefault="002E009A" w:rsidP="00121910">
      <w:pPr>
        <w:pStyle w:val="FootnoteText"/>
      </w:pPr>
      <w:r w:rsidRPr="00B0773D">
        <w:rPr>
          <w:rStyle w:val="FootnoteReference"/>
          <w:szCs w:val="16"/>
        </w:rPr>
        <w:footnoteRef/>
      </w:r>
      <w:r w:rsidR="00121910">
        <w:rPr>
          <w:i/>
          <w:iCs/>
          <w:lang w:val="en-US"/>
        </w:rPr>
        <w:tab/>
      </w:r>
      <w:r w:rsidR="00B0773D" w:rsidRPr="00B0773D">
        <w:rPr>
          <w:i/>
          <w:iCs/>
          <w:lang w:val="en-US"/>
        </w:rPr>
        <w:t>Supra</w:t>
      </w:r>
      <w:r w:rsidR="00B0773D" w:rsidRPr="00B0773D">
        <w:rPr>
          <w:lang w:val="en-US"/>
        </w:rPr>
        <w:t xml:space="preserve"> n.</w:t>
      </w:r>
      <w:r w:rsidR="00C06D50">
        <w:rPr>
          <w:lang w:val="en-US"/>
        </w:rPr>
        <w:t xml:space="preserve"> </w:t>
      </w:r>
      <w:r w:rsidR="00B0773D" w:rsidRPr="00B0773D">
        <w:rPr>
          <w:lang w:val="en-US"/>
        </w:rPr>
        <w:t>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1"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68692"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6E7DF"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0A619833"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5567BC">
                            <w:rPr>
                              <w:b/>
                              <w:bCs/>
                              <w:szCs w:val="24"/>
                            </w:rPr>
                            <w:t>child online protection</w:t>
                          </w:r>
                          <w:r>
                            <w:br/>
                          </w:r>
                          <w:r w:rsidR="00BC54CD">
                            <w:rPr>
                              <w:sz w:val="20"/>
                            </w:rPr>
                            <w:t>Twent</w:t>
                          </w:r>
                          <w:r w:rsidR="00225FA7">
                            <w:rPr>
                              <w:sz w:val="20"/>
                            </w:rPr>
                            <w:t>y-first</w:t>
                          </w:r>
                          <w:r w:rsidRPr="00130599">
                            <w:rPr>
                              <w:sz w:val="20"/>
                            </w:rPr>
                            <w:t xml:space="preserve"> meeting </w:t>
                          </w:r>
                          <w:r w:rsidR="00225FA7">
                            <w:rPr>
                              <w:sz w:val="20"/>
                            </w:rPr>
                            <w:t>–</w:t>
                          </w:r>
                          <w:r w:rsidR="00B358B2">
                            <w:rPr>
                              <w:sz w:val="20"/>
                            </w:rPr>
                            <w:t xml:space="preserve"> </w:t>
                          </w:r>
                          <w:r w:rsidR="00B45936">
                            <w:rPr>
                              <w:sz w:val="20"/>
                            </w:rPr>
                            <w:t xml:space="preserve">From </w:t>
                          </w:r>
                          <w:r w:rsidR="00225FA7">
                            <w:rPr>
                              <w:sz w:val="20"/>
                            </w:rPr>
                            <w:t>30 September</w:t>
                          </w:r>
                          <w:r w:rsidR="00B45936">
                            <w:rPr>
                              <w:sz w:val="20"/>
                            </w:rPr>
                            <w:t xml:space="preserve"> (p.m.) to </w:t>
                          </w:r>
                          <w:r w:rsidR="00225FA7">
                            <w:rPr>
                              <w:sz w:val="20"/>
                            </w:rPr>
                            <w:t>1 October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0A619833"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5567BC">
                      <w:rPr>
                        <w:b/>
                        <w:bCs/>
                        <w:szCs w:val="24"/>
                      </w:rPr>
                      <w:t>child online protection</w:t>
                    </w:r>
                    <w:r>
                      <w:br/>
                    </w:r>
                    <w:r w:rsidR="00BC54CD">
                      <w:rPr>
                        <w:sz w:val="20"/>
                      </w:rPr>
                      <w:t>Twent</w:t>
                    </w:r>
                    <w:r w:rsidR="00225FA7">
                      <w:rPr>
                        <w:sz w:val="20"/>
                      </w:rPr>
                      <w:t>y-first</w:t>
                    </w:r>
                    <w:r w:rsidRPr="00130599">
                      <w:rPr>
                        <w:sz w:val="20"/>
                      </w:rPr>
                      <w:t xml:space="preserve"> meeting </w:t>
                    </w:r>
                    <w:r w:rsidR="00225FA7">
                      <w:rPr>
                        <w:sz w:val="20"/>
                      </w:rPr>
                      <w:t>–</w:t>
                    </w:r>
                    <w:r w:rsidR="00B358B2">
                      <w:rPr>
                        <w:sz w:val="20"/>
                      </w:rPr>
                      <w:t xml:space="preserve"> </w:t>
                    </w:r>
                    <w:r w:rsidR="00B45936">
                      <w:rPr>
                        <w:sz w:val="20"/>
                      </w:rPr>
                      <w:t xml:space="preserve">From </w:t>
                    </w:r>
                    <w:r w:rsidR="00225FA7">
                      <w:rPr>
                        <w:sz w:val="20"/>
                      </w:rPr>
                      <w:t>30 September</w:t>
                    </w:r>
                    <w:r w:rsidR="00B45936">
                      <w:rPr>
                        <w:sz w:val="20"/>
                      </w:rPr>
                      <w:t xml:space="preserve"> (p.m.) to </w:t>
                    </w:r>
                    <w:r w:rsidR="00225FA7">
                      <w:rPr>
                        <w:sz w:val="20"/>
                      </w:rPr>
                      <w:t>1 October 2024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1A8F"/>
    <w:rsid w:val="00004FEE"/>
    <w:rsid w:val="000154E1"/>
    <w:rsid w:val="000210D4"/>
    <w:rsid w:val="00022CD5"/>
    <w:rsid w:val="000404A0"/>
    <w:rsid w:val="00041DBD"/>
    <w:rsid w:val="00063016"/>
    <w:rsid w:val="00066795"/>
    <w:rsid w:val="00076AF6"/>
    <w:rsid w:val="00085518"/>
    <w:rsid w:val="000859C4"/>
    <w:rsid w:val="00085CF2"/>
    <w:rsid w:val="000B1705"/>
    <w:rsid w:val="000C388C"/>
    <w:rsid w:val="000D2579"/>
    <w:rsid w:val="000D75B2"/>
    <w:rsid w:val="00100E7E"/>
    <w:rsid w:val="001121F5"/>
    <w:rsid w:val="00121910"/>
    <w:rsid w:val="00130599"/>
    <w:rsid w:val="00135A2A"/>
    <w:rsid w:val="00140021"/>
    <w:rsid w:val="001400DC"/>
    <w:rsid w:val="00140CE1"/>
    <w:rsid w:val="00143359"/>
    <w:rsid w:val="00160B8A"/>
    <w:rsid w:val="00161D95"/>
    <w:rsid w:val="0017539C"/>
    <w:rsid w:val="00175AC2"/>
    <w:rsid w:val="0017609F"/>
    <w:rsid w:val="00183302"/>
    <w:rsid w:val="00186C8D"/>
    <w:rsid w:val="001A7D1D"/>
    <w:rsid w:val="001B0A89"/>
    <w:rsid w:val="001B2429"/>
    <w:rsid w:val="001B51DD"/>
    <w:rsid w:val="001C628E"/>
    <w:rsid w:val="001E0F7B"/>
    <w:rsid w:val="001E0FBE"/>
    <w:rsid w:val="001E6729"/>
    <w:rsid w:val="002119FD"/>
    <w:rsid w:val="002130E0"/>
    <w:rsid w:val="00225FA7"/>
    <w:rsid w:val="00230C91"/>
    <w:rsid w:val="00235FB4"/>
    <w:rsid w:val="002412D1"/>
    <w:rsid w:val="00241A03"/>
    <w:rsid w:val="00242137"/>
    <w:rsid w:val="00244F7F"/>
    <w:rsid w:val="00251EEF"/>
    <w:rsid w:val="00264425"/>
    <w:rsid w:val="0026561F"/>
    <w:rsid w:val="00265875"/>
    <w:rsid w:val="0027303B"/>
    <w:rsid w:val="0028109B"/>
    <w:rsid w:val="00283C18"/>
    <w:rsid w:val="002A2188"/>
    <w:rsid w:val="002A2EAE"/>
    <w:rsid w:val="002B1F58"/>
    <w:rsid w:val="002C1C7A"/>
    <w:rsid w:val="002C54E2"/>
    <w:rsid w:val="002E009A"/>
    <w:rsid w:val="002E2B96"/>
    <w:rsid w:val="002E5586"/>
    <w:rsid w:val="00301121"/>
    <w:rsid w:val="0030160F"/>
    <w:rsid w:val="00304A4A"/>
    <w:rsid w:val="003169B5"/>
    <w:rsid w:val="00320223"/>
    <w:rsid w:val="00322D0D"/>
    <w:rsid w:val="003263F4"/>
    <w:rsid w:val="00341E53"/>
    <w:rsid w:val="0035238C"/>
    <w:rsid w:val="00361465"/>
    <w:rsid w:val="003721B4"/>
    <w:rsid w:val="003877F5"/>
    <w:rsid w:val="00393D77"/>
    <w:rsid w:val="00394091"/>
    <w:rsid w:val="003942D4"/>
    <w:rsid w:val="003958A8"/>
    <w:rsid w:val="003A7924"/>
    <w:rsid w:val="003C2533"/>
    <w:rsid w:val="003C2FDF"/>
    <w:rsid w:val="003D5A7F"/>
    <w:rsid w:val="003D62E0"/>
    <w:rsid w:val="003D7929"/>
    <w:rsid w:val="003E2F84"/>
    <w:rsid w:val="003F7227"/>
    <w:rsid w:val="004016E2"/>
    <w:rsid w:val="0040435A"/>
    <w:rsid w:val="00411413"/>
    <w:rsid w:val="00416A24"/>
    <w:rsid w:val="00426BE4"/>
    <w:rsid w:val="00431C22"/>
    <w:rsid w:val="00431D9E"/>
    <w:rsid w:val="00433CE8"/>
    <w:rsid w:val="00434A5C"/>
    <w:rsid w:val="004544D9"/>
    <w:rsid w:val="00472BAD"/>
    <w:rsid w:val="00474CAD"/>
    <w:rsid w:val="00482538"/>
    <w:rsid w:val="00484009"/>
    <w:rsid w:val="00490E72"/>
    <w:rsid w:val="00491157"/>
    <w:rsid w:val="004921C8"/>
    <w:rsid w:val="00495B0B"/>
    <w:rsid w:val="004A1B8B"/>
    <w:rsid w:val="004A48CE"/>
    <w:rsid w:val="004A4B1F"/>
    <w:rsid w:val="004C4617"/>
    <w:rsid w:val="004D12F8"/>
    <w:rsid w:val="004D1851"/>
    <w:rsid w:val="004D599D"/>
    <w:rsid w:val="004E2EA5"/>
    <w:rsid w:val="004E3AEB"/>
    <w:rsid w:val="004E6A40"/>
    <w:rsid w:val="0050223C"/>
    <w:rsid w:val="00511829"/>
    <w:rsid w:val="005217BD"/>
    <w:rsid w:val="005243FF"/>
    <w:rsid w:val="00535243"/>
    <w:rsid w:val="00551A4F"/>
    <w:rsid w:val="00552FCF"/>
    <w:rsid w:val="0055394F"/>
    <w:rsid w:val="005567BC"/>
    <w:rsid w:val="00556F9C"/>
    <w:rsid w:val="0055725D"/>
    <w:rsid w:val="00564FBC"/>
    <w:rsid w:val="00565825"/>
    <w:rsid w:val="005720E1"/>
    <w:rsid w:val="005800BC"/>
    <w:rsid w:val="00582442"/>
    <w:rsid w:val="00585A01"/>
    <w:rsid w:val="00596E0B"/>
    <w:rsid w:val="005971F7"/>
    <w:rsid w:val="005A09BB"/>
    <w:rsid w:val="005A335D"/>
    <w:rsid w:val="005C6067"/>
    <w:rsid w:val="005D0992"/>
    <w:rsid w:val="005E2BD5"/>
    <w:rsid w:val="005E7836"/>
    <w:rsid w:val="005E7F24"/>
    <w:rsid w:val="005F3269"/>
    <w:rsid w:val="00610DC7"/>
    <w:rsid w:val="006133D2"/>
    <w:rsid w:val="00614893"/>
    <w:rsid w:val="0062110A"/>
    <w:rsid w:val="00623AE3"/>
    <w:rsid w:val="00626B82"/>
    <w:rsid w:val="0064737F"/>
    <w:rsid w:val="006535F1"/>
    <w:rsid w:val="0065557D"/>
    <w:rsid w:val="00660D50"/>
    <w:rsid w:val="00662984"/>
    <w:rsid w:val="00665F78"/>
    <w:rsid w:val="006716BB"/>
    <w:rsid w:val="00692646"/>
    <w:rsid w:val="006B1859"/>
    <w:rsid w:val="006B22F7"/>
    <w:rsid w:val="006B4C3E"/>
    <w:rsid w:val="006B6680"/>
    <w:rsid w:val="006B6DCC"/>
    <w:rsid w:val="006E7833"/>
    <w:rsid w:val="006F51D6"/>
    <w:rsid w:val="00702DEF"/>
    <w:rsid w:val="00705C88"/>
    <w:rsid w:val="00706861"/>
    <w:rsid w:val="00713CF2"/>
    <w:rsid w:val="00714B14"/>
    <w:rsid w:val="00725477"/>
    <w:rsid w:val="00733151"/>
    <w:rsid w:val="0075051B"/>
    <w:rsid w:val="00775655"/>
    <w:rsid w:val="0077749D"/>
    <w:rsid w:val="0078169E"/>
    <w:rsid w:val="007821BB"/>
    <w:rsid w:val="00786ACF"/>
    <w:rsid w:val="00793188"/>
    <w:rsid w:val="00794D34"/>
    <w:rsid w:val="007A035F"/>
    <w:rsid w:val="007A0C04"/>
    <w:rsid w:val="007C01B5"/>
    <w:rsid w:val="007C419D"/>
    <w:rsid w:val="007C5173"/>
    <w:rsid w:val="007C5352"/>
    <w:rsid w:val="007C7623"/>
    <w:rsid w:val="007D39B6"/>
    <w:rsid w:val="007E3FB3"/>
    <w:rsid w:val="00803A4E"/>
    <w:rsid w:val="00813E5E"/>
    <w:rsid w:val="00814D1F"/>
    <w:rsid w:val="0083581B"/>
    <w:rsid w:val="00845C60"/>
    <w:rsid w:val="008544B9"/>
    <w:rsid w:val="00854BE3"/>
    <w:rsid w:val="00855069"/>
    <w:rsid w:val="00863874"/>
    <w:rsid w:val="0086393E"/>
    <w:rsid w:val="00864AFF"/>
    <w:rsid w:val="00865925"/>
    <w:rsid w:val="00866F4F"/>
    <w:rsid w:val="008708FE"/>
    <w:rsid w:val="00883A59"/>
    <w:rsid w:val="00891503"/>
    <w:rsid w:val="00891EEB"/>
    <w:rsid w:val="008A567C"/>
    <w:rsid w:val="008A7041"/>
    <w:rsid w:val="008B4A6A"/>
    <w:rsid w:val="008C1445"/>
    <w:rsid w:val="008C5907"/>
    <w:rsid w:val="008C7E27"/>
    <w:rsid w:val="008D0DDE"/>
    <w:rsid w:val="008E1A73"/>
    <w:rsid w:val="008E6167"/>
    <w:rsid w:val="008F1232"/>
    <w:rsid w:val="008F5A6C"/>
    <w:rsid w:val="008F7448"/>
    <w:rsid w:val="0090147A"/>
    <w:rsid w:val="009025FF"/>
    <w:rsid w:val="00903E4F"/>
    <w:rsid w:val="00905CEB"/>
    <w:rsid w:val="009150DB"/>
    <w:rsid w:val="009173EF"/>
    <w:rsid w:val="009177C8"/>
    <w:rsid w:val="00924238"/>
    <w:rsid w:val="00932906"/>
    <w:rsid w:val="0093609B"/>
    <w:rsid w:val="00943A1B"/>
    <w:rsid w:val="009514B0"/>
    <w:rsid w:val="0095233B"/>
    <w:rsid w:val="0095364A"/>
    <w:rsid w:val="00955751"/>
    <w:rsid w:val="00961B0B"/>
    <w:rsid w:val="009622D8"/>
    <w:rsid w:val="00962D33"/>
    <w:rsid w:val="00983F9B"/>
    <w:rsid w:val="00995300"/>
    <w:rsid w:val="009A0C91"/>
    <w:rsid w:val="009A52CF"/>
    <w:rsid w:val="009B26C4"/>
    <w:rsid w:val="009B38C3"/>
    <w:rsid w:val="009C253A"/>
    <w:rsid w:val="009C2EB7"/>
    <w:rsid w:val="009D60ED"/>
    <w:rsid w:val="009E17BD"/>
    <w:rsid w:val="009E485A"/>
    <w:rsid w:val="009E5C7B"/>
    <w:rsid w:val="009F07C4"/>
    <w:rsid w:val="009F28B3"/>
    <w:rsid w:val="00A04CEC"/>
    <w:rsid w:val="00A27F92"/>
    <w:rsid w:val="00A32257"/>
    <w:rsid w:val="00A36D20"/>
    <w:rsid w:val="00A5094E"/>
    <w:rsid w:val="00A514A4"/>
    <w:rsid w:val="00A52C84"/>
    <w:rsid w:val="00A55622"/>
    <w:rsid w:val="00A5645A"/>
    <w:rsid w:val="00A6223F"/>
    <w:rsid w:val="00A83502"/>
    <w:rsid w:val="00A85311"/>
    <w:rsid w:val="00AB677B"/>
    <w:rsid w:val="00AC29B5"/>
    <w:rsid w:val="00AD15B3"/>
    <w:rsid w:val="00AD3606"/>
    <w:rsid w:val="00AD4A3D"/>
    <w:rsid w:val="00AE08A1"/>
    <w:rsid w:val="00AF2085"/>
    <w:rsid w:val="00AF278B"/>
    <w:rsid w:val="00AF6E49"/>
    <w:rsid w:val="00B04A67"/>
    <w:rsid w:val="00B0583C"/>
    <w:rsid w:val="00B0773D"/>
    <w:rsid w:val="00B270EE"/>
    <w:rsid w:val="00B358B2"/>
    <w:rsid w:val="00B40A81"/>
    <w:rsid w:val="00B44910"/>
    <w:rsid w:val="00B45936"/>
    <w:rsid w:val="00B471FC"/>
    <w:rsid w:val="00B547E8"/>
    <w:rsid w:val="00B556FB"/>
    <w:rsid w:val="00B571DC"/>
    <w:rsid w:val="00B64669"/>
    <w:rsid w:val="00B72267"/>
    <w:rsid w:val="00B768FA"/>
    <w:rsid w:val="00B76EB6"/>
    <w:rsid w:val="00B7737B"/>
    <w:rsid w:val="00B824C8"/>
    <w:rsid w:val="00B84B9D"/>
    <w:rsid w:val="00BA6DD2"/>
    <w:rsid w:val="00BB5EC7"/>
    <w:rsid w:val="00BC251A"/>
    <w:rsid w:val="00BC3F65"/>
    <w:rsid w:val="00BC54CD"/>
    <w:rsid w:val="00BC6146"/>
    <w:rsid w:val="00BD032B"/>
    <w:rsid w:val="00BD1611"/>
    <w:rsid w:val="00BE0761"/>
    <w:rsid w:val="00BE2640"/>
    <w:rsid w:val="00BE428C"/>
    <w:rsid w:val="00BF40B8"/>
    <w:rsid w:val="00BF74CF"/>
    <w:rsid w:val="00C01189"/>
    <w:rsid w:val="00C06D50"/>
    <w:rsid w:val="00C10F2C"/>
    <w:rsid w:val="00C220C8"/>
    <w:rsid w:val="00C237E2"/>
    <w:rsid w:val="00C31B13"/>
    <w:rsid w:val="00C3635C"/>
    <w:rsid w:val="00C374DE"/>
    <w:rsid w:val="00C454A0"/>
    <w:rsid w:val="00C47AD4"/>
    <w:rsid w:val="00C52D81"/>
    <w:rsid w:val="00C55198"/>
    <w:rsid w:val="00C65A10"/>
    <w:rsid w:val="00C83925"/>
    <w:rsid w:val="00C9028F"/>
    <w:rsid w:val="00CA293A"/>
    <w:rsid w:val="00CA6393"/>
    <w:rsid w:val="00CA722F"/>
    <w:rsid w:val="00CB01A2"/>
    <w:rsid w:val="00CB18FF"/>
    <w:rsid w:val="00CB3C47"/>
    <w:rsid w:val="00CB5BBB"/>
    <w:rsid w:val="00CB795C"/>
    <w:rsid w:val="00CD0C08"/>
    <w:rsid w:val="00CE03FB"/>
    <w:rsid w:val="00CE433C"/>
    <w:rsid w:val="00CF0161"/>
    <w:rsid w:val="00CF33E1"/>
    <w:rsid w:val="00CF33F3"/>
    <w:rsid w:val="00D04162"/>
    <w:rsid w:val="00D06183"/>
    <w:rsid w:val="00D16EB0"/>
    <w:rsid w:val="00D2000C"/>
    <w:rsid w:val="00D22C42"/>
    <w:rsid w:val="00D403C0"/>
    <w:rsid w:val="00D422AA"/>
    <w:rsid w:val="00D458FB"/>
    <w:rsid w:val="00D464CC"/>
    <w:rsid w:val="00D53D34"/>
    <w:rsid w:val="00D54EC4"/>
    <w:rsid w:val="00D65041"/>
    <w:rsid w:val="00D6654F"/>
    <w:rsid w:val="00D86936"/>
    <w:rsid w:val="00DA2EF4"/>
    <w:rsid w:val="00DA683C"/>
    <w:rsid w:val="00DB00D5"/>
    <w:rsid w:val="00DB1936"/>
    <w:rsid w:val="00DB2E9F"/>
    <w:rsid w:val="00DB384B"/>
    <w:rsid w:val="00DB398C"/>
    <w:rsid w:val="00DB4778"/>
    <w:rsid w:val="00DF0189"/>
    <w:rsid w:val="00DF3682"/>
    <w:rsid w:val="00E06FD5"/>
    <w:rsid w:val="00E10E80"/>
    <w:rsid w:val="00E124F0"/>
    <w:rsid w:val="00E227F3"/>
    <w:rsid w:val="00E305BF"/>
    <w:rsid w:val="00E4167B"/>
    <w:rsid w:val="00E545C6"/>
    <w:rsid w:val="00E558F9"/>
    <w:rsid w:val="00E559EF"/>
    <w:rsid w:val="00E60F04"/>
    <w:rsid w:val="00E64CC9"/>
    <w:rsid w:val="00E65472"/>
    <w:rsid w:val="00E65B24"/>
    <w:rsid w:val="00E713A6"/>
    <w:rsid w:val="00E75756"/>
    <w:rsid w:val="00E854E4"/>
    <w:rsid w:val="00E86DBF"/>
    <w:rsid w:val="00E9463B"/>
    <w:rsid w:val="00EB0D6F"/>
    <w:rsid w:val="00EB0E36"/>
    <w:rsid w:val="00EB2232"/>
    <w:rsid w:val="00EB5155"/>
    <w:rsid w:val="00EC122A"/>
    <w:rsid w:val="00EC52BA"/>
    <w:rsid w:val="00EC5337"/>
    <w:rsid w:val="00ED454D"/>
    <w:rsid w:val="00EE0347"/>
    <w:rsid w:val="00EE1F55"/>
    <w:rsid w:val="00EE49E8"/>
    <w:rsid w:val="00EF6ED3"/>
    <w:rsid w:val="00F0400D"/>
    <w:rsid w:val="00F0719E"/>
    <w:rsid w:val="00F16BAB"/>
    <w:rsid w:val="00F2150A"/>
    <w:rsid w:val="00F231D8"/>
    <w:rsid w:val="00F23533"/>
    <w:rsid w:val="00F41345"/>
    <w:rsid w:val="00F44C00"/>
    <w:rsid w:val="00F45D2C"/>
    <w:rsid w:val="00F46C5F"/>
    <w:rsid w:val="00F46E72"/>
    <w:rsid w:val="00F632C0"/>
    <w:rsid w:val="00F647CF"/>
    <w:rsid w:val="00F65B9F"/>
    <w:rsid w:val="00F66763"/>
    <w:rsid w:val="00F74694"/>
    <w:rsid w:val="00F879CB"/>
    <w:rsid w:val="00F94A63"/>
    <w:rsid w:val="00FA1C28"/>
    <w:rsid w:val="00FA3A94"/>
    <w:rsid w:val="00FB1279"/>
    <w:rsid w:val="00FB44C4"/>
    <w:rsid w:val="00FB6B76"/>
    <w:rsid w:val="00FB7596"/>
    <w:rsid w:val="00FC4E94"/>
    <w:rsid w:val="00FD1AB4"/>
    <w:rsid w:val="00FD29D3"/>
    <w:rsid w:val="00FE4077"/>
    <w:rsid w:val="00FE500D"/>
    <w:rsid w:val="00FE77D2"/>
    <w:rsid w:val="00FF36CB"/>
    <w:rsid w:val="00FF5766"/>
    <w:rsid w:val="00FF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C2D2E01C-FFDA-430E-B244-E2187AD4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121910"/>
    <w:pPr>
      <w:keepLines/>
      <w:tabs>
        <w:tab w:val="left" w:pos="256"/>
      </w:tabs>
      <w:ind w:left="256" w:hanging="256"/>
    </w:pPr>
    <w:rPr>
      <w:sz w:val="22"/>
      <w:szCs w:val="22"/>
    </w:r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F0400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C83925"/>
    <w:rPr>
      <w:color w:val="605E5C"/>
      <w:shd w:val="clear" w:color="auto" w:fill="E1DFDD"/>
    </w:rPr>
  </w:style>
  <w:style w:type="character" w:styleId="CommentReference">
    <w:name w:val="annotation reference"/>
    <w:basedOn w:val="DefaultParagraphFont"/>
    <w:semiHidden/>
    <w:unhideWhenUsed/>
    <w:rsid w:val="000C388C"/>
    <w:rPr>
      <w:sz w:val="16"/>
      <w:szCs w:val="16"/>
    </w:rPr>
  </w:style>
  <w:style w:type="paragraph" w:styleId="CommentText">
    <w:name w:val="annotation text"/>
    <w:basedOn w:val="Normal"/>
    <w:link w:val="CommentTextChar"/>
    <w:unhideWhenUsed/>
    <w:rsid w:val="000C388C"/>
    <w:rPr>
      <w:sz w:val="20"/>
    </w:rPr>
  </w:style>
  <w:style w:type="character" w:customStyle="1" w:styleId="CommentTextChar">
    <w:name w:val="Comment Text Char"/>
    <w:basedOn w:val="DefaultParagraphFont"/>
    <w:link w:val="CommentText"/>
    <w:rsid w:val="000C388C"/>
    <w:rPr>
      <w:rFonts w:ascii="Calibri" w:hAnsi="Calibri"/>
      <w:lang w:val="en-GB" w:eastAsia="en-US"/>
    </w:rPr>
  </w:style>
  <w:style w:type="paragraph" w:styleId="CommentSubject">
    <w:name w:val="annotation subject"/>
    <w:basedOn w:val="CommentText"/>
    <w:next w:val="CommentText"/>
    <w:link w:val="CommentSubjectChar"/>
    <w:semiHidden/>
    <w:unhideWhenUsed/>
    <w:rsid w:val="000C388C"/>
    <w:rPr>
      <w:b/>
      <w:bCs/>
    </w:rPr>
  </w:style>
  <w:style w:type="character" w:customStyle="1" w:styleId="CommentSubjectChar">
    <w:name w:val="Comment Subject Char"/>
    <w:basedOn w:val="CommentTextChar"/>
    <w:link w:val="CommentSubject"/>
    <w:semiHidden/>
    <w:rsid w:val="000C388C"/>
    <w:rPr>
      <w:rFonts w:ascii="Calibri" w:hAnsi="Calibr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opBullying.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tia.gov/category/kids-online-health-and-safety/online-health-and-safety-for-children-and-yout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pewresearch.org/internet/2022/12/15/teens-and-cyberbullying-20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D019B-CA5C-4246-AC6C-229E04268F3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3.xml><?xml version="1.0" encoding="utf-8"?>
<ds:datastoreItem xmlns:ds="http://schemas.openxmlformats.org/officeDocument/2006/customXml" ds:itemID="{DAA9514D-C6E4-4908-A5D2-775C7DF71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68875E-BEC1-4E98-8F9F-4634FEB219C2}">
  <ds:schemaRefs>
    <ds:schemaRef ds:uri="http://schemas.microsoft.com/sharepoint/v3/contenttype/forms"/>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56</TotalTime>
  <Pages>4</Pages>
  <Words>1302</Words>
  <Characters>8143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9427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INF doc for COP meeting</dc:title>
  <dc:subject>Council Working Group on Child Onlinie Protection</dc:subject>
  <cp:keywords>CWG-COP, C24, Council-24</cp:keywords>
  <dc:description/>
  <cp:revision>4</cp:revision>
  <dcterms:created xsi:type="dcterms:W3CDTF">2024-09-19T14:02:00Z</dcterms:created>
  <dcterms:modified xsi:type="dcterms:W3CDTF">2024-09-20T08:06:00Z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0x0101001E46BE2403204D4E844191C3480CD35B</vt:lpwstr>
  </property>
  <property fmtid="{D5CDD505-2E9C-101B-9397-08002B2CF9AE}" pid="3" name="MSIP_Label_1665d9ee-429a-4d5f-97cc-cfb56e044a6e_Enabled">
    <vt:lpwstr>true</vt:lpwstr>
  </property>
  <property fmtid="{D5CDD505-2E9C-101B-9397-08002B2CF9AE}" pid="4" name="MSIP_Label_1665d9ee-429a-4d5f-97cc-cfb56e044a6e_SetDate">
    <vt:lpwstr>2024-09-18T18:24:00Z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0728fcb9-e180-462f-8a28-5a6eb805a7a8</vt:lpwstr>
  </property>
  <property fmtid="{D5CDD505-2E9C-101B-9397-08002B2CF9AE}" pid="9" name="MSIP_Label_1665d9ee-429a-4d5f-97cc-cfb56e044a6e_ContentBits">
    <vt:lpwstr>0</vt:lpwstr>
  </property>
</Properties>
</file>