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634BF7" w14:paraId="0043AC80" w14:textId="77777777" w:rsidTr="00AD3606">
        <w:trPr>
          <w:cantSplit/>
          <w:trHeight w:val="23"/>
        </w:trPr>
        <w:tc>
          <w:tcPr>
            <w:tcW w:w="3969" w:type="dxa"/>
            <w:vMerge w:val="restart"/>
            <w:tcMar>
              <w:left w:w="0" w:type="dxa"/>
            </w:tcMar>
          </w:tcPr>
          <w:p w14:paraId="60A806D3" w14:textId="6316C87D" w:rsidR="00AD3606" w:rsidRPr="00E85629"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p>
        </w:tc>
        <w:tc>
          <w:tcPr>
            <w:tcW w:w="5245" w:type="dxa"/>
          </w:tcPr>
          <w:p w14:paraId="291AB2A2" w14:textId="1D811F4C" w:rsidR="00AD3606" w:rsidRPr="00634BF7" w:rsidRDefault="00634BF7" w:rsidP="00472BAD">
            <w:pPr>
              <w:tabs>
                <w:tab w:val="left" w:pos="851"/>
              </w:tabs>
              <w:spacing w:before="0" w:line="240" w:lineRule="atLeast"/>
              <w:jc w:val="right"/>
              <w:rPr>
                <w:b/>
              </w:rPr>
            </w:pPr>
            <w:r w:rsidRPr="00634BF7">
              <w:rPr>
                <w:b/>
              </w:rPr>
              <w:t>Revision 2 to</w:t>
            </w:r>
            <w:r w:rsidRPr="00634BF7">
              <w:rPr>
                <w:b/>
              </w:rPr>
              <w:br/>
            </w:r>
            <w:r w:rsidR="00AD3606" w:rsidRPr="00634BF7">
              <w:rPr>
                <w:b/>
              </w:rPr>
              <w:t>Document C</w:t>
            </w:r>
            <w:r w:rsidR="00A52C84" w:rsidRPr="00634BF7">
              <w:rPr>
                <w:b/>
              </w:rPr>
              <w:t>WG-</w:t>
            </w:r>
            <w:r w:rsidR="00891503" w:rsidRPr="00634BF7">
              <w:rPr>
                <w:b/>
              </w:rPr>
              <w:t>COP</w:t>
            </w:r>
            <w:r w:rsidR="00A52C84" w:rsidRPr="00634BF7">
              <w:rPr>
                <w:b/>
              </w:rPr>
              <w:t>-</w:t>
            </w:r>
            <w:r w:rsidR="00BC54CD" w:rsidRPr="00634BF7">
              <w:rPr>
                <w:b/>
              </w:rPr>
              <w:t>20</w:t>
            </w:r>
            <w:r w:rsidR="00AD3606" w:rsidRPr="00634BF7">
              <w:rPr>
                <w:b/>
              </w:rPr>
              <w:t>/</w:t>
            </w:r>
            <w:r w:rsidR="00DA77B0" w:rsidRPr="00634BF7">
              <w:rPr>
                <w:b/>
              </w:rPr>
              <w:t>3</w:t>
            </w:r>
          </w:p>
        </w:tc>
      </w:tr>
      <w:tr w:rsidR="00AD3606" w:rsidRPr="00813E5E" w14:paraId="789B45BA" w14:textId="77777777" w:rsidTr="00AD3606">
        <w:trPr>
          <w:cantSplit/>
        </w:trPr>
        <w:tc>
          <w:tcPr>
            <w:tcW w:w="3969" w:type="dxa"/>
            <w:vMerge/>
          </w:tcPr>
          <w:p w14:paraId="3F3D4E17" w14:textId="77777777" w:rsidR="00AD3606" w:rsidRPr="00634BF7" w:rsidRDefault="00AD3606" w:rsidP="00AD3606">
            <w:pPr>
              <w:tabs>
                <w:tab w:val="left" w:pos="851"/>
              </w:tabs>
              <w:spacing w:line="240" w:lineRule="atLeast"/>
              <w:rPr>
                <w:b/>
              </w:rPr>
            </w:pPr>
            <w:bookmarkStart w:id="6" w:name="ddate" w:colFirst="1" w:colLast="1"/>
            <w:bookmarkEnd w:id="0"/>
            <w:bookmarkEnd w:id="1"/>
          </w:p>
        </w:tc>
        <w:tc>
          <w:tcPr>
            <w:tcW w:w="5245" w:type="dxa"/>
          </w:tcPr>
          <w:p w14:paraId="2DE9ACEA" w14:textId="0AA093FD" w:rsidR="00AD3606" w:rsidRPr="00E85629" w:rsidRDefault="00634BF7" w:rsidP="00AD3606">
            <w:pPr>
              <w:tabs>
                <w:tab w:val="left" w:pos="851"/>
              </w:tabs>
              <w:spacing w:before="0"/>
              <w:jc w:val="right"/>
              <w:rPr>
                <w:b/>
              </w:rPr>
            </w:pPr>
            <w:r>
              <w:rPr>
                <w:b/>
              </w:rPr>
              <w:t>20 January 2024</w:t>
            </w:r>
          </w:p>
        </w:tc>
      </w:tr>
      <w:tr w:rsidR="00AD3606" w:rsidRPr="00813E5E" w14:paraId="58A84C4A" w14:textId="77777777" w:rsidTr="00AD3606">
        <w:trPr>
          <w:cantSplit/>
          <w:trHeight w:val="23"/>
        </w:trPr>
        <w:tc>
          <w:tcPr>
            <w:tcW w:w="3969" w:type="dxa"/>
            <w:vMerge/>
          </w:tcPr>
          <w:p w14:paraId="77CEDDAA" w14:textId="77777777" w:rsidR="00AD3606" w:rsidRPr="00813E5E" w:rsidRDefault="00AD3606" w:rsidP="00AD3606">
            <w:pPr>
              <w:tabs>
                <w:tab w:val="left" w:pos="851"/>
              </w:tabs>
              <w:spacing w:line="240" w:lineRule="atLeast"/>
              <w:rPr>
                <w:b/>
              </w:rPr>
            </w:pPr>
            <w:bookmarkStart w:id="7" w:name="dorlang" w:colFirst="1" w:colLast="1"/>
            <w:bookmarkEnd w:id="6"/>
          </w:p>
        </w:tc>
        <w:tc>
          <w:tcPr>
            <w:tcW w:w="5245" w:type="dxa"/>
          </w:tcPr>
          <w:p w14:paraId="561AAE94" w14:textId="05CDF347" w:rsidR="00AD3606" w:rsidRPr="00E85629" w:rsidRDefault="00891503" w:rsidP="00AD3606">
            <w:pPr>
              <w:tabs>
                <w:tab w:val="left" w:pos="851"/>
              </w:tabs>
              <w:spacing w:before="0" w:line="240" w:lineRule="atLeast"/>
              <w:jc w:val="right"/>
              <w:rPr>
                <w:b/>
              </w:rPr>
            </w:pPr>
            <w:r>
              <w:rPr>
                <w:b/>
              </w:rPr>
              <w:t>English only</w:t>
            </w:r>
          </w:p>
        </w:tc>
      </w:tr>
      <w:tr w:rsidR="00472BAD" w:rsidRPr="00813E5E" w14:paraId="12C5EF5F" w14:textId="77777777" w:rsidTr="00AD3606">
        <w:trPr>
          <w:cantSplit/>
          <w:trHeight w:val="23"/>
        </w:trPr>
        <w:tc>
          <w:tcPr>
            <w:tcW w:w="3969" w:type="dxa"/>
          </w:tcPr>
          <w:p w14:paraId="4B839BA2" w14:textId="77777777" w:rsidR="00472BAD" w:rsidRPr="00813E5E" w:rsidRDefault="00472BAD" w:rsidP="00AD3606">
            <w:pPr>
              <w:tabs>
                <w:tab w:val="left" w:pos="851"/>
              </w:tabs>
              <w:spacing w:line="240" w:lineRule="atLeast"/>
              <w:rPr>
                <w:b/>
              </w:rPr>
            </w:pPr>
          </w:p>
        </w:tc>
        <w:tc>
          <w:tcPr>
            <w:tcW w:w="5245" w:type="dxa"/>
          </w:tcPr>
          <w:p w14:paraId="12F66D25" w14:textId="77777777" w:rsidR="00472BAD" w:rsidRDefault="00472BAD" w:rsidP="00AD3606">
            <w:pPr>
              <w:tabs>
                <w:tab w:val="left" w:pos="851"/>
              </w:tabs>
              <w:spacing w:before="0" w:line="240" w:lineRule="atLeast"/>
              <w:jc w:val="right"/>
              <w:rPr>
                <w:b/>
              </w:rPr>
            </w:pPr>
          </w:p>
        </w:tc>
      </w:tr>
      <w:tr w:rsidR="00AD3606" w:rsidRPr="00813E5E" w14:paraId="27000B2A" w14:textId="77777777" w:rsidTr="00AD3606">
        <w:trPr>
          <w:cantSplit/>
        </w:trPr>
        <w:tc>
          <w:tcPr>
            <w:tcW w:w="9214" w:type="dxa"/>
            <w:gridSpan w:val="2"/>
            <w:tcMar>
              <w:left w:w="0" w:type="dxa"/>
            </w:tcMar>
          </w:tcPr>
          <w:p w14:paraId="4E7CDB90" w14:textId="40D5151B" w:rsidR="00AD3606" w:rsidRPr="004405AB" w:rsidRDefault="00244F7F" w:rsidP="004405AB">
            <w:pPr>
              <w:pStyle w:val="Source"/>
              <w:framePr w:hSpace="0" w:wrap="auto" w:vAnchor="margin" w:hAnchor="text" w:xAlign="left" w:yAlign="inline"/>
            </w:pPr>
            <w:bookmarkStart w:id="8" w:name="dsource" w:colFirst="0" w:colLast="0"/>
            <w:bookmarkEnd w:id="7"/>
            <w:r w:rsidRPr="004405AB">
              <w:t>Contribution</w:t>
            </w:r>
            <w:r w:rsidR="00AD3606" w:rsidRPr="004405AB">
              <w:t xml:space="preserve"> by</w:t>
            </w:r>
            <w:r w:rsidR="00DA77B0">
              <w:t xml:space="preserve"> </w:t>
            </w:r>
            <w:r w:rsidR="00DA77B0" w:rsidRPr="00DA77B0">
              <w:t>the Philippines</w:t>
            </w:r>
          </w:p>
        </w:tc>
      </w:tr>
      <w:tr w:rsidR="00AD3606" w:rsidRPr="00813E5E" w14:paraId="2340750D" w14:textId="77777777" w:rsidTr="00AD3606">
        <w:trPr>
          <w:cantSplit/>
        </w:trPr>
        <w:tc>
          <w:tcPr>
            <w:tcW w:w="9214" w:type="dxa"/>
            <w:gridSpan w:val="2"/>
            <w:tcMar>
              <w:left w:w="0" w:type="dxa"/>
            </w:tcMar>
          </w:tcPr>
          <w:p w14:paraId="47B91AA8" w14:textId="0C2E99B5" w:rsidR="00AD3606" w:rsidRPr="004405AB" w:rsidRDefault="00DA77B0" w:rsidP="00BE4CF3">
            <w:pPr>
              <w:pStyle w:val="Subtitle"/>
              <w:framePr w:hSpace="0" w:wrap="auto" w:xAlign="left" w:yAlign="inline"/>
            </w:pPr>
            <w:bookmarkStart w:id="9" w:name="dtitle1" w:colFirst="0" w:colLast="0"/>
            <w:bookmarkEnd w:id="8"/>
            <w:r w:rsidRPr="00DA77B0">
              <w:t xml:space="preserve">ENCOURAGING ITU MEMBER STATES AND SECTORAL MEMBERS THROUGH THE ITU TO PRIORITIZE, MAINSTREAM AND STRENGTHEN CHILD ONLINE PROTECTION (COP) </w:t>
            </w:r>
            <w:r w:rsidR="00BE4CF3">
              <w:rPr>
                <w:lang w:val="en-US"/>
              </w:rPr>
              <w:t xml:space="preserve">ACTIVITIES </w:t>
            </w:r>
            <w:r w:rsidRPr="00DA77B0">
              <w:t>BY WAY OF SPECIFIC PROGRAMS SUCH AS CELEBRATION OF GIRLS IN ICT</w:t>
            </w:r>
          </w:p>
        </w:tc>
      </w:tr>
      <w:tr w:rsidR="00AD3606" w:rsidRPr="00813E5E" w14:paraId="1F564D2D" w14:textId="77777777" w:rsidTr="00AD3606">
        <w:trPr>
          <w:cantSplit/>
        </w:trPr>
        <w:tc>
          <w:tcPr>
            <w:tcW w:w="9214" w:type="dxa"/>
            <w:gridSpan w:val="2"/>
            <w:tcBorders>
              <w:top w:val="single" w:sz="4" w:space="0" w:color="auto"/>
              <w:bottom w:val="single" w:sz="4" w:space="0" w:color="auto"/>
            </w:tcBorders>
            <w:tcMar>
              <w:left w:w="0" w:type="dxa"/>
            </w:tcMar>
          </w:tcPr>
          <w:p w14:paraId="7AD73B47" w14:textId="3A59D05A" w:rsidR="00AD3606" w:rsidRPr="00DA77B0" w:rsidRDefault="00F16BAB" w:rsidP="00F16BAB">
            <w:pPr>
              <w:spacing w:before="160"/>
              <w:rPr>
                <w:b/>
                <w:bCs/>
                <w:sz w:val="26"/>
                <w:szCs w:val="26"/>
              </w:rPr>
            </w:pPr>
            <w:r w:rsidRPr="00DA77B0">
              <w:rPr>
                <w:b/>
                <w:bCs/>
                <w:sz w:val="26"/>
                <w:szCs w:val="26"/>
              </w:rPr>
              <w:t>Purpose</w:t>
            </w:r>
          </w:p>
          <w:p w14:paraId="2E09FE8B" w14:textId="3E2B5123" w:rsidR="00AD3606" w:rsidRPr="00DA77B0" w:rsidRDefault="00DA77B0" w:rsidP="00F16BAB">
            <w:r w:rsidRPr="00DA77B0">
              <w:t>The purpose of this document is to encourage Member States and Sector Members through the ITU to prioritize, mainstream and strengthen Child Online Protection (COP) strategic plans, policies, and programs and integrate COP initiatives by way of specific programs such as celebration of Girls in ICT, and others and to pursue collaboration with other Member States pursuant to ITU Resolution 179 (Rev. Bucharest, 202</w:t>
            </w:r>
            <w:r>
              <w:t>2</w:t>
            </w:r>
            <w:r w:rsidRPr="00DA77B0">
              <w:t>) Resolution 67 (WTDC, Kigali, 2022); and Resolution 1306 (C09 modified C15) and other related ITU resolutions</w:t>
            </w:r>
          </w:p>
          <w:p w14:paraId="5076D5C4" w14:textId="28F00572" w:rsidR="00AD3606" w:rsidRPr="00DA77B0" w:rsidRDefault="00AD3606" w:rsidP="00F16BAB">
            <w:pPr>
              <w:spacing w:before="160"/>
              <w:rPr>
                <w:b/>
                <w:bCs/>
                <w:sz w:val="26"/>
                <w:szCs w:val="26"/>
              </w:rPr>
            </w:pPr>
            <w:r w:rsidRPr="00DA77B0">
              <w:rPr>
                <w:b/>
                <w:bCs/>
                <w:sz w:val="26"/>
                <w:szCs w:val="26"/>
              </w:rPr>
              <w:t>Action required</w:t>
            </w:r>
          </w:p>
          <w:p w14:paraId="53A776F1" w14:textId="0E8ABE5D" w:rsidR="00891503" w:rsidRPr="00DA77B0" w:rsidRDefault="00DA77B0" w:rsidP="00F16BAB">
            <w:pPr>
              <w:spacing w:before="160"/>
            </w:pPr>
            <w:r w:rsidRPr="000E41CC">
              <w:rPr>
                <w:szCs w:val="24"/>
              </w:rPr>
              <w:t xml:space="preserve">The </w:t>
            </w:r>
            <w:r>
              <w:rPr>
                <w:szCs w:val="24"/>
              </w:rPr>
              <w:t xml:space="preserve">CWG-COP </w:t>
            </w:r>
            <w:r w:rsidRPr="000E41CC">
              <w:rPr>
                <w:szCs w:val="24"/>
              </w:rPr>
              <w:t xml:space="preserve">is invited to </w:t>
            </w:r>
            <w:r w:rsidRPr="0065470E">
              <w:rPr>
                <w:b/>
                <w:bCs/>
                <w:szCs w:val="24"/>
              </w:rPr>
              <w:t>consider</w:t>
            </w:r>
            <w:r>
              <w:rPr>
                <w:szCs w:val="24"/>
              </w:rPr>
              <w:t xml:space="preserve"> this document and </w:t>
            </w:r>
            <w:r>
              <w:rPr>
                <w:b/>
                <w:szCs w:val="24"/>
              </w:rPr>
              <w:t>endorse</w:t>
            </w:r>
            <w:r w:rsidRPr="000E41CC">
              <w:rPr>
                <w:szCs w:val="24"/>
              </w:rPr>
              <w:t xml:space="preserve"> </w:t>
            </w:r>
            <w:hyperlink w:anchor="Annex" w:history="1">
              <w:r w:rsidRPr="00C0774C">
                <w:rPr>
                  <w:rStyle w:val="Hyperlink"/>
                  <w:szCs w:val="24"/>
                </w:rPr>
                <w:t>Annex A</w:t>
              </w:r>
            </w:hyperlink>
            <w:r>
              <w:rPr>
                <w:szCs w:val="24"/>
              </w:rPr>
              <w:t xml:space="preserve"> of </w:t>
            </w:r>
            <w:r w:rsidRPr="000E41CC">
              <w:rPr>
                <w:szCs w:val="24"/>
              </w:rPr>
              <w:t>this document</w:t>
            </w:r>
            <w:r>
              <w:rPr>
                <w:szCs w:val="24"/>
              </w:rPr>
              <w:t xml:space="preserve"> to ITU Secretariat as </w:t>
            </w:r>
            <w:r w:rsidR="00BE4CF3">
              <w:rPr>
                <w:iCs/>
              </w:rPr>
              <w:t xml:space="preserve">Council </w:t>
            </w:r>
            <w:r>
              <w:rPr>
                <w:iCs/>
              </w:rPr>
              <w:t>Resolution.</w:t>
            </w:r>
          </w:p>
          <w:p w14:paraId="2AAB18B0" w14:textId="53B34B54" w:rsidR="00AD3606" w:rsidRPr="00DA77B0" w:rsidRDefault="00891503" w:rsidP="00891503">
            <w:pPr>
              <w:spacing w:before="160"/>
              <w:rPr>
                <w:caps/>
                <w:sz w:val="22"/>
              </w:rPr>
            </w:pPr>
            <w:r w:rsidRPr="00DA77B0">
              <w:rPr>
                <w:sz w:val="22"/>
              </w:rPr>
              <w:t>__________________</w:t>
            </w:r>
            <w:r w:rsidR="00AD3606" w:rsidRPr="00DA77B0">
              <w:rPr>
                <w:sz w:val="22"/>
              </w:rPr>
              <w:t>__________________</w:t>
            </w:r>
          </w:p>
          <w:p w14:paraId="00DEE14C" w14:textId="77777777" w:rsidR="00AD3606" w:rsidRPr="00DA77B0" w:rsidRDefault="00AD3606" w:rsidP="00F16BAB">
            <w:pPr>
              <w:spacing w:before="160"/>
              <w:rPr>
                <w:b/>
                <w:bCs/>
                <w:sz w:val="26"/>
                <w:szCs w:val="26"/>
              </w:rPr>
            </w:pPr>
            <w:r w:rsidRPr="00DA77B0">
              <w:rPr>
                <w:b/>
                <w:bCs/>
                <w:sz w:val="26"/>
                <w:szCs w:val="26"/>
              </w:rPr>
              <w:t>References</w:t>
            </w:r>
          </w:p>
          <w:p w14:paraId="281D76AF" w14:textId="77777777" w:rsidR="00DA77B0" w:rsidRPr="00DA77B0" w:rsidRDefault="00634BF7" w:rsidP="00DA77B0">
            <w:pPr>
              <w:spacing w:before="60"/>
            </w:pPr>
            <w:hyperlink r:id="rId8" w:history="1">
              <w:r w:rsidR="00DA77B0" w:rsidRPr="00DA77B0">
                <w:rPr>
                  <w:rStyle w:val="Hyperlink"/>
                </w:rPr>
                <w:t xml:space="preserve">Resolution 179 </w:t>
              </w:r>
            </w:hyperlink>
            <w:r w:rsidR="00DA77B0" w:rsidRPr="00DA77B0">
              <w:t>(Rev. Bucharest, 2022) - ITU's role in child online protection</w:t>
            </w:r>
          </w:p>
          <w:p w14:paraId="0D5EE37B" w14:textId="77777777" w:rsidR="00DA77B0" w:rsidRPr="00DA77B0" w:rsidRDefault="00634BF7" w:rsidP="00DA77B0">
            <w:pPr>
              <w:spacing w:before="60"/>
            </w:pPr>
            <w:hyperlink r:id="rId9" w:history="1">
              <w:r w:rsidR="00DA77B0" w:rsidRPr="00DA77B0">
                <w:rPr>
                  <w:rStyle w:val="Hyperlink"/>
                </w:rPr>
                <w:t>Resolution 67</w:t>
              </w:r>
            </w:hyperlink>
            <w:r w:rsidR="00DA77B0" w:rsidRPr="00DA77B0">
              <w:t xml:space="preserve"> (WTDC, Kigali, 2022) - The role of the ITU Telecommunication Development Sector in child online protection</w:t>
            </w:r>
          </w:p>
          <w:p w14:paraId="0175CD6C" w14:textId="0C49993D" w:rsidR="00AD3606" w:rsidRDefault="00634BF7" w:rsidP="00DA77B0">
            <w:pPr>
              <w:spacing w:before="60" w:after="160"/>
            </w:pPr>
            <w:hyperlink r:id="rId10" w:history="1">
              <w:r w:rsidR="00DA77B0" w:rsidRPr="00DA77B0">
                <w:rPr>
                  <w:rStyle w:val="Hyperlink"/>
                </w:rPr>
                <w:t>Resolution 1306</w:t>
              </w:r>
            </w:hyperlink>
            <w:r w:rsidR="00DA77B0" w:rsidRPr="00DA77B0">
              <w:t xml:space="preserve"> Council Res 1306 (C09 Modified C15) - Council Working Group on Child Online Protection</w:t>
            </w:r>
          </w:p>
        </w:tc>
      </w:tr>
      <w:bookmarkEnd w:id="2"/>
      <w:bookmarkEnd w:id="3"/>
      <w:bookmarkEnd w:id="4"/>
      <w:bookmarkEnd w:id="5"/>
      <w:bookmarkEnd w:id="9"/>
    </w:tbl>
    <w:p w14:paraId="6EAFCD34" w14:textId="77777777" w:rsidR="00634BF7" w:rsidRDefault="00634BF7" w:rsidP="00DA77B0">
      <w:pPr>
        <w:tabs>
          <w:tab w:val="clear" w:pos="567"/>
          <w:tab w:val="clear" w:pos="1134"/>
          <w:tab w:val="clear" w:pos="1701"/>
          <w:tab w:val="clear" w:pos="2268"/>
          <w:tab w:val="clear" w:pos="2835"/>
        </w:tabs>
        <w:overflowPunct/>
        <w:autoSpaceDE/>
        <w:autoSpaceDN/>
        <w:adjustRightInd/>
        <w:spacing w:after="120"/>
        <w:textAlignment w:val="auto"/>
        <w:rPr>
          <w:rFonts w:eastAsia="Calibri" w:cs="Calibri"/>
          <w:b/>
          <w:szCs w:val="24"/>
        </w:rPr>
      </w:pPr>
    </w:p>
    <w:p w14:paraId="2D633B91" w14:textId="77777777" w:rsidR="00634BF7" w:rsidRDefault="00634BF7">
      <w:pPr>
        <w:tabs>
          <w:tab w:val="clear" w:pos="567"/>
          <w:tab w:val="clear" w:pos="1134"/>
          <w:tab w:val="clear" w:pos="1701"/>
          <w:tab w:val="clear" w:pos="2268"/>
          <w:tab w:val="clear" w:pos="2835"/>
        </w:tabs>
        <w:overflowPunct/>
        <w:autoSpaceDE/>
        <w:autoSpaceDN/>
        <w:adjustRightInd/>
        <w:spacing w:before="0"/>
        <w:textAlignment w:val="auto"/>
        <w:rPr>
          <w:rFonts w:eastAsia="Calibri" w:cs="Calibri"/>
          <w:b/>
          <w:szCs w:val="24"/>
        </w:rPr>
      </w:pPr>
      <w:r>
        <w:rPr>
          <w:rFonts w:eastAsia="Calibri" w:cs="Calibri"/>
          <w:b/>
          <w:szCs w:val="24"/>
        </w:rPr>
        <w:br w:type="page"/>
      </w:r>
    </w:p>
    <w:p w14:paraId="40B4757E" w14:textId="696045D0" w:rsidR="00DA77B0" w:rsidRPr="00DA77B0" w:rsidRDefault="00DA77B0" w:rsidP="00DA77B0">
      <w:pPr>
        <w:tabs>
          <w:tab w:val="clear" w:pos="567"/>
          <w:tab w:val="clear" w:pos="1134"/>
          <w:tab w:val="clear" w:pos="1701"/>
          <w:tab w:val="clear" w:pos="2268"/>
          <w:tab w:val="clear" w:pos="2835"/>
        </w:tabs>
        <w:overflowPunct/>
        <w:autoSpaceDE/>
        <w:autoSpaceDN/>
        <w:adjustRightInd/>
        <w:spacing w:after="120"/>
        <w:textAlignment w:val="auto"/>
        <w:rPr>
          <w:b/>
        </w:rPr>
      </w:pPr>
      <w:r w:rsidRPr="004767C7">
        <w:rPr>
          <w:rFonts w:eastAsia="Calibri" w:cs="Calibri"/>
          <w:b/>
          <w:szCs w:val="24"/>
        </w:rPr>
        <w:t>Introduction</w:t>
      </w:r>
    </w:p>
    <w:p w14:paraId="660C4108" w14:textId="77777777" w:rsidR="00DA77B0" w:rsidRDefault="00DA77B0" w:rsidP="00DA77B0">
      <w:pPr>
        <w:overflowPunct/>
        <w:autoSpaceDE/>
        <w:autoSpaceDN/>
        <w:adjustRightInd/>
        <w:spacing w:after="120"/>
        <w:jc w:val="both"/>
        <w:textAlignment w:val="auto"/>
        <w:rPr>
          <w:rFonts w:eastAsia="Calibri" w:cs="Calibri"/>
          <w:bCs/>
          <w:szCs w:val="24"/>
        </w:rPr>
      </w:pPr>
      <w:r w:rsidRPr="00E378FA">
        <w:rPr>
          <w:rFonts w:eastAsia="Calibri" w:cs="Calibri"/>
          <w:bCs/>
          <w:szCs w:val="24"/>
        </w:rPr>
        <w:t>The United Nations Convention on the Rights of the Child (UN CRC) recognizes that children are an especially vulnerable group and upholds children’s rights in the digital environment as per the principles set by the UN CRC General Comment No. 25 (2021) on children’s rights in relation to the digital environment.</w:t>
      </w:r>
    </w:p>
    <w:p w14:paraId="328D74B2" w14:textId="77777777" w:rsidR="00DA77B0" w:rsidRDefault="00DA77B0" w:rsidP="00DA77B0">
      <w:pPr>
        <w:overflowPunct/>
        <w:autoSpaceDE/>
        <w:autoSpaceDN/>
        <w:adjustRightInd/>
        <w:spacing w:after="120"/>
        <w:jc w:val="both"/>
        <w:textAlignment w:val="auto"/>
        <w:rPr>
          <w:rFonts w:eastAsia="Calibri" w:cs="Calibri"/>
          <w:bCs/>
          <w:szCs w:val="24"/>
        </w:rPr>
      </w:pPr>
      <w:r w:rsidRPr="00E378FA">
        <w:rPr>
          <w:rFonts w:eastAsia="Calibri" w:cs="Calibri"/>
          <w:bCs/>
          <w:szCs w:val="24"/>
        </w:rPr>
        <w:t xml:space="preserve">The 2020 UNICEF Report on Protecting Children Online shows that at the global level, one-in-three Internet users is a child under 18 years of age. Over a billion and a half children were </w:t>
      </w:r>
      <w:r w:rsidRPr="00E378FA">
        <w:rPr>
          <w:rFonts w:eastAsia="Calibri" w:cs="Calibri"/>
          <w:bCs/>
          <w:szCs w:val="24"/>
        </w:rPr>
        <w:lastRenderedPageBreak/>
        <w:t xml:space="preserve">affected by the closure of educational institutions at the peak of the COVID-19 crisis in 2020. Some 80 percent of children in 25 countries report feeling in danger of sexual abuse or exploitation online. In 2020, National </w:t>
      </w:r>
      <w:proofErr w:type="spellStart"/>
      <w:r w:rsidRPr="00E378FA">
        <w:rPr>
          <w:rFonts w:eastAsia="Calibri" w:cs="Calibri"/>
          <w:bCs/>
          <w:szCs w:val="24"/>
        </w:rPr>
        <w:t>Center</w:t>
      </w:r>
      <w:proofErr w:type="spellEnd"/>
      <w:r w:rsidRPr="00E378FA">
        <w:rPr>
          <w:rFonts w:eastAsia="Calibri" w:cs="Calibri"/>
          <w:bCs/>
          <w:szCs w:val="24"/>
        </w:rPr>
        <w:t xml:space="preserve"> for Missing and Exploited Children (NCMEC) </w:t>
      </w:r>
      <w:proofErr w:type="spellStart"/>
      <w:r w:rsidRPr="00E378FA">
        <w:rPr>
          <w:rFonts w:eastAsia="Calibri" w:cs="Calibri"/>
          <w:bCs/>
          <w:szCs w:val="24"/>
        </w:rPr>
        <w:t>CyberTipline</w:t>
      </w:r>
      <w:proofErr w:type="spellEnd"/>
      <w:r w:rsidRPr="00E378FA">
        <w:rPr>
          <w:rFonts w:eastAsia="Calibri" w:cs="Calibri"/>
          <w:bCs/>
          <w:szCs w:val="24"/>
        </w:rPr>
        <w:t xml:space="preserve"> received 21.7 million reports of suspected child sexual abuse material (CSAM), an increase of 28 percent from 2019.</w:t>
      </w:r>
    </w:p>
    <w:p w14:paraId="7DE698A4" w14:textId="77777777" w:rsidR="00DA77B0" w:rsidRDefault="00DA77B0" w:rsidP="00DA77B0">
      <w:pPr>
        <w:overflowPunct/>
        <w:autoSpaceDE/>
        <w:autoSpaceDN/>
        <w:adjustRightInd/>
        <w:spacing w:before="240" w:after="120"/>
        <w:jc w:val="both"/>
        <w:textAlignment w:val="auto"/>
        <w:rPr>
          <w:rFonts w:eastAsia="Calibri" w:cs="Calibri"/>
          <w:b/>
          <w:szCs w:val="24"/>
        </w:rPr>
      </w:pPr>
      <w:r w:rsidRPr="000E41CC">
        <w:rPr>
          <w:rFonts w:eastAsia="Calibri" w:cs="Calibri"/>
          <w:b/>
          <w:szCs w:val="24"/>
        </w:rPr>
        <w:t>Proposal</w:t>
      </w:r>
    </w:p>
    <w:p w14:paraId="0BA38C83" w14:textId="77777777" w:rsidR="00DA77B0" w:rsidRPr="00B505FA" w:rsidRDefault="00DA77B0" w:rsidP="00DA77B0">
      <w:pPr>
        <w:pStyle w:val="ListParagraph"/>
        <w:numPr>
          <w:ilvl w:val="0"/>
          <w:numId w:val="2"/>
        </w:numPr>
        <w:spacing w:before="160" w:after="120"/>
        <w:ind w:left="425" w:hanging="426"/>
        <w:contextualSpacing w:val="0"/>
        <w:rPr>
          <w:i/>
          <w:iCs/>
        </w:rPr>
      </w:pPr>
      <w:r w:rsidRPr="00B505FA">
        <w:rPr>
          <w:i/>
          <w:iCs/>
        </w:rPr>
        <w:t>to encourage the implementation of programs and policies on COP through the regional initiatives and discussion at the Regional Development Forums;</w:t>
      </w:r>
    </w:p>
    <w:p w14:paraId="16BE5B89" w14:textId="77777777" w:rsidR="00DA77B0" w:rsidRDefault="00DA77B0" w:rsidP="00DA77B0">
      <w:pPr>
        <w:tabs>
          <w:tab w:val="clear" w:pos="567"/>
        </w:tabs>
        <w:overflowPunct/>
        <w:autoSpaceDE/>
        <w:autoSpaceDN/>
        <w:adjustRightInd/>
        <w:spacing w:after="120"/>
        <w:ind w:left="425"/>
        <w:jc w:val="both"/>
        <w:textAlignment w:val="auto"/>
        <w:rPr>
          <w:rFonts w:eastAsia="Calibri" w:cs="Calibri"/>
          <w:szCs w:val="24"/>
        </w:rPr>
      </w:pPr>
      <w:r>
        <w:rPr>
          <w:rFonts w:eastAsia="Calibri" w:cs="Calibri"/>
          <w:szCs w:val="24"/>
        </w:rPr>
        <w:t>To</w:t>
      </w:r>
      <w:r w:rsidRPr="000E41CC">
        <w:rPr>
          <w:rFonts w:eastAsia="Calibri" w:cs="Calibri"/>
          <w:szCs w:val="24"/>
        </w:rPr>
        <w:t xml:space="preserve"> effectively respond to online risks and harms for children, an inclusive multi-stakeholder national child online protection strategy</w:t>
      </w:r>
      <w:r>
        <w:rPr>
          <w:rFonts w:eastAsia="Calibri" w:cs="Calibri"/>
          <w:szCs w:val="24"/>
        </w:rPr>
        <w:t xml:space="preserve"> should </w:t>
      </w:r>
      <w:r w:rsidRPr="000E41CC">
        <w:rPr>
          <w:rFonts w:eastAsia="Calibri" w:cs="Calibri"/>
          <w:szCs w:val="24"/>
        </w:rPr>
        <w:t xml:space="preserve">include the </w:t>
      </w:r>
      <w:r>
        <w:rPr>
          <w:rFonts w:eastAsia="Calibri" w:cs="Calibri"/>
          <w:szCs w:val="24"/>
        </w:rPr>
        <w:t xml:space="preserve">review of existing COP initiatives as well as the </w:t>
      </w:r>
      <w:r w:rsidRPr="000E41CC">
        <w:rPr>
          <w:rFonts w:eastAsia="Calibri" w:cs="Calibri"/>
          <w:szCs w:val="24"/>
        </w:rPr>
        <w:t>development of new plans, programs, and policies.</w:t>
      </w:r>
      <w:r>
        <w:rPr>
          <w:rFonts w:eastAsia="Calibri" w:cs="Calibri"/>
          <w:szCs w:val="24"/>
        </w:rPr>
        <w:t xml:space="preserve"> </w:t>
      </w:r>
      <w:r w:rsidRPr="000E41CC">
        <w:rPr>
          <w:rFonts w:eastAsia="Calibri" w:cs="Calibri"/>
          <w:szCs w:val="24"/>
        </w:rPr>
        <w:t xml:space="preserve">Furthermore, a review of the existing legal framework is also recommended to ensure that it adheres to global standards </w:t>
      </w:r>
      <w:r>
        <w:rPr>
          <w:rFonts w:eastAsia="Calibri" w:cs="Calibri"/>
          <w:szCs w:val="24"/>
        </w:rPr>
        <w:t xml:space="preserve">in coordination with relevant UN organizations </w:t>
      </w:r>
      <w:r w:rsidRPr="000E41CC">
        <w:rPr>
          <w:rFonts w:eastAsia="Calibri" w:cs="Calibri"/>
          <w:szCs w:val="24"/>
        </w:rPr>
        <w:t xml:space="preserve">for the protection of children from all risks and potential harms that aim to ensure a safe, inclusive, and empowering digital environment. </w:t>
      </w:r>
    </w:p>
    <w:p w14:paraId="2DAC0EC7" w14:textId="77777777" w:rsidR="00DA77B0" w:rsidRPr="00B505FA" w:rsidRDefault="00DA77B0" w:rsidP="00DA77B0">
      <w:pPr>
        <w:pStyle w:val="ListParagraph"/>
        <w:numPr>
          <w:ilvl w:val="0"/>
          <w:numId w:val="2"/>
        </w:numPr>
        <w:tabs>
          <w:tab w:val="clear" w:pos="567"/>
        </w:tabs>
        <w:spacing w:before="160" w:after="120"/>
        <w:ind w:left="425" w:hanging="426"/>
        <w:contextualSpacing w:val="0"/>
        <w:rPr>
          <w:i/>
          <w:iCs/>
        </w:rPr>
      </w:pPr>
      <w:r w:rsidRPr="00411FDA">
        <w:rPr>
          <w:i/>
          <w:iCs/>
        </w:rPr>
        <w:t>to utilize the Girls in ICT celebrations as platforms to promote awareness among girls and young women about the risks of online abuse and exploitation through the integration of COP discussions in all Girls in ICT celebrations of ITU Member States;</w:t>
      </w:r>
    </w:p>
    <w:p w14:paraId="208226D0" w14:textId="77777777" w:rsidR="00DA77B0" w:rsidRDefault="00DA77B0" w:rsidP="00DA77B0">
      <w:pPr>
        <w:pStyle w:val="ListParagraph"/>
        <w:spacing w:after="120"/>
        <w:ind w:left="425"/>
        <w:contextualSpacing w:val="0"/>
        <w:jc w:val="both"/>
      </w:pPr>
      <w:r w:rsidRPr="009B5C62">
        <w:t>With over 377,000 girls and young women who have taken part in more than 11,400 International Girls in ICT Day celebrations in 171 countries, the Girls in ICT is an effective global campaign to promote gender equality and uphold the rights of children against online sexual abuse and exploitation</w:t>
      </w:r>
      <w:r>
        <w:t xml:space="preserve"> </w:t>
      </w:r>
      <w:r w:rsidRPr="00702735">
        <w:t xml:space="preserve">since its institutionalization has already reached a significant number of girls and young women since its inception in 2011. </w:t>
      </w:r>
    </w:p>
    <w:p w14:paraId="786C4FB8" w14:textId="77777777" w:rsidR="00DA77B0" w:rsidRPr="00B505FA" w:rsidRDefault="00DA77B0" w:rsidP="00DA77B0">
      <w:pPr>
        <w:pStyle w:val="ListParagraph"/>
        <w:numPr>
          <w:ilvl w:val="0"/>
          <w:numId w:val="2"/>
        </w:numPr>
        <w:spacing w:before="160" w:after="120"/>
        <w:ind w:left="425" w:hanging="426"/>
        <w:contextualSpacing w:val="0"/>
        <w:rPr>
          <w:i/>
          <w:iCs/>
        </w:rPr>
      </w:pPr>
      <w:r w:rsidRPr="00B505FA">
        <w:rPr>
          <w:i/>
          <w:iCs/>
        </w:rPr>
        <w:t>to continuously assess the impact of integrating COP discussions into Girls in ICT initiatives and include the report to be presented at CWG-COP.</w:t>
      </w:r>
    </w:p>
    <w:p w14:paraId="6F1B58CC" w14:textId="3FB477F1" w:rsidR="00DA77B0" w:rsidRPr="00B505FA" w:rsidRDefault="00DA77B0" w:rsidP="00DA77B0">
      <w:pPr>
        <w:pStyle w:val="ListParagraph"/>
        <w:spacing w:after="120"/>
        <w:ind w:left="425"/>
        <w:contextualSpacing w:val="0"/>
      </w:pPr>
      <w:r>
        <w:t>To maximize the potential of Girls in ICT as an effective advocacy strategy to make a cybersafe community for children, a periodic review shall be made which result shall be presented at the CWG-COP meetings.</w:t>
      </w:r>
    </w:p>
    <w:p w14:paraId="02AA979C" w14:textId="77777777" w:rsidR="00DA77B0" w:rsidRPr="00411FDA" w:rsidRDefault="00DA77B0" w:rsidP="00DA77B0">
      <w:pPr>
        <w:spacing w:before="240" w:after="120"/>
        <w:jc w:val="both"/>
        <w:rPr>
          <w:rFonts w:eastAsia="Calibri"/>
          <w:b/>
        </w:rPr>
      </w:pPr>
      <w:r w:rsidRPr="009B5C62">
        <w:rPr>
          <w:rFonts w:eastAsia="Calibri"/>
          <w:b/>
        </w:rPr>
        <w:t>Recommendation</w:t>
      </w:r>
    </w:p>
    <w:p w14:paraId="6586FE5B" w14:textId="77777777" w:rsidR="00DA77B0" w:rsidRDefault="00DA77B0" w:rsidP="00DA77B0">
      <w:pPr>
        <w:overflowPunct/>
        <w:autoSpaceDE/>
        <w:autoSpaceDN/>
        <w:adjustRightInd/>
        <w:spacing w:after="120"/>
        <w:jc w:val="both"/>
        <w:textAlignment w:val="auto"/>
        <w:rPr>
          <w:rFonts w:eastAsia="Calibri" w:cs="Calibri"/>
          <w:szCs w:val="24"/>
        </w:rPr>
      </w:pPr>
      <w:r w:rsidRPr="000E41CC">
        <w:rPr>
          <w:rFonts w:eastAsia="Calibri" w:cs="Calibri"/>
          <w:szCs w:val="24"/>
        </w:rPr>
        <w:t xml:space="preserve">The </w:t>
      </w:r>
      <w:r>
        <w:rPr>
          <w:rFonts w:eastAsia="Calibri" w:cs="Calibri"/>
          <w:szCs w:val="24"/>
        </w:rPr>
        <w:t xml:space="preserve">CWG-COP </w:t>
      </w:r>
      <w:r w:rsidRPr="000E41CC">
        <w:rPr>
          <w:rFonts w:eastAsia="Calibri" w:cs="Calibri"/>
          <w:szCs w:val="24"/>
        </w:rPr>
        <w:t>is invited to</w:t>
      </w:r>
      <w:r>
        <w:rPr>
          <w:rFonts w:eastAsia="Calibri" w:cs="Calibri"/>
          <w:szCs w:val="24"/>
        </w:rPr>
        <w:t xml:space="preserve">: </w:t>
      </w:r>
    </w:p>
    <w:p w14:paraId="06D8DC3B" w14:textId="5F134029" w:rsidR="00DA77B0" w:rsidRPr="0065513A" w:rsidRDefault="00DA77B0" w:rsidP="00DA77B0">
      <w:pPr>
        <w:pStyle w:val="ListParagraph"/>
        <w:numPr>
          <w:ilvl w:val="0"/>
          <w:numId w:val="3"/>
        </w:numPr>
        <w:tabs>
          <w:tab w:val="clear" w:pos="567"/>
        </w:tabs>
        <w:spacing w:after="120"/>
        <w:ind w:left="426" w:hanging="426"/>
        <w:contextualSpacing w:val="0"/>
        <w:jc w:val="both"/>
      </w:pPr>
      <w:r w:rsidRPr="0065470E">
        <w:rPr>
          <w:iCs/>
        </w:rPr>
        <w:t xml:space="preserve">endorse the attached resolution in Annex A as CWG-COP Committee </w:t>
      </w:r>
      <w:r>
        <w:rPr>
          <w:iCs/>
        </w:rPr>
        <w:t>R</w:t>
      </w:r>
      <w:r w:rsidRPr="0065470E">
        <w:rPr>
          <w:iCs/>
        </w:rPr>
        <w:t xml:space="preserve">esolution </w:t>
      </w:r>
      <w:r>
        <w:rPr>
          <w:iCs/>
        </w:rPr>
        <w:t>that can be adopted by</w:t>
      </w:r>
      <w:r w:rsidRPr="0065470E">
        <w:rPr>
          <w:iCs/>
        </w:rPr>
        <w:t xml:space="preserve"> ITU </w:t>
      </w:r>
      <w:r>
        <w:rPr>
          <w:iCs/>
        </w:rPr>
        <w:t>Council in its next meeting subject to discussion of the Member States;</w:t>
      </w:r>
    </w:p>
    <w:p w14:paraId="48856E84" w14:textId="3465E669" w:rsidR="00DA77B0" w:rsidRDefault="00DA77B0" w:rsidP="00DA77B0">
      <w:pPr>
        <w:pStyle w:val="ListParagraph"/>
        <w:numPr>
          <w:ilvl w:val="0"/>
          <w:numId w:val="3"/>
        </w:numPr>
        <w:tabs>
          <w:tab w:val="clear" w:pos="567"/>
        </w:tabs>
        <w:spacing w:after="120"/>
        <w:ind w:left="426" w:hanging="426"/>
        <w:contextualSpacing w:val="0"/>
        <w:jc w:val="both"/>
      </w:pPr>
      <w:r w:rsidRPr="004767C7">
        <w:t>encourag</w:t>
      </w:r>
      <w:r>
        <w:t xml:space="preserve">e </w:t>
      </w:r>
      <w:r w:rsidRPr="004767C7">
        <w:t xml:space="preserve">Member States and Sector Members through the </w:t>
      </w:r>
      <w:r>
        <w:t>ITU</w:t>
      </w:r>
      <w:r w:rsidRPr="004767C7">
        <w:t xml:space="preserve"> to</w:t>
      </w:r>
      <w:r>
        <w:t xml:space="preserve">: </w:t>
      </w:r>
    </w:p>
    <w:p w14:paraId="41EDA8CD" w14:textId="77777777" w:rsidR="00DA77B0" w:rsidRDefault="00DA77B0" w:rsidP="00DA77B0">
      <w:pPr>
        <w:pStyle w:val="ListParagraph"/>
        <w:numPr>
          <w:ilvl w:val="1"/>
          <w:numId w:val="3"/>
        </w:numPr>
        <w:tabs>
          <w:tab w:val="clear" w:pos="567"/>
        </w:tabs>
        <w:spacing w:after="120"/>
        <w:ind w:left="851" w:hanging="425"/>
        <w:contextualSpacing w:val="0"/>
        <w:jc w:val="both"/>
      </w:pPr>
      <w:r w:rsidRPr="004767C7">
        <w:t xml:space="preserve">prioritize, mainstream and strengthen </w:t>
      </w:r>
      <w:r>
        <w:t>COP</w:t>
      </w:r>
      <w:r w:rsidRPr="004767C7">
        <w:t xml:space="preserve"> strategic plans, policies, and programs</w:t>
      </w:r>
      <w:r>
        <w:t>;</w:t>
      </w:r>
    </w:p>
    <w:p w14:paraId="55719B0F" w14:textId="77777777" w:rsidR="00DA77B0" w:rsidRDefault="00DA77B0" w:rsidP="00DA77B0">
      <w:pPr>
        <w:pStyle w:val="ListParagraph"/>
        <w:numPr>
          <w:ilvl w:val="1"/>
          <w:numId w:val="3"/>
        </w:numPr>
        <w:tabs>
          <w:tab w:val="clear" w:pos="567"/>
        </w:tabs>
        <w:spacing w:after="120"/>
        <w:ind w:left="851" w:hanging="425"/>
        <w:contextualSpacing w:val="0"/>
        <w:jc w:val="both"/>
      </w:pPr>
      <w:r w:rsidRPr="004767C7">
        <w:t xml:space="preserve">integrate </w:t>
      </w:r>
      <w:r>
        <w:t>COP</w:t>
      </w:r>
      <w:r w:rsidRPr="004767C7">
        <w:t xml:space="preserve"> initiatives </w:t>
      </w:r>
      <w:r>
        <w:t xml:space="preserve">through </w:t>
      </w:r>
      <w:r w:rsidRPr="004767C7">
        <w:t xml:space="preserve">specific programs such as celebration of </w:t>
      </w:r>
      <w:r>
        <w:t>G</w:t>
      </w:r>
      <w:r w:rsidRPr="004767C7">
        <w:t xml:space="preserve">irls in </w:t>
      </w:r>
      <w:r>
        <w:t>ICT</w:t>
      </w:r>
      <w:r w:rsidRPr="004767C7">
        <w:t>, and others</w:t>
      </w:r>
      <w:r>
        <w:t>;</w:t>
      </w:r>
    </w:p>
    <w:p w14:paraId="1BCBA8A9" w14:textId="77777777" w:rsidR="00C0774C" w:rsidRDefault="00DA77B0" w:rsidP="00DA77B0">
      <w:pPr>
        <w:pStyle w:val="ListParagraph"/>
        <w:numPr>
          <w:ilvl w:val="1"/>
          <w:numId w:val="3"/>
        </w:numPr>
        <w:tabs>
          <w:tab w:val="clear" w:pos="567"/>
        </w:tabs>
        <w:spacing w:after="120"/>
        <w:ind w:left="851" w:hanging="425"/>
        <w:contextualSpacing w:val="0"/>
        <w:jc w:val="both"/>
      </w:pPr>
      <w:r w:rsidRPr="004767C7">
        <w:t>to pursue collaboration with other Member States</w:t>
      </w:r>
    </w:p>
    <w:p w14:paraId="02567F72" w14:textId="5255F5C4" w:rsidR="00DA77B0" w:rsidRPr="00B14219" w:rsidRDefault="00C0774C" w:rsidP="00634BF7">
      <w:pPr>
        <w:tabs>
          <w:tab w:val="clear" w:pos="567"/>
        </w:tabs>
        <w:spacing w:before="2040" w:after="120"/>
        <w:jc w:val="both"/>
      </w:pPr>
      <w:r w:rsidRPr="00C0774C">
        <w:rPr>
          <w:b/>
          <w:bCs/>
          <w:i/>
          <w:iCs/>
          <w:sz w:val="22"/>
          <w:szCs w:val="22"/>
        </w:rPr>
        <w:lastRenderedPageBreak/>
        <w:t>Annex: 1</w:t>
      </w:r>
      <w:r w:rsidR="00DA77B0" w:rsidRPr="00C0774C">
        <w:rPr>
          <w:b/>
          <w:bCs/>
          <w:sz w:val="22"/>
          <w:szCs w:val="22"/>
        </w:rPr>
        <w:br w:type="page"/>
      </w:r>
    </w:p>
    <w:p w14:paraId="4B63E898" w14:textId="77777777" w:rsidR="00DA77B0" w:rsidRPr="00DA77B0" w:rsidRDefault="00DA77B0" w:rsidP="00C0774C">
      <w:pPr>
        <w:pStyle w:val="AnnexNo"/>
        <w:spacing w:before="120"/>
        <w:rPr>
          <w:rFonts w:eastAsia="Calibri"/>
        </w:rPr>
      </w:pPr>
      <w:bookmarkStart w:id="10" w:name="Annex"/>
      <w:r w:rsidRPr="00DA77B0">
        <w:rPr>
          <w:rFonts w:eastAsia="Calibri"/>
        </w:rPr>
        <w:t>ANNEX A</w:t>
      </w:r>
      <w:bookmarkEnd w:id="10"/>
    </w:p>
    <w:p w14:paraId="52DEE131" w14:textId="77777777" w:rsidR="00DA77B0" w:rsidRDefault="00DA77B0" w:rsidP="00DA77B0">
      <w:pPr>
        <w:pStyle w:val="AnnexNo"/>
        <w:rPr>
          <w:rFonts w:eastAsia="Calibri"/>
        </w:rPr>
      </w:pPr>
      <w:r>
        <w:rPr>
          <w:rFonts w:eastAsia="Calibri"/>
        </w:rPr>
        <w:t>Draft New Resolution [...]</w:t>
      </w:r>
    </w:p>
    <w:p w14:paraId="4B71FAB4" w14:textId="6576D1E5" w:rsidR="00DA77B0" w:rsidRPr="004767C7" w:rsidRDefault="00C0774C" w:rsidP="00DA77B0">
      <w:pPr>
        <w:pStyle w:val="Annextitle"/>
        <w:rPr>
          <w:rFonts w:eastAsia="Calibri"/>
        </w:rPr>
      </w:pPr>
      <w:r w:rsidRPr="004767C7">
        <w:rPr>
          <w:rFonts w:eastAsia="Calibri"/>
        </w:rPr>
        <w:t xml:space="preserve">Encouraging ITU Member States and Sector Members through the ITU to prioritize, mainstream and strengthen Child Online Protection (COP) </w:t>
      </w:r>
      <w:r w:rsidR="00BE4CF3">
        <w:rPr>
          <w:rFonts w:eastAsia="Calibri"/>
        </w:rPr>
        <w:t>activities</w:t>
      </w:r>
      <w:r w:rsidRPr="004767C7">
        <w:rPr>
          <w:rFonts w:eastAsia="Calibri"/>
        </w:rPr>
        <w:t xml:space="preserve"> by way of specific programs such as celebration of girls in </w:t>
      </w:r>
      <w:proofErr w:type="gramStart"/>
      <w:r w:rsidRPr="004767C7">
        <w:rPr>
          <w:rFonts w:eastAsia="Calibri"/>
        </w:rPr>
        <w:t>ICT</w:t>
      </w:r>
      <w:proofErr w:type="gramEnd"/>
    </w:p>
    <w:p w14:paraId="4A1C9809" w14:textId="77777777" w:rsidR="00DA77B0" w:rsidRDefault="00DA77B0" w:rsidP="00C0774C">
      <w:pPr>
        <w:pStyle w:val="Normalaftertitle"/>
        <w:rPr>
          <w:rFonts w:eastAsia="Calibri"/>
        </w:rPr>
      </w:pPr>
      <w:r w:rsidRPr="000E41CC">
        <w:rPr>
          <w:rFonts w:eastAsia="Calibri"/>
        </w:rPr>
        <w:t xml:space="preserve">The </w:t>
      </w:r>
      <w:r>
        <w:rPr>
          <w:rFonts w:eastAsia="Calibri"/>
        </w:rPr>
        <w:t>ITU Council,</w:t>
      </w:r>
    </w:p>
    <w:p w14:paraId="410950BD" w14:textId="77777777" w:rsidR="00DA77B0" w:rsidRPr="00C0774C" w:rsidRDefault="00DA77B0" w:rsidP="00C0774C">
      <w:pPr>
        <w:pStyle w:val="Call"/>
        <w:rPr>
          <w:rFonts w:eastAsia="Calibri"/>
        </w:rPr>
      </w:pPr>
      <w:r w:rsidRPr="00C0774C">
        <w:rPr>
          <w:rFonts w:eastAsia="Calibri"/>
        </w:rPr>
        <w:tab/>
        <w:t>Considering</w:t>
      </w:r>
    </w:p>
    <w:p w14:paraId="1D6B3A8E" w14:textId="77777777" w:rsidR="00DA77B0" w:rsidRDefault="00DA77B0" w:rsidP="00C0774C">
      <w:pPr>
        <w:rPr>
          <w:highlight w:val="white"/>
        </w:rPr>
      </w:pPr>
      <w:r w:rsidRPr="00A30873">
        <w:rPr>
          <w:i/>
          <w:iCs/>
          <w:highlight w:val="white"/>
        </w:rPr>
        <w:t>a)</w:t>
      </w:r>
      <w:r>
        <w:rPr>
          <w:highlight w:val="white"/>
        </w:rPr>
        <w:tab/>
      </w:r>
      <w:r w:rsidRPr="00FE152E">
        <w:rPr>
          <w:highlight w:val="white"/>
        </w:rPr>
        <w:t>Resolution 179 (Rev. Bucharest, 202</w:t>
      </w:r>
      <w:r>
        <w:rPr>
          <w:highlight w:val="white"/>
        </w:rPr>
        <w:t>2</w:t>
      </w:r>
      <w:r w:rsidRPr="00FE152E">
        <w:rPr>
          <w:highlight w:val="white"/>
        </w:rPr>
        <w:t>) ITU's role in child online protection;</w:t>
      </w:r>
    </w:p>
    <w:p w14:paraId="35B20F89" w14:textId="77777777" w:rsidR="00DA77B0" w:rsidRDefault="00DA77B0" w:rsidP="00C0774C">
      <w:pPr>
        <w:rPr>
          <w:highlight w:val="white"/>
        </w:rPr>
      </w:pPr>
      <w:r w:rsidRPr="00C0774C">
        <w:rPr>
          <w:i/>
          <w:iCs/>
          <w:highlight w:val="white"/>
        </w:rPr>
        <w:t>b)</w:t>
      </w:r>
      <w:r>
        <w:rPr>
          <w:highlight w:val="white"/>
        </w:rPr>
        <w:tab/>
      </w:r>
      <w:r w:rsidRPr="00FE152E">
        <w:rPr>
          <w:highlight w:val="white"/>
        </w:rPr>
        <w:t>Resolution 67 (WTDC, Kigali, 2022) on the role of the Telecommunication Development Sector in child online protection;</w:t>
      </w:r>
    </w:p>
    <w:p w14:paraId="0B0ACC38" w14:textId="30137244" w:rsidR="00DA77B0" w:rsidRPr="00FE152E" w:rsidRDefault="00DA77B0" w:rsidP="00C0774C">
      <w:pPr>
        <w:rPr>
          <w:highlight w:val="white"/>
        </w:rPr>
      </w:pPr>
      <w:r>
        <w:rPr>
          <w:highlight w:val="white"/>
        </w:rPr>
        <w:t>c)</w:t>
      </w:r>
      <w:r>
        <w:rPr>
          <w:highlight w:val="white"/>
        </w:rPr>
        <w:tab/>
      </w:r>
      <w:r w:rsidRPr="00FE152E">
        <w:rPr>
          <w:highlight w:val="white"/>
        </w:rPr>
        <w:t>Resolution 1306 (C09 Modified C15) on ITU's role with regard to International Public Policy Issues concerning Creating a Safer Internet Environment for Children</w:t>
      </w:r>
      <w:r w:rsidR="00C0774C">
        <w:rPr>
          <w:highlight w:val="white"/>
        </w:rPr>
        <w:t>,</w:t>
      </w:r>
    </w:p>
    <w:p w14:paraId="6DE2539A" w14:textId="77777777" w:rsidR="00DA77B0" w:rsidRPr="00C0774C" w:rsidRDefault="00DA77B0" w:rsidP="00C0774C">
      <w:pPr>
        <w:pStyle w:val="Call"/>
        <w:rPr>
          <w:rFonts w:eastAsia="Calibri"/>
        </w:rPr>
      </w:pPr>
      <w:r w:rsidRPr="00C0774C">
        <w:rPr>
          <w:rFonts w:eastAsia="Calibri"/>
        </w:rPr>
        <w:t>recalling</w:t>
      </w:r>
    </w:p>
    <w:p w14:paraId="1EAE2BF1" w14:textId="0414E512" w:rsidR="00DA77B0" w:rsidRPr="00204806" w:rsidRDefault="00DA77B0" w:rsidP="00C0774C">
      <w:pPr>
        <w:rPr>
          <w:i/>
        </w:rPr>
      </w:pPr>
      <w:r w:rsidRPr="00204806">
        <w:t xml:space="preserve">Resolution 1306, </w:t>
      </w:r>
      <w:r>
        <w:t>setting up a</w:t>
      </w:r>
      <w:r w:rsidRPr="00204806">
        <w:t xml:space="preserve"> child online protection working group</w:t>
      </w:r>
      <w:r w:rsidR="00C0774C">
        <w:t>,</w:t>
      </w:r>
    </w:p>
    <w:p w14:paraId="7BD013E7" w14:textId="77777777" w:rsidR="00DA77B0" w:rsidRPr="00C0774C" w:rsidRDefault="00DA77B0" w:rsidP="00C0774C">
      <w:pPr>
        <w:pStyle w:val="Call"/>
        <w:rPr>
          <w:rFonts w:eastAsia="Calibri"/>
        </w:rPr>
      </w:pPr>
      <w:proofErr w:type="gramStart"/>
      <w:r w:rsidRPr="00C0774C">
        <w:rPr>
          <w:rFonts w:eastAsia="Calibri"/>
        </w:rPr>
        <w:t>taking into account</w:t>
      </w:r>
      <w:proofErr w:type="gramEnd"/>
    </w:p>
    <w:p w14:paraId="78987A2D" w14:textId="21907F06" w:rsidR="00DA77B0" w:rsidRPr="000E41CC" w:rsidRDefault="00BE4CF3" w:rsidP="00C0774C">
      <w:pPr>
        <w:rPr>
          <w:rFonts w:eastAsia="Calibri"/>
        </w:rPr>
      </w:pPr>
      <w:r>
        <w:rPr>
          <w:rFonts w:eastAsia="Calibri"/>
        </w:rPr>
        <w:t xml:space="preserve">that </w:t>
      </w:r>
      <w:r w:rsidR="00DA77B0" w:rsidRPr="000E41CC">
        <w:rPr>
          <w:rFonts w:eastAsia="Calibri"/>
        </w:rPr>
        <w:t xml:space="preserve">Resolution 179 (Rev. Bucharest, 2022) </w:t>
      </w:r>
      <w:r w:rsidR="00DA77B0" w:rsidRPr="00C0774C">
        <w:rPr>
          <w:rFonts w:eastAsia="Calibri"/>
          <w:i/>
          <w:iCs/>
        </w:rPr>
        <w:t>resolved</w:t>
      </w:r>
      <w:r w:rsidR="00DA77B0" w:rsidRPr="000E41CC">
        <w:rPr>
          <w:rFonts w:eastAsia="Calibri"/>
        </w:rPr>
        <w:t xml:space="preserve">, </w:t>
      </w:r>
      <w:r w:rsidR="00DA77B0">
        <w:rPr>
          <w:rFonts w:eastAsia="Calibri"/>
        </w:rPr>
        <w:t>among</w:t>
      </w:r>
      <w:r w:rsidR="00DA77B0" w:rsidRPr="000E41CC">
        <w:rPr>
          <w:rFonts w:eastAsia="Calibri"/>
        </w:rPr>
        <w:t xml:space="preserve"> others:</w:t>
      </w:r>
    </w:p>
    <w:p w14:paraId="0C941AE5" w14:textId="77777777" w:rsidR="00DA77B0" w:rsidRPr="000E41CC" w:rsidRDefault="00DA77B0" w:rsidP="00C0774C">
      <w:pPr>
        <w:rPr>
          <w:rFonts w:eastAsia="Calibri"/>
        </w:rPr>
      </w:pPr>
      <w:r w:rsidRPr="00C0774C">
        <w:rPr>
          <w:rFonts w:eastAsia="Calibri"/>
          <w:i/>
          <w:iCs/>
        </w:rPr>
        <w:t>a)</w:t>
      </w:r>
      <w:r>
        <w:rPr>
          <w:rFonts w:eastAsia="Calibri"/>
        </w:rPr>
        <w:tab/>
      </w:r>
      <w:r w:rsidRPr="000E41CC">
        <w:rPr>
          <w:rFonts w:eastAsia="Calibri"/>
        </w:rPr>
        <w:t xml:space="preserve">to continue the COP initiative as a platform to raise awareness and share best practices on child online safety </w:t>
      </w:r>
      <w:proofErr w:type="gramStart"/>
      <w:r w:rsidRPr="000E41CC">
        <w:rPr>
          <w:rFonts w:eastAsia="Calibri"/>
        </w:rPr>
        <w:t>issues;</w:t>
      </w:r>
      <w:proofErr w:type="gramEnd"/>
    </w:p>
    <w:p w14:paraId="28D87120" w14:textId="77777777" w:rsidR="00DA77B0" w:rsidRDefault="00DA77B0" w:rsidP="00C0774C">
      <w:pPr>
        <w:rPr>
          <w:rFonts w:eastAsia="Calibri"/>
        </w:rPr>
      </w:pPr>
      <w:r w:rsidRPr="00C0774C">
        <w:rPr>
          <w:rFonts w:eastAsia="Calibri"/>
          <w:i/>
          <w:iCs/>
        </w:rPr>
        <w:t>b)</w:t>
      </w:r>
      <w:r>
        <w:rPr>
          <w:rFonts w:eastAsia="Calibri"/>
        </w:rPr>
        <w:tab/>
      </w:r>
      <w:r w:rsidRPr="000E41CC">
        <w:rPr>
          <w:rFonts w:eastAsia="Calibri"/>
        </w:rPr>
        <w:t xml:space="preserve">to continue providing assistance and support to Member States, especially developing countries, in developing and implementing roadmaps for the COP </w:t>
      </w:r>
      <w:proofErr w:type="gramStart"/>
      <w:r w:rsidRPr="000E41CC">
        <w:rPr>
          <w:rFonts w:eastAsia="Calibri"/>
        </w:rPr>
        <w:t>initiative;</w:t>
      </w:r>
      <w:proofErr w:type="gramEnd"/>
    </w:p>
    <w:p w14:paraId="1278995E" w14:textId="3730AFE2" w:rsidR="00DA77B0" w:rsidRPr="00204806" w:rsidRDefault="00DA77B0" w:rsidP="00C0774C">
      <w:pPr>
        <w:rPr>
          <w:rFonts w:eastAsia="Calibri"/>
        </w:rPr>
      </w:pPr>
      <w:r w:rsidRPr="00C0774C">
        <w:rPr>
          <w:rFonts w:eastAsia="Calibri"/>
          <w:i/>
          <w:iCs/>
        </w:rPr>
        <w:t>c)</w:t>
      </w:r>
      <w:r>
        <w:rPr>
          <w:rFonts w:eastAsia="Calibri"/>
        </w:rPr>
        <w:tab/>
      </w:r>
      <w:r w:rsidRPr="00204806">
        <w:rPr>
          <w:rFonts w:eastAsia="Calibri"/>
        </w:rPr>
        <w:t>to continue to coordinate the COP initiative, in cooperation with relevant stakeholders</w:t>
      </w:r>
      <w:r w:rsidR="00C0774C">
        <w:rPr>
          <w:rFonts w:eastAsia="Calibri"/>
        </w:rPr>
        <w:t>,</w:t>
      </w:r>
    </w:p>
    <w:p w14:paraId="1DFEF5F0" w14:textId="77777777" w:rsidR="00DA77B0" w:rsidRPr="00C0774C" w:rsidRDefault="00DA77B0" w:rsidP="00C0774C">
      <w:pPr>
        <w:pStyle w:val="Call"/>
        <w:rPr>
          <w:rFonts w:eastAsia="Calibri"/>
        </w:rPr>
      </w:pPr>
      <w:r w:rsidRPr="00C0774C">
        <w:rPr>
          <w:rFonts w:eastAsia="Calibri"/>
        </w:rPr>
        <w:t>recognizing</w:t>
      </w:r>
    </w:p>
    <w:p w14:paraId="592DBBFF" w14:textId="77777777" w:rsidR="00DA77B0" w:rsidRDefault="00DA77B0" w:rsidP="00C0774C">
      <w:pPr>
        <w:rPr>
          <w:lang w:val="en-PH"/>
        </w:rPr>
      </w:pPr>
      <w:r w:rsidRPr="00C0774C">
        <w:rPr>
          <w:i/>
          <w:iCs/>
        </w:rPr>
        <w:t>a)</w:t>
      </w:r>
      <w:r>
        <w:tab/>
      </w:r>
      <w:r w:rsidRPr="00204806">
        <w:t xml:space="preserve">that there is an imperative need for an urgent collective response to combat Online Sexual Abuse or Exploitation of </w:t>
      </w:r>
      <w:proofErr w:type="gramStart"/>
      <w:r w:rsidRPr="00204806">
        <w:t>Children</w:t>
      </w:r>
      <w:r>
        <w:t>;</w:t>
      </w:r>
      <w:proofErr w:type="gramEnd"/>
    </w:p>
    <w:p w14:paraId="4A920E3C" w14:textId="3EF1318E" w:rsidR="00DA77B0" w:rsidRDefault="00DA77B0" w:rsidP="00C0774C">
      <w:r w:rsidRPr="00C0774C">
        <w:rPr>
          <w:i/>
          <w:iCs/>
        </w:rPr>
        <w:t>b)</w:t>
      </w:r>
      <w:r>
        <w:tab/>
        <w:t>that there is a wide acceptance of Girls in ICT among member states with 11,400 International Girls in ICT Day celebrations in 171 countries since 2011</w:t>
      </w:r>
      <w:r w:rsidR="00C0774C">
        <w:t>,</w:t>
      </w:r>
    </w:p>
    <w:p w14:paraId="0648B221" w14:textId="77777777" w:rsidR="00DA77B0" w:rsidRPr="00C0774C" w:rsidRDefault="00DA77B0" w:rsidP="00C0774C">
      <w:pPr>
        <w:pStyle w:val="Call"/>
      </w:pPr>
      <w:r w:rsidRPr="00C0774C">
        <w:t>resolves</w:t>
      </w:r>
    </w:p>
    <w:p w14:paraId="2DE640EE" w14:textId="77777777" w:rsidR="00DA77B0" w:rsidRPr="00C0774C" w:rsidRDefault="00DA77B0" w:rsidP="00C0774C">
      <w:pPr>
        <w:pStyle w:val="Call"/>
        <w:rPr>
          <w:rFonts w:eastAsia="Calibri"/>
        </w:rPr>
      </w:pPr>
      <w:r w:rsidRPr="00C0774C">
        <w:rPr>
          <w:rFonts w:eastAsia="Calibri"/>
        </w:rPr>
        <w:t>invites Member States and Sector Members</w:t>
      </w:r>
    </w:p>
    <w:p w14:paraId="7555B2FD" w14:textId="255EE5B3" w:rsidR="00DA77B0" w:rsidRDefault="00C0774C" w:rsidP="00C0774C">
      <w:r>
        <w:t>1</w:t>
      </w:r>
      <w:r>
        <w:tab/>
        <w:t xml:space="preserve">to </w:t>
      </w:r>
      <w:r w:rsidR="00DA77B0" w:rsidRPr="004767C7">
        <w:t xml:space="preserve">prioritize, mainstream and strengthen </w:t>
      </w:r>
      <w:r w:rsidR="00DA77B0">
        <w:t>COP</w:t>
      </w:r>
      <w:r w:rsidR="00DA77B0" w:rsidRPr="004767C7">
        <w:t xml:space="preserve"> strategic </w:t>
      </w:r>
      <w:r w:rsidR="00312B54">
        <w:t>activities</w:t>
      </w:r>
      <w:r w:rsidR="00312B54" w:rsidRPr="00312B54">
        <w:t xml:space="preserve"> by way of specific programs such as celebration of Girls in </w:t>
      </w:r>
      <w:proofErr w:type="gramStart"/>
      <w:r w:rsidR="00312B54" w:rsidRPr="00312B54">
        <w:t>ICT</w:t>
      </w:r>
      <w:r w:rsidR="00DA77B0">
        <w:t>;</w:t>
      </w:r>
      <w:proofErr w:type="gramEnd"/>
    </w:p>
    <w:p w14:paraId="3D01F9AA" w14:textId="607C9045" w:rsidR="00DA77B0" w:rsidRPr="00B14219" w:rsidRDefault="00312B54" w:rsidP="00C0774C">
      <w:r>
        <w:t>2</w:t>
      </w:r>
      <w:r w:rsidR="00C0774C">
        <w:tab/>
      </w:r>
      <w:r w:rsidR="00DA77B0" w:rsidRPr="004767C7">
        <w:t xml:space="preserve">to pursue collaboration </w:t>
      </w:r>
      <w:r>
        <w:t xml:space="preserve">on the matter </w:t>
      </w:r>
      <w:r w:rsidR="00DA77B0" w:rsidRPr="004767C7">
        <w:t xml:space="preserve">with other </w:t>
      </w:r>
      <w:r w:rsidR="00C0774C" w:rsidRPr="004767C7">
        <w:t>Member States</w:t>
      </w:r>
      <w:r w:rsidRPr="00312B54">
        <w:t xml:space="preserve"> through the ITU</w:t>
      </w:r>
      <w:r w:rsidR="00C0774C">
        <w:t>.</w:t>
      </w:r>
    </w:p>
    <w:p w14:paraId="257674B4" w14:textId="02BF743F" w:rsidR="00A514A4" w:rsidRPr="00DA77B0" w:rsidRDefault="00DA77B0" w:rsidP="00634BF7">
      <w:pPr>
        <w:tabs>
          <w:tab w:val="clear" w:pos="567"/>
          <w:tab w:val="clear" w:pos="1134"/>
          <w:tab w:val="clear" w:pos="1701"/>
          <w:tab w:val="clear" w:pos="2268"/>
          <w:tab w:val="clear" w:pos="2835"/>
        </w:tabs>
        <w:overflowPunct/>
        <w:autoSpaceDE/>
        <w:autoSpaceDN/>
        <w:adjustRightInd/>
        <w:spacing w:before="480"/>
        <w:jc w:val="center"/>
        <w:textAlignment w:val="auto"/>
      </w:pPr>
      <w:r>
        <w:t>________________</w:t>
      </w:r>
    </w:p>
    <w:sectPr w:rsidR="00A514A4" w:rsidRPr="00DA77B0" w:rsidSect="00AD3606">
      <w:footerReference w:type="default" r:id="rId11"/>
      <w:headerReference w:type="first" r:id="rId12"/>
      <w:footerReference w:type="first" r:id="rId13"/>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FA916" w14:textId="77777777" w:rsidR="00077524" w:rsidRDefault="00077524">
      <w:r>
        <w:separator/>
      </w:r>
    </w:p>
  </w:endnote>
  <w:endnote w:type="continuationSeparator" w:id="0">
    <w:p w14:paraId="181E014F" w14:textId="77777777" w:rsidR="00077524" w:rsidRDefault="000775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xt2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7402CB9" w14:textId="77777777" w:rsidTr="00BC54CD">
      <w:trPr>
        <w:trHeight w:val="142"/>
        <w:jc w:val="center"/>
      </w:trPr>
      <w:tc>
        <w:tcPr>
          <w:tcW w:w="1803" w:type="dxa"/>
          <w:vAlign w:val="center"/>
        </w:tcPr>
        <w:p w14:paraId="727FD637" w14:textId="696C90B6" w:rsidR="00EE49E8" w:rsidRDefault="00EE49E8" w:rsidP="00EE49E8">
          <w:pPr>
            <w:pStyle w:val="Header"/>
            <w:jc w:val="left"/>
            <w:rPr>
              <w:noProof/>
            </w:rPr>
          </w:pPr>
        </w:p>
      </w:tc>
      <w:tc>
        <w:tcPr>
          <w:tcW w:w="8261" w:type="dxa"/>
        </w:tcPr>
        <w:p w14:paraId="2D49E76E" w14:textId="5F837CC2" w:rsidR="00EE49E8" w:rsidRPr="00E06FD5" w:rsidRDefault="00EE49E8" w:rsidP="00A52C84">
          <w:pPr>
            <w:pStyle w:val="Header"/>
            <w:tabs>
              <w:tab w:val="left" w:pos="6028"/>
              <w:tab w:val="right" w:pos="8505"/>
              <w:tab w:val="right" w:pos="9639"/>
            </w:tabs>
            <w:jc w:val="left"/>
            <w:rPr>
              <w:rFonts w:ascii="Arial" w:hAnsi="Arial" w:cs="Arial"/>
              <w:b/>
              <w:bCs/>
              <w:szCs w:val="18"/>
            </w:rPr>
          </w:pPr>
          <w:r>
            <w:rPr>
              <w:bCs/>
            </w:rPr>
            <w:tab/>
          </w:r>
          <w:r w:rsidR="00A52C84" w:rsidRPr="00623AE3">
            <w:rPr>
              <w:bCs/>
            </w:rPr>
            <w:t>C</w:t>
          </w:r>
          <w:r w:rsidR="00A52C84">
            <w:rPr>
              <w:bCs/>
            </w:rPr>
            <w:t>WG-</w:t>
          </w:r>
          <w:r w:rsidR="00891503">
            <w:rPr>
              <w:bCs/>
            </w:rPr>
            <w:t>COP</w:t>
          </w:r>
          <w:r w:rsidR="00A52C84">
            <w:rPr>
              <w:bCs/>
            </w:rPr>
            <w:t>-</w:t>
          </w:r>
          <w:r w:rsidR="00BC54CD">
            <w:rPr>
              <w:bCs/>
            </w:rPr>
            <w:t>20</w:t>
          </w:r>
          <w:r w:rsidR="00A52C84" w:rsidRPr="00623AE3">
            <w:rPr>
              <w:bCs/>
            </w:rPr>
            <w:t>/</w:t>
          </w:r>
          <w:r w:rsidR="00DA77B0">
            <w:rPr>
              <w:bCs/>
            </w:rPr>
            <w:t>3</w:t>
          </w:r>
          <w:r w:rsidR="00634BF7">
            <w:rPr>
              <w:bCs/>
            </w:rPr>
            <w:t>(Rev.2)</w:t>
          </w:r>
          <w:r w:rsidR="00A52C84" w:rsidRPr="00623AE3">
            <w:rPr>
              <w:bCs/>
            </w:rPr>
            <w:t>-E</w:t>
          </w:r>
          <w:r>
            <w:rPr>
              <w:bCs/>
            </w:rPr>
            <w:tab/>
          </w:r>
          <w:r>
            <w:fldChar w:fldCharType="begin"/>
          </w:r>
          <w:r>
            <w:instrText>PAGE</w:instrText>
          </w:r>
          <w:r>
            <w:fldChar w:fldCharType="separate"/>
          </w:r>
          <w:r w:rsidR="004244A9">
            <w:rPr>
              <w:noProof/>
            </w:rPr>
            <w:t>2</w:t>
          </w:r>
          <w:r>
            <w:rPr>
              <w:noProof/>
            </w:rPr>
            <w:fldChar w:fldCharType="end"/>
          </w:r>
        </w:p>
      </w:tc>
    </w:tr>
  </w:tbl>
  <w:p w14:paraId="44006CCE"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7"/>
      <w:gridCol w:w="6957"/>
    </w:tblGrid>
    <w:tr w:rsidR="00EE49E8" w:rsidRPr="00784011" w14:paraId="4F588A4C" w14:textId="77777777" w:rsidTr="00A52C84">
      <w:trPr>
        <w:jc w:val="center"/>
      </w:trPr>
      <w:tc>
        <w:tcPr>
          <w:tcW w:w="3107" w:type="dxa"/>
          <w:vAlign w:val="center"/>
        </w:tcPr>
        <w:p w14:paraId="4E7A2825" w14:textId="68C83E22" w:rsidR="00EE49E8" w:rsidRDefault="00A52C84" w:rsidP="00EE49E8">
          <w:pPr>
            <w:pStyle w:val="Header"/>
            <w:jc w:val="left"/>
            <w:rPr>
              <w:noProof/>
            </w:rPr>
          </w:pPr>
          <w:r w:rsidRPr="009C253A">
            <w:rPr>
              <w:color w:val="0070C0"/>
            </w:rPr>
            <w:t>https://council.itu.int/working-groups</w:t>
          </w:r>
        </w:p>
      </w:tc>
      <w:tc>
        <w:tcPr>
          <w:tcW w:w="6957" w:type="dxa"/>
        </w:tcPr>
        <w:p w14:paraId="3F62E0D8" w14:textId="3375334E" w:rsidR="00EE49E8" w:rsidRPr="00E06FD5" w:rsidRDefault="00EE49E8" w:rsidP="00A52C84">
          <w:pPr>
            <w:pStyle w:val="Header"/>
            <w:tabs>
              <w:tab w:val="left" w:pos="4718"/>
              <w:tab w:val="right" w:pos="8505"/>
              <w:tab w:val="right" w:pos="9639"/>
            </w:tabs>
            <w:jc w:val="left"/>
            <w:rPr>
              <w:rFonts w:ascii="Arial" w:hAnsi="Arial" w:cs="Arial"/>
              <w:b/>
              <w:bCs/>
              <w:szCs w:val="18"/>
            </w:rPr>
          </w:pPr>
          <w:r>
            <w:rPr>
              <w:bCs/>
            </w:rPr>
            <w:tab/>
          </w:r>
          <w:r w:rsidRPr="00623AE3">
            <w:rPr>
              <w:bCs/>
            </w:rPr>
            <w:t>C</w:t>
          </w:r>
          <w:r w:rsidR="00A52C84">
            <w:rPr>
              <w:bCs/>
            </w:rPr>
            <w:t>WG-</w:t>
          </w:r>
          <w:r w:rsidR="00891503">
            <w:rPr>
              <w:bCs/>
            </w:rPr>
            <w:t>COP</w:t>
          </w:r>
          <w:r w:rsidR="00A52C84">
            <w:rPr>
              <w:bCs/>
            </w:rPr>
            <w:t>-</w:t>
          </w:r>
          <w:r w:rsidR="00BC54CD">
            <w:rPr>
              <w:bCs/>
            </w:rPr>
            <w:t>20</w:t>
          </w:r>
          <w:r w:rsidRPr="00623AE3">
            <w:rPr>
              <w:bCs/>
            </w:rPr>
            <w:t>/</w:t>
          </w:r>
          <w:r w:rsidR="00DA77B0">
            <w:rPr>
              <w:bCs/>
            </w:rPr>
            <w:t>3</w:t>
          </w:r>
          <w:r w:rsidR="00634BF7">
            <w:rPr>
              <w:bCs/>
            </w:rPr>
            <w:t>(Rev.2)</w:t>
          </w:r>
          <w:r w:rsidRPr="00623AE3">
            <w:rPr>
              <w:bCs/>
            </w:rPr>
            <w:t>-E</w:t>
          </w:r>
          <w:r>
            <w:rPr>
              <w:bCs/>
            </w:rPr>
            <w:tab/>
          </w:r>
          <w:r>
            <w:fldChar w:fldCharType="begin"/>
          </w:r>
          <w:r>
            <w:instrText>PAGE</w:instrText>
          </w:r>
          <w:r>
            <w:fldChar w:fldCharType="separate"/>
          </w:r>
          <w:r w:rsidR="004244A9">
            <w:rPr>
              <w:noProof/>
            </w:rPr>
            <w:t>1</w:t>
          </w:r>
          <w:r>
            <w:rPr>
              <w:noProof/>
            </w:rPr>
            <w:fldChar w:fldCharType="end"/>
          </w:r>
        </w:p>
      </w:tc>
    </w:tr>
  </w:tbl>
  <w:p w14:paraId="12BE588F"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0D042" w14:textId="77777777" w:rsidR="00077524" w:rsidRDefault="00077524">
      <w:r>
        <w:t>____________________</w:t>
      </w:r>
    </w:p>
  </w:footnote>
  <w:footnote w:type="continuationSeparator" w:id="0">
    <w:p w14:paraId="6315DC56" w14:textId="77777777" w:rsidR="00077524" w:rsidRDefault="000775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46"/>
      <w:gridCol w:w="3474"/>
    </w:tblGrid>
    <w:tr w:rsidR="00AD3606" w:rsidRPr="00784011" w14:paraId="6D4BB9D4" w14:textId="77777777" w:rsidTr="00F74694">
      <w:trPr>
        <w:trHeight w:val="1304"/>
        <w:jc w:val="center"/>
      </w:trPr>
      <w:tc>
        <w:tcPr>
          <w:tcW w:w="6546" w:type="dxa"/>
        </w:tcPr>
        <w:bookmarkStart w:id="11" w:name="_Hlk133422111"/>
        <w:p w14:paraId="3E21B143" w14:textId="178FA05C" w:rsidR="00AD3606" w:rsidRPr="009621F8" w:rsidRDefault="00DB00D5" w:rsidP="00130599">
          <w:pPr>
            <w:pStyle w:val="Header"/>
            <w:jc w:val="left"/>
            <w:rPr>
              <w:rFonts w:ascii="Arial" w:hAnsi="Arial" w:cs="Arial"/>
              <w:b/>
              <w:bCs/>
              <w:color w:val="009CD6"/>
              <w:sz w:val="36"/>
              <w:szCs w:val="36"/>
            </w:rPr>
          </w:pPr>
          <w:r>
            <w:rPr>
              <w:rFonts w:ascii="Arial" w:hAnsi="Arial" w:cs="Arial"/>
              <w:b/>
              <w:bCs/>
              <w:noProof/>
              <w:color w:val="009CD6"/>
              <w:szCs w:val="18"/>
              <w:lang w:val="ru-RU" w:eastAsia="ru-RU"/>
            </w:rPr>
            <mc:AlternateContent>
              <mc:Choice Requires="wps">
                <w:drawing>
                  <wp:anchor distT="0" distB="0" distL="114300" distR="114300" simplePos="0" relativeHeight="251661312" behindDoc="0" locked="0" layoutInCell="1" allowOverlap="1" wp14:anchorId="3E8A9757" wp14:editId="68E7D9A6">
                    <wp:simplePos x="0" y="0"/>
                    <wp:positionH relativeFrom="column">
                      <wp:posOffset>569937</wp:posOffset>
                    </wp:positionH>
                    <wp:positionV relativeFrom="paragraph">
                      <wp:posOffset>63305</wp:posOffset>
                    </wp:positionV>
                    <wp:extent cx="1652954" cy="541215"/>
                    <wp:effectExtent l="0" t="0" r="4445" b="0"/>
                    <wp:wrapNone/>
                    <wp:docPr id="2" name="Rectangle 2"/>
                    <wp:cNvGraphicFramePr/>
                    <a:graphic xmlns:a="http://schemas.openxmlformats.org/drawingml/2006/main">
                      <a:graphicData uri="http://schemas.microsoft.com/office/word/2010/wordprocessingShape">
                        <wps:wsp>
                          <wps:cNvSpPr/>
                          <wps:spPr>
                            <a:xfrm>
                              <a:off x="0" y="0"/>
                              <a:ext cx="1652954" cy="54121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B21774" id="Rectangle 2" o:spid="_x0000_s1026" style="position:absolute;margin-left:44.9pt;margin-top:5pt;width:130.15pt;height:4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" fillcolor="white [3212]" stroked="f" strokeweight="2pt"/>
                </w:pict>
              </mc:Fallback>
            </mc:AlternateContent>
          </w:r>
          <w:r w:rsidR="00AD3606">
            <w:rPr>
              <w:noProof/>
              <w:lang w:val="ru-RU" w:eastAsia="ru-RU"/>
            </w:rPr>
            <w:drawing>
              <wp:inline distT="0" distB="0" distL="0" distR="0" wp14:anchorId="4ED31E31" wp14:editId="6AF75EA6">
                <wp:extent cx="2250000" cy="622800"/>
                <wp:effectExtent l="0" t="0" r="0" b="0"/>
                <wp:docPr id="1277106945" name="Picture 1277106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Lst>
                        </a:blip>
                        <a:stretch>
                          <a:fillRect/>
                        </a:stretch>
                      </pic:blipFill>
                      <pic:spPr>
                        <a:xfrm>
                          <a:off x="0" y="0"/>
                          <a:ext cx="2250000" cy="622800"/>
                        </a:xfrm>
                        <a:prstGeom prst="rect">
                          <a:avLst/>
                        </a:prstGeom>
                      </pic:spPr>
                    </pic:pic>
                  </a:graphicData>
                </a:graphic>
              </wp:inline>
            </w:drawing>
          </w:r>
        </w:p>
      </w:tc>
      <w:tc>
        <w:tcPr>
          <w:tcW w:w="3474" w:type="dxa"/>
        </w:tcPr>
        <w:p w14:paraId="2D9A3A2C" w14:textId="77777777" w:rsidR="00AD3606" w:rsidRDefault="00AD3606" w:rsidP="00AD3606">
          <w:pPr>
            <w:pStyle w:val="Header"/>
            <w:jc w:val="right"/>
            <w:rPr>
              <w:rFonts w:ascii="Arial" w:hAnsi="Arial" w:cs="Arial"/>
              <w:b/>
              <w:bCs/>
              <w:color w:val="009CD6"/>
              <w:szCs w:val="18"/>
            </w:rPr>
          </w:pPr>
        </w:p>
        <w:p w14:paraId="10B673DE" w14:textId="77777777" w:rsidR="00AD3606" w:rsidRDefault="00AD3606" w:rsidP="00AD3606">
          <w:pPr>
            <w:pStyle w:val="Header"/>
            <w:jc w:val="right"/>
            <w:rPr>
              <w:rFonts w:ascii="Arial" w:hAnsi="Arial" w:cs="Arial"/>
              <w:b/>
              <w:bCs/>
              <w:color w:val="009CD6"/>
              <w:szCs w:val="18"/>
            </w:rPr>
          </w:pPr>
        </w:p>
        <w:p w14:paraId="4287C2DF" w14:textId="0D65FB02"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0D24EB89" w14:textId="5739948F" w:rsidR="00AD3606" w:rsidRDefault="00DB00D5">
    <w:pPr>
      <w:pStyle w:val="Header"/>
    </w:pPr>
    <w:r w:rsidRPr="00802C2C">
      <w:rPr>
        <w:rFonts w:ascii="Avenir Nxt2 W1G Medium" w:eastAsia="Avenir Nxt2 W1G Medium" w:hAnsi="Avenir Nxt2 W1G Medium" w:cs="Avenir Nxt2 W1G Medium"/>
        <w:noProof/>
        <w:lang w:val="ru-RU" w:eastAsia="ru-RU"/>
      </w:rPr>
      <mc:AlternateContent>
        <mc:Choice Requires="wps">
          <w:drawing>
            <wp:anchor distT="0" distB="0" distL="114300" distR="114300" simplePos="0" relativeHeight="251659264" behindDoc="0" locked="0" layoutInCell="1" allowOverlap="1" wp14:anchorId="141CBB14" wp14:editId="6AD82C93">
              <wp:simplePos x="0" y="0"/>
              <wp:positionH relativeFrom="page">
                <wp:posOffset>14605</wp:posOffset>
              </wp:positionH>
              <wp:positionV relativeFrom="topMargin">
                <wp:posOffset>555625</wp:posOffset>
              </wp:positionV>
              <wp:extent cx="93345" cy="431800"/>
              <wp:effectExtent l="0" t="0" r="1905"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 cy="43180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12879F" id="Rectangle 5" o:spid="_x0000_s1026" style="position:absolute;margin-left:1.15pt;margin-top:43.75pt;width:7.35pt;height:3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" fillcolor="#009cd5" stroked="f">
              <w10:wrap anchorx="page" anchory="margin"/>
            </v:rect>
          </w:pict>
        </mc:Fallback>
      </mc:AlternateContent>
    </w:r>
    <w:r w:rsidRPr="00130599">
      <w:rPr>
        <w:rFonts w:ascii="Arial" w:eastAsiaTheme="minorHAnsi" w:hAnsi="Arial" w:cs="Arial"/>
        <w:b/>
        <w:bCs/>
        <w:noProof/>
        <w:color w:val="009CD6"/>
        <w:szCs w:val="18"/>
        <w:lang w:val="ru-RU" w:eastAsia="ru-RU"/>
      </w:rPr>
      <mc:AlternateContent>
        <mc:Choice Requires="wps">
          <w:drawing>
            <wp:anchor distT="0" distB="0" distL="114300" distR="114300" simplePos="0" relativeHeight="251662336" behindDoc="0" locked="0" layoutInCell="1" allowOverlap="1" wp14:anchorId="4E9A2C87" wp14:editId="3E001D8E">
              <wp:simplePos x="0" y="0"/>
              <wp:positionH relativeFrom="column">
                <wp:posOffset>306754</wp:posOffset>
              </wp:positionH>
              <wp:positionV relativeFrom="paragraph">
                <wp:posOffset>-835660</wp:posOffset>
              </wp:positionV>
              <wp:extent cx="3999230" cy="471170"/>
              <wp:effectExtent l="0" t="0" r="0" b="127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230" cy="471170"/>
                      </a:xfrm>
                      <a:prstGeom prst="rect">
                        <a:avLst/>
                      </a:prstGeom>
                      <a:noFill/>
                      <a:ln w="9525">
                        <a:noFill/>
                        <a:miter lim="800000"/>
                        <a:headEnd/>
                        <a:tailEnd/>
                      </a:ln>
                    </wps:spPr>
                    <wps:txbx>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4E9A2C87" id="_x0000_t202" coordsize="21600,21600" o:spt="202" path="m,l,21600r21600,l21600,xe">
              <v:stroke joinstyle="miter"/>
              <v:path gradientshapeok="t" o:connecttype="rect"/>
            </v:shapetype>
            <v:shape id="Text Box 2" o:spid="_x0000_s1026" type="#_x0000_t202" style="position:absolute;left:0;text-align:left;margin-left:24.15pt;margin-top:-65.8pt;width:314.9pt;height:37.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" filled="f" stroked="f">
              <v:textbox style="mso-fit-shape-to-text:t">
                <w:txbxContent>
                  <w:p w14:paraId="0B44A3EE" w14:textId="26A93AF3" w:rsidR="00130599" w:rsidRDefault="00130599" w:rsidP="00130599">
                    <w:pPr>
                      <w:spacing w:before="0"/>
                    </w:pPr>
                    <w:r w:rsidRPr="00F74694">
                      <w:rPr>
                        <w:b/>
                        <w:bCs/>
                        <w:szCs w:val="24"/>
                      </w:rPr>
                      <w:t xml:space="preserve">Council Working Group </w:t>
                    </w:r>
                    <w:r w:rsidR="00F74694" w:rsidRPr="00F74694">
                      <w:rPr>
                        <w:b/>
                        <w:bCs/>
                        <w:szCs w:val="24"/>
                      </w:rPr>
                      <w:br/>
                    </w:r>
                    <w:r w:rsidRPr="00F74694">
                      <w:rPr>
                        <w:b/>
                        <w:bCs/>
                        <w:szCs w:val="24"/>
                      </w:rPr>
                      <w:t xml:space="preserve">on </w:t>
                    </w:r>
                    <w:r w:rsidR="00B358B2">
                      <w:rPr>
                        <w:b/>
                        <w:bCs/>
                        <w:szCs w:val="24"/>
                      </w:rPr>
                      <w:t>Child Online Protection</w:t>
                    </w:r>
                    <w:r>
                      <w:br/>
                    </w:r>
                    <w:r w:rsidR="00BC54CD">
                      <w:rPr>
                        <w:sz w:val="20"/>
                      </w:rPr>
                      <w:t>Twentieth</w:t>
                    </w:r>
                    <w:r w:rsidRPr="00130599">
                      <w:rPr>
                        <w:sz w:val="20"/>
                      </w:rPr>
                      <w:t xml:space="preserve"> meeting </w:t>
                    </w:r>
                    <w:r w:rsidR="00B358B2">
                      <w:rPr>
                        <w:sz w:val="20"/>
                      </w:rPr>
                      <w:t xml:space="preserve">- </w:t>
                    </w:r>
                    <w:r w:rsidR="004405AB">
                      <w:rPr>
                        <w:sz w:val="20"/>
                      </w:rPr>
                      <w:t xml:space="preserve">From </w:t>
                    </w:r>
                    <w:r w:rsidR="00BC54CD">
                      <w:rPr>
                        <w:sz w:val="20"/>
                      </w:rPr>
                      <w:t>22 to 23 January 2024</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45005C0D"/>
    <w:multiLevelType w:val="hybridMultilevel"/>
    <w:tmpl w:val="A3AEB424"/>
    <w:lvl w:ilvl="0" w:tplc="B7B4E36E">
      <w:start w:val="1"/>
      <w:numFmt w:val="lowerLetter"/>
      <w:lvlText w:val="%1)"/>
      <w:lvlJc w:val="left"/>
      <w:pPr>
        <w:ind w:left="644" w:hanging="360"/>
      </w:p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2" w15:restartNumberingAfterBreak="0">
    <w:nsid w:val="53715610"/>
    <w:multiLevelType w:val="multilevel"/>
    <w:tmpl w:val="70DE9366"/>
    <w:lvl w:ilvl="0">
      <w:start w:val="1"/>
      <w:numFmt w:val="lowerLetter"/>
      <w:lvlText w:val="%1)"/>
      <w:lvlJc w:val="left"/>
      <w:pPr>
        <w:ind w:left="720" w:hanging="360"/>
      </w:pPr>
      <w:rPr>
        <w:b w:val="0"/>
        <w:bCs w:val="0"/>
        <w:i/>
        <w:iCs/>
        <w:strike w:val="0"/>
        <w:dstrike w:val="0"/>
        <w:u w:val="none"/>
        <w:effect w:val="none"/>
      </w:rPr>
    </w:lvl>
    <w:lvl w:ilvl="1">
      <w:start w:val="1"/>
      <w:numFmt w:val="decimal"/>
      <w:lvlText w:val="%2."/>
      <w:lvlJc w:val="left"/>
      <w:pPr>
        <w:ind w:left="144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3" w15:restartNumberingAfterBreak="0">
    <w:nsid w:val="737F1EAF"/>
    <w:multiLevelType w:val="multilevel"/>
    <w:tmpl w:val="70DE9366"/>
    <w:lvl w:ilvl="0">
      <w:start w:val="1"/>
      <w:numFmt w:val="lowerLetter"/>
      <w:lvlText w:val="%1)"/>
      <w:lvlJc w:val="left"/>
      <w:pPr>
        <w:ind w:left="720" w:hanging="360"/>
      </w:pPr>
      <w:rPr>
        <w:b w:val="0"/>
        <w:bCs w:val="0"/>
        <w:i/>
        <w:iCs/>
        <w:strike w:val="0"/>
        <w:dstrike w:val="0"/>
        <w:u w:val="none"/>
        <w:effect w:val="none"/>
      </w:rPr>
    </w:lvl>
    <w:lvl w:ilvl="1">
      <w:start w:val="1"/>
      <w:numFmt w:val="decimal"/>
      <w:lvlText w:val="%2."/>
      <w:lvlJc w:val="left"/>
      <w:pPr>
        <w:ind w:left="1440" w:hanging="360"/>
      </w:p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num w:numId="1" w16cid:durableId="2030594645">
    <w:abstractNumId w:val="0"/>
  </w:num>
  <w:num w:numId="2" w16cid:durableId="238728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522863905">
    <w:abstractNumId w:val="3"/>
  </w:num>
  <w:num w:numId="4" w16cid:durableId="21330167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proofState w:spelling="clean" w:grammar="clean"/>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E2"/>
    <w:rsid w:val="000210D4"/>
    <w:rsid w:val="00063016"/>
    <w:rsid w:val="00066795"/>
    <w:rsid w:val="00076AF6"/>
    <w:rsid w:val="00077524"/>
    <w:rsid w:val="000859C4"/>
    <w:rsid w:val="00085CF2"/>
    <w:rsid w:val="000B1705"/>
    <w:rsid w:val="000D75B2"/>
    <w:rsid w:val="001121F5"/>
    <w:rsid w:val="00130599"/>
    <w:rsid w:val="001400DC"/>
    <w:rsid w:val="00140CE1"/>
    <w:rsid w:val="0017539C"/>
    <w:rsid w:val="00175AC2"/>
    <w:rsid w:val="0017609F"/>
    <w:rsid w:val="00194145"/>
    <w:rsid w:val="001A7D1D"/>
    <w:rsid w:val="001B51DD"/>
    <w:rsid w:val="001C628E"/>
    <w:rsid w:val="001E0F7B"/>
    <w:rsid w:val="002119FD"/>
    <w:rsid w:val="002130E0"/>
    <w:rsid w:val="00244F7F"/>
    <w:rsid w:val="00264425"/>
    <w:rsid w:val="00265875"/>
    <w:rsid w:val="0027303B"/>
    <w:rsid w:val="0028109B"/>
    <w:rsid w:val="002A2188"/>
    <w:rsid w:val="002B1F58"/>
    <w:rsid w:val="002C1C7A"/>
    <w:rsid w:val="002C54E2"/>
    <w:rsid w:val="0030160F"/>
    <w:rsid w:val="00312B54"/>
    <w:rsid w:val="00320223"/>
    <w:rsid w:val="00322D0D"/>
    <w:rsid w:val="00361465"/>
    <w:rsid w:val="003877F5"/>
    <w:rsid w:val="003942D4"/>
    <w:rsid w:val="003958A8"/>
    <w:rsid w:val="003C2533"/>
    <w:rsid w:val="003D5A7F"/>
    <w:rsid w:val="004016E2"/>
    <w:rsid w:val="0040435A"/>
    <w:rsid w:val="00416A24"/>
    <w:rsid w:val="004244A9"/>
    <w:rsid w:val="00431D9E"/>
    <w:rsid w:val="00433CE8"/>
    <w:rsid w:val="00434A5C"/>
    <w:rsid w:val="004405AB"/>
    <w:rsid w:val="004544D9"/>
    <w:rsid w:val="00470FF6"/>
    <w:rsid w:val="00472BAD"/>
    <w:rsid w:val="00484009"/>
    <w:rsid w:val="00490E72"/>
    <w:rsid w:val="00491157"/>
    <w:rsid w:val="004921C8"/>
    <w:rsid w:val="00495B0B"/>
    <w:rsid w:val="004A1B8B"/>
    <w:rsid w:val="004D1851"/>
    <w:rsid w:val="004D599D"/>
    <w:rsid w:val="004E2EA5"/>
    <w:rsid w:val="004E3AEB"/>
    <w:rsid w:val="0050223C"/>
    <w:rsid w:val="005243FF"/>
    <w:rsid w:val="00564FBC"/>
    <w:rsid w:val="005800BC"/>
    <w:rsid w:val="00582442"/>
    <w:rsid w:val="005A335D"/>
    <w:rsid w:val="005E2BD5"/>
    <w:rsid w:val="005F3269"/>
    <w:rsid w:val="00610DC7"/>
    <w:rsid w:val="00623AE3"/>
    <w:rsid w:val="00634BF7"/>
    <w:rsid w:val="0064737F"/>
    <w:rsid w:val="006535F1"/>
    <w:rsid w:val="0065557D"/>
    <w:rsid w:val="00660D50"/>
    <w:rsid w:val="00662984"/>
    <w:rsid w:val="006716BB"/>
    <w:rsid w:val="006B1859"/>
    <w:rsid w:val="006B6680"/>
    <w:rsid w:val="006B6DCC"/>
    <w:rsid w:val="00702DEF"/>
    <w:rsid w:val="00706861"/>
    <w:rsid w:val="0075051B"/>
    <w:rsid w:val="00775655"/>
    <w:rsid w:val="00780DE3"/>
    <w:rsid w:val="00793188"/>
    <w:rsid w:val="00794D34"/>
    <w:rsid w:val="00813E5E"/>
    <w:rsid w:val="0083581B"/>
    <w:rsid w:val="00863874"/>
    <w:rsid w:val="00864AFF"/>
    <w:rsid w:val="00865925"/>
    <w:rsid w:val="00891503"/>
    <w:rsid w:val="008B4A6A"/>
    <w:rsid w:val="008B4F3C"/>
    <w:rsid w:val="008C7E27"/>
    <w:rsid w:val="008F7448"/>
    <w:rsid w:val="0090147A"/>
    <w:rsid w:val="009173EF"/>
    <w:rsid w:val="00932906"/>
    <w:rsid w:val="00955751"/>
    <w:rsid w:val="00961B0B"/>
    <w:rsid w:val="00962D33"/>
    <w:rsid w:val="009B38C3"/>
    <w:rsid w:val="009C253A"/>
    <w:rsid w:val="009E17BD"/>
    <w:rsid w:val="009E485A"/>
    <w:rsid w:val="00A04CEC"/>
    <w:rsid w:val="00A27F92"/>
    <w:rsid w:val="00A32257"/>
    <w:rsid w:val="00A36D20"/>
    <w:rsid w:val="00A514A4"/>
    <w:rsid w:val="00A52C84"/>
    <w:rsid w:val="00A55622"/>
    <w:rsid w:val="00A83502"/>
    <w:rsid w:val="00AD15B3"/>
    <w:rsid w:val="00AD3606"/>
    <w:rsid w:val="00AD4A3D"/>
    <w:rsid w:val="00AF6E49"/>
    <w:rsid w:val="00B04A67"/>
    <w:rsid w:val="00B0583C"/>
    <w:rsid w:val="00B358B2"/>
    <w:rsid w:val="00B40A81"/>
    <w:rsid w:val="00B44910"/>
    <w:rsid w:val="00B64669"/>
    <w:rsid w:val="00B72267"/>
    <w:rsid w:val="00B76EB6"/>
    <w:rsid w:val="00B7737B"/>
    <w:rsid w:val="00B824C8"/>
    <w:rsid w:val="00B84B9D"/>
    <w:rsid w:val="00BC251A"/>
    <w:rsid w:val="00BC54CD"/>
    <w:rsid w:val="00BD032B"/>
    <w:rsid w:val="00BE2640"/>
    <w:rsid w:val="00BE4CF3"/>
    <w:rsid w:val="00C01189"/>
    <w:rsid w:val="00C0774C"/>
    <w:rsid w:val="00C374DE"/>
    <w:rsid w:val="00C47AD4"/>
    <w:rsid w:val="00C52D81"/>
    <w:rsid w:val="00C55198"/>
    <w:rsid w:val="00CA6393"/>
    <w:rsid w:val="00CB18FF"/>
    <w:rsid w:val="00CD0C08"/>
    <w:rsid w:val="00CE03FB"/>
    <w:rsid w:val="00CE433C"/>
    <w:rsid w:val="00CF0161"/>
    <w:rsid w:val="00CF33F3"/>
    <w:rsid w:val="00D06183"/>
    <w:rsid w:val="00D22C42"/>
    <w:rsid w:val="00D464CC"/>
    <w:rsid w:val="00D65041"/>
    <w:rsid w:val="00D666EE"/>
    <w:rsid w:val="00DA77B0"/>
    <w:rsid w:val="00DB00D5"/>
    <w:rsid w:val="00DB1936"/>
    <w:rsid w:val="00DB384B"/>
    <w:rsid w:val="00DF0189"/>
    <w:rsid w:val="00E06FD5"/>
    <w:rsid w:val="00E10E80"/>
    <w:rsid w:val="00E124F0"/>
    <w:rsid w:val="00E227F3"/>
    <w:rsid w:val="00E545C6"/>
    <w:rsid w:val="00E60F04"/>
    <w:rsid w:val="00E65B24"/>
    <w:rsid w:val="00E854E4"/>
    <w:rsid w:val="00E86DBF"/>
    <w:rsid w:val="00EB0D6F"/>
    <w:rsid w:val="00EB2232"/>
    <w:rsid w:val="00EC408F"/>
    <w:rsid w:val="00EC5337"/>
    <w:rsid w:val="00ED454D"/>
    <w:rsid w:val="00EE49E8"/>
    <w:rsid w:val="00F16BAB"/>
    <w:rsid w:val="00F2150A"/>
    <w:rsid w:val="00F231D8"/>
    <w:rsid w:val="00F44C00"/>
    <w:rsid w:val="00F45D2C"/>
    <w:rsid w:val="00F46C5F"/>
    <w:rsid w:val="00F632C0"/>
    <w:rsid w:val="00F74694"/>
    <w:rsid w:val="00F94A63"/>
    <w:rsid w:val="00FA1C28"/>
    <w:rsid w:val="00FB1279"/>
    <w:rsid w:val="00FB6B76"/>
    <w:rsid w:val="00FB7596"/>
    <w:rsid w:val="00FE4077"/>
    <w:rsid w:val="00FE500D"/>
    <w:rsid w:val="00FE77D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2E63E59"/>
  <w15:docId w15:val="{17D125F0-08EE-429E-8246-8C9FCCD62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3E5E"/>
    <w:pPr>
      <w:keepNext/>
      <w:keepLines/>
      <w:spacing w:before="480"/>
      <w:ind w:left="567" w:hanging="567"/>
      <w:outlineLvl w:val="0"/>
    </w:pPr>
    <w:rPr>
      <w:b/>
      <w:sz w:val="28"/>
    </w:rPr>
  </w:style>
  <w:style w:type="paragraph" w:styleId="Heading2">
    <w:name w:val="heading 2"/>
    <w:basedOn w:val="Heading1"/>
    <w:next w:val="Normal"/>
    <w:qFormat/>
    <w:rsid w:val="00813E5E"/>
    <w:pPr>
      <w:spacing w:before="320"/>
      <w:outlineLvl w:val="1"/>
    </w:pPr>
    <w:rPr>
      <w:sz w:val="24"/>
    </w:rPr>
  </w:style>
  <w:style w:type="paragraph" w:styleId="Heading3">
    <w:name w:val="heading 3"/>
    <w:basedOn w:val="Heading1"/>
    <w:next w:val="Normal"/>
    <w:qFormat/>
    <w:rsid w:val="00813E5E"/>
    <w:pPr>
      <w:spacing w:before="200"/>
      <w:outlineLvl w:val="2"/>
    </w:pPr>
    <w:rPr>
      <w:sz w:val="24"/>
    </w:rPr>
  </w:style>
  <w:style w:type="paragraph" w:styleId="Heading4">
    <w:name w:val="heading 4"/>
    <w:basedOn w:val="Heading3"/>
    <w:next w:val="Normal"/>
    <w:qFormat/>
    <w:rsid w:val="00813E5E"/>
    <w:pPr>
      <w:ind w:left="1134" w:hanging="1134"/>
      <w:outlineLvl w:val="3"/>
    </w:pPr>
  </w:style>
  <w:style w:type="paragraph" w:styleId="Heading5">
    <w:name w:val="heading 5"/>
    <w:basedOn w:val="Heading4"/>
    <w:next w:val="Normal"/>
    <w:qFormat/>
    <w:rsid w:val="00813E5E"/>
    <w:pPr>
      <w:outlineLvl w:val="4"/>
    </w:pPr>
  </w:style>
  <w:style w:type="paragraph" w:styleId="Heading6">
    <w:name w:val="heading 6"/>
    <w:basedOn w:val="Heading4"/>
    <w:next w:val="Normal"/>
    <w:qFormat/>
    <w:rsid w:val="00813E5E"/>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813E5E"/>
    <w:pPr>
      <w:ind w:left="1701" w:hanging="1701"/>
      <w:outlineLvl w:val="7"/>
    </w:pPr>
  </w:style>
  <w:style w:type="paragraph" w:styleId="Heading9">
    <w:name w:val="heading 9"/>
    <w:basedOn w:val="Heading4"/>
    <w:next w:val="Normal"/>
    <w:qFormat/>
    <w:rsid w:val="00813E5E"/>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4D1851"/>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813E5E"/>
    <w:pPr>
      <w:keepLines/>
      <w:tabs>
        <w:tab w:val="left" w:pos="256"/>
      </w:tabs>
      <w:ind w:left="256" w:hanging="256"/>
    </w:pPr>
  </w:style>
  <w:style w:type="paragraph" w:styleId="NormalIndent">
    <w:name w:val="Normal Indent"/>
    <w:basedOn w:val="Normal"/>
    <w:rsid w:val="00813E5E"/>
    <w:pPr>
      <w:ind w:left="567"/>
    </w:pPr>
  </w:style>
  <w:style w:type="paragraph" w:customStyle="1" w:styleId="enumlev1">
    <w:name w:val="enumlev1"/>
    <w:basedOn w:val="Normal"/>
    <w:rsid w:val="00813E5E"/>
    <w:pPr>
      <w:spacing w:before="86"/>
      <w:ind w:left="567" w:hanging="567"/>
    </w:pPr>
  </w:style>
  <w:style w:type="paragraph" w:customStyle="1" w:styleId="enumlev2">
    <w:name w:val="enumlev2"/>
    <w:basedOn w:val="enumlev1"/>
    <w:rsid w:val="00813E5E"/>
    <w:pPr>
      <w:ind w:left="1134"/>
    </w:pPr>
  </w:style>
  <w:style w:type="paragraph" w:customStyle="1" w:styleId="enumlev3">
    <w:name w:val="enumlev3"/>
    <w:basedOn w:val="enumlev2"/>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4405AB"/>
    <w:pPr>
      <w:framePr w:hSpace="180" w:wrap="around" w:vAnchor="page" w:hAnchor="page" w:x="1821" w:y="2317"/>
      <w:spacing w:before="840"/>
    </w:pPr>
    <w:rPr>
      <w:b/>
      <w:sz w:val="32"/>
      <w:szCs w:val="32"/>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484009"/>
    <w:rPr>
      <w:color w:val="0563C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813E5E"/>
    <w:pPr>
      <w:spacing w:before="16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rsid w:val="00813E5E"/>
    <w:pPr>
      <w:spacing w:before="720"/>
      <w:jc w:val="center"/>
    </w:pPr>
    <w:rPr>
      <w:caps/>
      <w:sz w:val="28"/>
    </w:rPr>
  </w:style>
  <w:style w:type="paragraph" w:customStyle="1" w:styleId="Annextitle">
    <w:name w:val="Annex_title"/>
    <w:basedOn w:val="Normal"/>
    <w:next w:val="Normal"/>
    <w:rsid w:val="00813E5E"/>
    <w:pPr>
      <w:spacing w:before="240" w:after="240"/>
      <w:jc w:val="center"/>
    </w:pPr>
    <w:rPr>
      <w:b/>
      <w:sz w:val="28"/>
    </w:rPr>
  </w:style>
  <w:style w:type="paragraph" w:customStyle="1" w:styleId="Annexref">
    <w:name w:val="Annex_ref"/>
    <w:basedOn w:val="Normal"/>
    <w:next w:val="Annextitle"/>
    <w:rsid w:val="00813E5E"/>
    <w:pPr>
      <w:jc w:val="center"/>
    </w:pPr>
  </w:style>
  <w:style w:type="paragraph" w:customStyle="1" w:styleId="AppendixNo">
    <w:name w:val="Appendix_No"/>
    <w:basedOn w:val="AnnexNo"/>
    <w:next w:val="Appendixref"/>
    <w:rsid w:val="00813E5E"/>
  </w:style>
  <w:style w:type="paragraph" w:customStyle="1" w:styleId="Appendixtitle">
    <w:name w:val="Appendix_title"/>
    <w:basedOn w:val="Annextitle"/>
    <w:next w:val="Normal"/>
    <w:rsid w:val="00813E5E"/>
  </w:style>
  <w:style w:type="paragraph" w:customStyle="1" w:styleId="Appendixref">
    <w:name w:val="Appendix_ref"/>
    <w:basedOn w:val="Annexref"/>
    <w:next w:val="Appendixtitle"/>
    <w:rsid w:val="00813E5E"/>
  </w:style>
  <w:style w:type="paragraph" w:customStyle="1" w:styleId="Call">
    <w:name w:val="Call"/>
    <w:basedOn w:val="Normal"/>
    <w:next w:val="Normal"/>
    <w:rsid w:val="00813E5E"/>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DF0189"/>
    <w:pPr>
      <w:framePr w:wrap="around" w:vAnchor="margin" w:hAnchor="text"/>
      <w:spacing w:before="120" w:after="160"/>
    </w:pPr>
  </w:style>
  <w:style w:type="paragraph" w:customStyle="1" w:styleId="Figure">
    <w:name w:val="Figure"/>
    <w:basedOn w:val="Normal"/>
    <w:next w:val="Figuretitle"/>
    <w:rsid w:val="004D1851"/>
    <w:pPr>
      <w:keepNext/>
      <w:keepLines/>
      <w:spacing w:after="120"/>
      <w:jc w:val="center"/>
    </w:pPr>
  </w:style>
  <w:style w:type="paragraph" w:customStyle="1" w:styleId="Figuretitle">
    <w:name w:val="Figure_title"/>
    <w:basedOn w:val="Tabletitle"/>
    <w:next w:val="Normalaftertitle"/>
    <w:rsid w:val="004D1851"/>
    <w:pPr>
      <w:spacing w:before="240" w:after="48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rsid w:val="004D1851"/>
    <w:pPr>
      <w:keepNext/>
      <w:keepLines/>
      <w:spacing w:before="20" w:after="20"/>
    </w:pPr>
    <w:rPr>
      <w:sz w:val="18"/>
    </w:rPr>
  </w:style>
  <w:style w:type="paragraph" w:customStyle="1" w:styleId="FigureNo">
    <w:name w:val="Figure_No"/>
    <w:basedOn w:val="Normal"/>
    <w:next w:val="Figuretitle"/>
    <w:rsid w:val="004D1851"/>
    <w:pPr>
      <w:keepNext/>
      <w:keepLines/>
      <w:spacing w:before="240" w:after="120"/>
      <w:jc w:val="center"/>
    </w:pPr>
    <w:rPr>
      <w:caps/>
    </w:rPr>
  </w:style>
  <w:style w:type="paragraph" w:customStyle="1" w:styleId="Figurewithouttitle">
    <w:name w:val="Figure_without_title"/>
    <w:basedOn w:val="Figure"/>
    <w:next w:val="Normalaftertitle"/>
    <w:rsid w:val="004D1851"/>
    <w:pPr>
      <w:keepNext w:val="0"/>
      <w:spacing w:after="240"/>
    </w:pPr>
  </w:style>
  <w:style w:type="paragraph" w:customStyle="1" w:styleId="Headingi">
    <w:name w:val="Heading_i"/>
    <w:basedOn w:val="Heading3"/>
    <w:next w:val="Normal"/>
    <w:rsid w:val="00813E5E"/>
    <w:pPr>
      <w:spacing w:before="16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rsid w:val="00813E5E"/>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3E5E"/>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3E5E"/>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3E5E"/>
  </w:style>
  <w:style w:type="paragraph" w:customStyle="1" w:styleId="Chaptitle">
    <w:name w:val="Chap_title"/>
    <w:basedOn w:val="Arttitle"/>
    <w:next w:val="Normal"/>
    <w:rsid w:val="00813E5E"/>
  </w:style>
  <w:style w:type="character" w:customStyle="1" w:styleId="UnresolvedMention1">
    <w:name w:val="Unresolved Mention1"/>
    <w:basedOn w:val="DefaultParagraphFont"/>
    <w:uiPriority w:val="99"/>
    <w:semiHidden/>
    <w:unhideWhenUsed/>
    <w:rsid w:val="004405AB"/>
    <w:rPr>
      <w:color w:val="605E5C"/>
      <w:shd w:val="clear" w:color="auto" w:fill="E1DFDD"/>
    </w:rPr>
  </w:style>
  <w:style w:type="paragraph" w:styleId="ListParagraph">
    <w:name w:val="List Paragraph"/>
    <w:basedOn w:val="Normal"/>
    <w:uiPriority w:val="34"/>
    <w:qFormat/>
    <w:rsid w:val="00DA77B0"/>
    <w:pPr>
      <w:overflowPunct/>
      <w:autoSpaceDE/>
      <w:autoSpaceDN/>
      <w:adjustRightInd/>
      <w:ind w:left="720"/>
      <w:contextualSpacing/>
      <w:textAlignment w:val="auto"/>
    </w:pPr>
    <w:rPr>
      <w:rFonts w:eastAsia="Calibri" w:cs="Calibri"/>
      <w:szCs w:val="24"/>
    </w:rPr>
  </w:style>
  <w:style w:type="paragraph" w:styleId="BalloonText">
    <w:name w:val="Balloon Text"/>
    <w:basedOn w:val="Normal"/>
    <w:link w:val="BalloonTextChar"/>
    <w:semiHidden/>
    <w:unhideWhenUsed/>
    <w:rsid w:val="00BE4CF3"/>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BE4CF3"/>
    <w:rPr>
      <w:rFonts w:ascii="Tahoma" w:hAnsi="Tahoma" w:cs="Tahoma"/>
      <w:sz w:val="16"/>
      <w:szCs w:val="16"/>
      <w:lang w:val="en-GB" w:eastAsia="en-US"/>
    </w:rPr>
  </w:style>
  <w:style w:type="character" w:styleId="CommentReference">
    <w:name w:val="annotation reference"/>
    <w:basedOn w:val="DefaultParagraphFont"/>
    <w:semiHidden/>
    <w:unhideWhenUsed/>
    <w:rsid w:val="00312B54"/>
    <w:rPr>
      <w:sz w:val="16"/>
      <w:szCs w:val="16"/>
    </w:rPr>
  </w:style>
  <w:style w:type="paragraph" w:styleId="CommentText">
    <w:name w:val="annotation text"/>
    <w:basedOn w:val="Normal"/>
    <w:link w:val="CommentTextChar"/>
    <w:semiHidden/>
    <w:unhideWhenUsed/>
    <w:rsid w:val="00312B54"/>
    <w:rPr>
      <w:sz w:val="20"/>
    </w:rPr>
  </w:style>
  <w:style w:type="character" w:customStyle="1" w:styleId="CommentTextChar">
    <w:name w:val="Comment Text Char"/>
    <w:basedOn w:val="DefaultParagraphFont"/>
    <w:link w:val="CommentText"/>
    <w:semiHidden/>
    <w:rsid w:val="00312B54"/>
    <w:rPr>
      <w:rFonts w:ascii="Calibri" w:hAnsi="Calibri"/>
      <w:lang w:val="en-GB" w:eastAsia="en-US"/>
    </w:rPr>
  </w:style>
  <w:style w:type="paragraph" w:styleId="CommentSubject">
    <w:name w:val="annotation subject"/>
    <w:basedOn w:val="CommentText"/>
    <w:next w:val="CommentText"/>
    <w:link w:val="CommentSubjectChar"/>
    <w:semiHidden/>
    <w:unhideWhenUsed/>
    <w:rsid w:val="00312B54"/>
    <w:rPr>
      <w:b/>
      <w:bCs/>
    </w:rPr>
  </w:style>
  <w:style w:type="character" w:customStyle="1" w:styleId="CommentSubjectChar">
    <w:name w:val="Comment Subject Char"/>
    <w:basedOn w:val="CommentTextChar"/>
    <w:link w:val="CommentSubject"/>
    <w:semiHidden/>
    <w:rsid w:val="00312B54"/>
    <w:rPr>
      <w:rFonts w:ascii="Calibri" w:hAnsi="Calibri"/>
      <w:b/>
      <w:bCs/>
      <w:lang w:val="en-GB" w:eastAsia="en-US"/>
    </w:rPr>
  </w:style>
  <w:style w:type="paragraph" w:styleId="Revision">
    <w:name w:val="Revision"/>
    <w:hidden/>
    <w:uiPriority w:val="99"/>
    <w:semiHidden/>
    <w:rsid w:val="00780DE3"/>
    <w:rPr>
      <w:rFonts w:ascii="Calibri" w:hAnsi="Calibri"/>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2023/RES-179-E.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itu.int/md/S15-CL-C-0109/en" TargetMode="External"/><Relationship Id="rId4" Type="http://schemas.openxmlformats.org/officeDocument/2006/relationships/settings" Target="settings.xml"/><Relationship Id="rId9" Type="http://schemas.openxmlformats.org/officeDocument/2006/relationships/hyperlink" Target="https://www.itu.int/dms_pub/itu-d/opb/tdc/D-TDC-WTDC-2022-PDF-E.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D99DB1-31F0-4E23-B461-B71F9A3AC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973</Words>
  <Characters>5585</Characters>
  <Application>Microsoft Office Word</Application>
  <DocSecurity>4</DocSecurity>
  <Lines>46</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Contribution from the Philippines - Draft New Resolution on Child Online Protection</vt:lpstr>
      <vt:lpstr>Contribution from the Philippines - Draft New Resolution on Child Online Protection</vt:lpstr>
    </vt:vector>
  </TitlesOfParts>
  <Company/>
  <LinksUpToDate>false</LinksUpToDate>
  <CharactersWithSpaces>6545</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the Philippines - Draft New Resolution on Child Online Protection</dc:title>
  <dc:subject>Council Working Group on Child Onlinie Protection</dc:subject>
  <dc:creator>Jocelle Sigue</dc:creator>
  <cp:keywords>CWG-COP, C24, Council-24</cp:keywords>
  <cp:lastModifiedBy>Brouard, Ricarda</cp:lastModifiedBy>
  <cp:revision>2</cp:revision>
  <cp:lastPrinted>2024-01-20T08:46:00Z</cp:lastPrinted>
  <dcterms:created xsi:type="dcterms:W3CDTF">2024-01-22T07:26:00Z</dcterms:created>
  <dcterms:modified xsi:type="dcterms:W3CDTF">2024-01-22T07:26:00Z</dcterms:modified>
  <cp:category>Conference document</cp:category>
</cp:coreProperties>
</file>