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5FA5A5A1"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53CD398"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A97B3B">
              <w:rPr>
                <w:b/>
              </w:rPr>
              <w:t>INF/17</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66DF1CD8" w:rsidR="00AD3606" w:rsidRPr="00E85629" w:rsidRDefault="00A97B3B" w:rsidP="00AD3606">
            <w:pPr>
              <w:tabs>
                <w:tab w:val="left" w:pos="851"/>
              </w:tabs>
              <w:spacing w:before="0"/>
              <w:jc w:val="right"/>
              <w:rPr>
                <w:b/>
              </w:rPr>
            </w:pPr>
            <w:r>
              <w:rPr>
                <w:b/>
              </w:rPr>
              <w:t>21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15E3CFC0" w:rsidR="00AD3606" w:rsidRPr="00E85629" w:rsidRDefault="00AD3606" w:rsidP="00AD3606">
            <w:pPr>
              <w:tabs>
                <w:tab w:val="left" w:pos="851"/>
              </w:tabs>
              <w:spacing w:before="0" w:line="240" w:lineRule="atLeast"/>
              <w:jc w:val="right"/>
              <w:rPr>
                <w:b/>
              </w:rPr>
            </w:pPr>
            <w:r>
              <w:rPr>
                <w:b/>
              </w:rPr>
              <w:t>English</w:t>
            </w:r>
            <w:r w:rsidR="00A97B3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40191B9" w:rsidR="00AD3606" w:rsidRPr="006850BE" w:rsidRDefault="00AD3606" w:rsidP="006850BE">
            <w:pPr>
              <w:pStyle w:val="Source"/>
              <w:framePr w:hSpace="0" w:wrap="auto" w:vAnchor="margin" w:hAnchor="text" w:xAlign="left" w:yAlign="inline"/>
            </w:pPr>
            <w:bookmarkStart w:id="8" w:name="dsource" w:colFirst="0" w:colLast="0"/>
            <w:bookmarkEnd w:id="7"/>
            <w:r w:rsidRPr="006850BE">
              <w:t xml:space="preserve">Report by </w:t>
            </w:r>
            <w:r w:rsidR="00EA253B">
              <w:t>Brazil (Federative Republic of)</w:t>
            </w:r>
          </w:p>
        </w:tc>
      </w:tr>
      <w:tr w:rsidR="00AD3606" w:rsidRPr="00813E5E" w14:paraId="2340750D" w14:textId="77777777" w:rsidTr="00AD3606">
        <w:trPr>
          <w:cantSplit/>
        </w:trPr>
        <w:tc>
          <w:tcPr>
            <w:tcW w:w="9214" w:type="dxa"/>
            <w:gridSpan w:val="2"/>
            <w:tcMar>
              <w:left w:w="0" w:type="dxa"/>
            </w:tcMar>
          </w:tcPr>
          <w:p w14:paraId="47B91AA8" w14:textId="7382A668" w:rsidR="00AD3606" w:rsidRPr="006850BE" w:rsidRDefault="00A97B3B" w:rsidP="006850BE">
            <w:pPr>
              <w:pStyle w:val="Subtitle"/>
              <w:framePr w:hSpace="0" w:wrap="auto" w:xAlign="left" w:yAlign="inline"/>
            </w:pPr>
            <w:bookmarkStart w:id="9" w:name="dtitle1" w:colFirst="0" w:colLast="0"/>
            <w:bookmarkEnd w:id="8"/>
            <w:r>
              <w:t>ITU PARTICIPATION IN THE WORK OF THE DIGITAL ECONOMY WORKING GROUP (DEWG) OF THE GROUP OF 20 UNDER THE BRAZILIAN PRESIDENCY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2E09FE8B" w14:textId="384A8005" w:rsidR="00AD3606" w:rsidRDefault="0004374E" w:rsidP="0004374E">
            <w:pPr>
              <w:jc w:val="both"/>
            </w:pPr>
            <w:r>
              <w:t xml:space="preserve">As the Presidency of the </w:t>
            </w:r>
            <w:r w:rsidRPr="0004374E">
              <w:t>Group of 20 (G20)</w:t>
            </w:r>
            <w:r>
              <w:t xml:space="preserve">, Brazil invited the ITU to act as the knowledge partner in </w:t>
            </w:r>
            <w:r w:rsidRPr="0004374E">
              <w:t>Digital Economy Working Group (DEWG)</w:t>
            </w:r>
            <w:r>
              <w:t xml:space="preserve"> </w:t>
            </w:r>
            <w:r w:rsidRPr="0004374E">
              <w:t>for the issue of Digital Inclusion, Universal and Meaningful Connectivity</w:t>
            </w:r>
            <w:r>
              <w:t>.</w:t>
            </w:r>
          </w:p>
          <w:p w14:paraId="1D1E1E3A" w14:textId="5310A4EB" w:rsidR="0004374E" w:rsidRPr="00813E5E" w:rsidRDefault="0004374E" w:rsidP="0004374E">
            <w:pPr>
              <w:jc w:val="both"/>
            </w:pPr>
            <w:r>
              <w:t>This is an Information Document prepared by Brazil to report to the Council the context and the progress of the ongoing DEWG G20 work.</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4ACFDA8F" w:rsidR="00AD3606" w:rsidRPr="00EA253B" w:rsidRDefault="00EA253B" w:rsidP="00AD3606">
            <w:pPr>
              <w:rPr>
                <w:b/>
              </w:rPr>
            </w:pPr>
            <w:r>
              <w:t xml:space="preserve">This report is transmitted to the Council </w:t>
            </w:r>
            <w:r>
              <w:rPr>
                <w:b/>
              </w:rPr>
              <w:t>for information.</w:t>
            </w:r>
          </w:p>
          <w:p w14:paraId="0175CD6C" w14:textId="1DFCF279" w:rsidR="00AD3606" w:rsidRPr="008822D8" w:rsidRDefault="00AD3606" w:rsidP="008822D8">
            <w:pPr>
              <w:spacing w:before="160"/>
              <w:rPr>
                <w:caps/>
                <w:sz w:val="22"/>
              </w:rPr>
            </w:pPr>
          </w:p>
        </w:tc>
      </w:tr>
    </w:tbl>
    <w:p w14:paraId="4CDB8B60" w14:textId="2A4D9B15" w:rsidR="00E227F3" w:rsidRPr="00331D88" w:rsidRDefault="00E227F3">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0" w:name="_Hlk133421428"/>
      <w:bookmarkEnd w:id="2"/>
      <w:bookmarkEnd w:id="9"/>
    </w:p>
    <w:bookmarkEnd w:id="3"/>
    <w:bookmarkEnd w:id="4"/>
    <w:p w14:paraId="1D7ED322" w14:textId="77777777" w:rsidR="0090147A" w:rsidRPr="00331D88"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331D88">
        <w:rPr>
          <w:lang w:val="en-US"/>
        </w:rPr>
        <w:br w:type="page"/>
      </w:r>
    </w:p>
    <w:bookmarkEnd w:id="5"/>
    <w:bookmarkEnd w:id="10"/>
    <w:p w14:paraId="1FA74B0D" w14:textId="28FC2373" w:rsidR="00EA43A4" w:rsidRPr="0057134F" w:rsidRDefault="00EA43A4"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57134F">
        <w:rPr>
          <w:lang w:val="en-US"/>
        </w:rPr>
        <w:lastRenderedPageBreak/>
        <w:t>This contribution aims to inform the Members of the ITU Council and other interested parties of the work currently under development in the Digital Economy Working Group (DEWG) of the Group of 20 (G20).</w:t>
      </w:r>
    </w:p>
    <w:p w14:paraId="39780484" w14:textId="77777777" w:rsidR="00EA43A4" w:rsidRPr="0057134F" w:rsidRDefault="00EA43A4"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369CC239" w14:textId="2D43E725" w:rsidR="00625266" w:rsidRDefault="005F0619"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57134F">
        <w:rPr>
          <w:lang w:val="en-US"/>
        </w:rPr>
        <w:t>From December 1, 2023, to November 30, 2024, Brazil hold</w:t>
      </w:r>
      <w:r w:rsidR="00331D88">
        <w:rPr>
          <w:lang w:val="en-US"/>
        </w:rPr>
        <w:t>s</w:t>
      </w:r>
      <w:r w:rsidRPr="0057134F">
        <w:rPr>
          <w:lang w:val="en-US"/>
        </w:rPr>
        <w:t xml:space="preserve"> the Presidency of the Group of 20 (G20). The G20 is a forum that brings together countries with some of the world's largest economies. Member </w:t>
      </w:r>
      <w:r w:rsidR="0057134F">
        <w:rPr>
          <w:lang w:val="en-US"/>
        </w:rPr>
        <w:t>S</w:t>
      </w:r>
      <w:r w:rsidRPr="0057134F">
        <w:rPr>
          <w:lang w:val="en-US"/>
        </w:rPr>
        <w:t xml:space="preserve">tates meet annually to discuss economic, political, and social initiatives. The Group has established itself as one of the </w:t>
      </w:r>
      <w:r w:rsidR="00331D88">
        <w:rPr>
          <w:lang w:val="en-US"/>
        </w:rPr>
        <w:t>leading</w:t>
      </w:r>
      <w:r w:rsidRPr="0057134F">
        <w:rPr>
          <w:lang w:val="en-US"/>
        </w:rPr>
        <w:t xml:space="preserve"> forums for international economic cooperation, with its terms of reference based on the agreement reached by leaders at the Pittsburgh Summit in September 2009. </w:t>
      </w:r>
    </w:p>
    <w:p w14:paraId="1CDAE7E7" w14:textId="14FF453D" w:rsidR="00331D88" w:rsidRDefault="00331D88"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25793D23" w14:textId="0D97B793" w:rsidR="00331D88" w:rsidRDefault="00331D88"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331D88">
        <w:rPr>
          <w:lang w:val="en-US"/>
        </w:rPr>
        <w:t>The Group is currently composed of 21 members and eight invited countries. There are three general priorities for Brazil's G20 Presidency:</w:t>
      </w:r>
    </w:p>
    <w:p w14:paraId="106A39DA" w14:textId="77777777" w:rsidR="00331D88" w:rsidRPr="00331D88" w:rsidRDefault="00331D88"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372B2C6D" w14:textId="6B8CFD52" w:rsidR="00331D88" w:rsidRPr="00A97B3B" w:rsidRDefault="00331D88" w:rsidP="00A97B3B">
      <w:pPr>
        <w:pStyle w:val="ListParagraph"/>
        <w:numPr>
          <w:ilvl w:val="0"/>
          <w:numId w:val="6"/>
        </w:numPr>
        <w:tabs>
          <w:tab w:val="clear" w:pos="567"/>
          <w:tab w:val="clear" w:pos="1134"/>
          <w:tab w:val="clear" w:pos="1701"/>
          <w:tab w:val="clear" w:pos="2268"/>
          <w:tab w:val="clear" w:pos="2835"/>
        </w:tabs>
        <w:overflowPunct/>
        <w:autoSpaceDE/>
        <w:autoSpaceDN/>
        <w:adjustRightInd/>
        <w:spacing w:after="120"/>
        <w:ind w:left="1434" w:hanging="357"/>
        <w:contextualSpacing w:val="0"/>
        <w:jc w:val="both"/>
        <w:textAlignment w:val="auto"/>
        <w:rPr>
          <w:lang w:val="en-US"/>
        </w:rPr>
      </w:pPr>
      <w:r w:rsidRPr="00A97B3B">
        <w:rPr>
          <w:lang w:val="en-US"/>
        </w:rPr>
        <w:t xml:space="preserve">Combating hunger, poverty, and </w:t>
      </w:r>
      <w:proofErr w:type="gramStart"/>
      <w:r w:rsidRPr="00A97B3B">
        <w:rPr>
          <w:lang w:val="en-US"/>
        </w:rPr>
        <w:t>inequality</w:t>
      </w:r>
      <w:r w:rsidR="00EA253B" w:rsidRPr="00A97B3B">
        <w:rPr>
          <w:lang w:val="en-US"/>
        </w:rPr>
        <w:t>;</w:t>
      </w:r>
      <w:proofErr w:type="gramEnd"/>
    </w:p>
    <w:p w14:paraId="0E541ABB" w14:textId="0C8695DA" w:rsidR="00331D88" w:rsidRPr="00A97B3B" w:rsidRDefault="00331D88" w:rsidP="00A97B3B">
      <w:pPr>
        <w:pStyle w:val="ListParagraph"/>
        <w:numPr>
          <w:ilvl w:val="0"/>
          <w:numId w:val="6"/>
        </w:numPr>
        <w:tabs>
          <w:tab w:val="clear" w:pos="567"/>
          <w:tab w:val="clear" w:pos="1134"/>
          <w:tab w:val="clear" w:pos="1701"/>
          <w:tab w:val="clear" w:pos="2268"/>
          <w:tab w:val="clear" w:pos="2835"/>
        </w:tabs>
        <w:overflowPunct/>
        <w:autoSpaceDE/>
        <w:autoSpaceDN/>
        <w:adjustRightInd/>
        <w:spacing w:after="120"/>
        <w:ind w:left="1434" w:hanging="357"/>
        <w:contextualSpacing w:val="0"/>
        <w:jc w:val="both"/>
        <w:textAlignment w:val="auto"/>
        <w:rPr>
          <w:lang w:val="en-US"/>
        </w:rPr>
      </w:pPr>
      <w:r w:rsidRPr="00A97B3B">
        <w:rPr>
          <w:lang w:val="en-US"/>
        </w:rPr>
        <w:t>The three dimensions of sustainable development (economic, social, and environmental)</w:t>
      </w:r>
      <w:r w:rsidR="00EA253B" w:rsidRPr="00A97B3B">
        <w:rPr>
          <w:lang w:val="en-US"/>
        </w:rPr>
        <w:t>; and</w:t>
      </w:r>
    </w:p>
    <w:p w14:paraId="200FF11B" w14:textId="1639DE1F" w:rsidR="00331D88" w:rsidRPr="00A97B3B" w:rsidRDefault="00331D88" w:rsidP="00A97B3B">
      <w:pPr>
        <w:pStyle w:val="ListParagraph"/>
        <w:numPr>
          <w:ilvl w:val="0"/>
          <w:numId w:val="6"/>
        </w:numPr>
        <w:tabs>
          <w:tab w:val="clear" w:pos="567"/>
          <w:tab w:val="clear" w:pos="1134"/>
          <w:tab w:val="clear" w:pos="1701"/>
          <w:tab w:val="clear" w:pos="2268"/>
          <w:tab w:val="clear" w:pos="2835"/>
        </w:tabs>
        <w:overflowPunct/>
        <w:autoSpaceDE/>
        <w:autoSpaceDN/>
        <w:adjustRightInd/>
        <w:spacing w:after="120"/>
        <w:ind w:left="1434" w:hanging="357"/>
        <w:contextualSpacing w:val="0"/>
        <w:jc w:val="both"/>
        <w:textAlignment w:val="auto"/>
        <w:rPr>
          <w:lang w:val="en-US"/>
        </w:rPr>
      </w:pPr>
      <w:r w:rsidRPr="00A97B3B">
        <w:rPr>
          <w:lang w:val="en-US"/>
        </w:rPr>
        <w:t>Reforming international governance.</w:t>
      </w:r>
    </w:p>
    <w:p w14:paraId="7D917427" w14:textId="77777777" w:rsidR="00570FDA" w:rsidRPr="0057134F" w:rsidRDefault="00570FDA"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5377DD14" w14:textId="5B916472" w:rsidR="00570FDA" w:rsidRPr="0057134F" w:rsidRDefault="00570FDA"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57134F">
        <w:rPr>
          <w:lang w:val="en-US"/>
        </w:rPr>
        <w:t>Specifically</w:t>
      </w:r>
      <w:r w:rsidR="00331D88">
        <w:rPr>
          <w:lang w:val="en-US"/>
        </w:rPr>
        <w:t>,</w:t>
      </w:r>
      <w:r w:rsidRPr="0057134F">
        <w:rPr>
          <w:lang w:val="en-US"/>
        </w:rPr>
        <w:t xml:space="preserve"> regarding the DEWG, four thematic areas are being explored this year:</w:t>
      </w:r>
    </w:p>
    <w:p w14:paraId="38692268" w14:textId="77777777" w:rsidR="00570FDA" w:rsidRPr="0057134F" w:rsidRDefault="00570FDA"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3459B6F7" w14:textId="77777777" w:rsidR="00570FDA" w:rsidRPr="0057134F" w:rsidRDefault="00570FDA" w:rsidP="00A97B3B">
      <w:pPr>
        <w:pStyle w:val="ListParagraph"/>
        <w:numPr>
          <w:ilvl w:val="0"/>
          <w:numId w:val="2"/>
        </w:numPr>
        <w:tabs>
          <w:tab w:val="clear" w:pos="567"/>
          <w:tab w:val="clear" w:pos="1134"/>
          <w:tab w:val="clear" w:pos="1701"/>
          <w:tab w:val="clear" w:pos="2268"/>
          <w:tab w:val="clear" w:pos="2835"/>
        </w:tabs>
        <w:overflowPunct/>
        <w:autoSpaceDE/>
        <w:autoSpaceDN/>
        <w:adjustRightInd/>
        <w:spacing w:before="160" w:after="160"/>
        <w:ind w:left="714" w:hanging="357"/>
        <w:contextualSpacing w:val="0"/>
        <w:jc w:val="both"/>
        <w:textAlignment w:val="auto"/>
        <w:rPr>
          <w:lang w:val="en-US"/>
        </w:rPr>
      </w:pPr>
      <w:r w:rsidRPr="0057134F">
        <w:rPr>
          <w:lang w:val="en-US"/>
        </w:rPr>
        <w:t>Digital Inclusion, Universal and Meaningful Connectivity;</w:t>
      </w:r>
    </w:p>
    <w:p w14:paraId="00523EF1" w14:textId="77777777" w:rsidR="00570FDA" w:rsidRPr="0057134F" w:rsidRDefault="00570FDA" w:rsidP="00A97B3B">
      <w:pPr>
        <w:pStyle w:val="ListParagraph"/>
        <w:numPr>
          <w:ilvl w:val="0"/>
          <w:numId w:val="2"/>
        </w:numPr>
        <w:tabs>
          <w:tab w:val="clear" w:pos="567"/>
          <w:tab w:val="clear" w:pos="1134"/>
          <w:tab w:val="clear" w:pos="1701"/>
          <w:tab w:val="clear" w:pos="2268"/>
          <w:tab w:val="clear" w:pos="2835"/>
        </w:tabs>
        <w:overflowPunct/>
        <w:autoSpaceDE/>
        <w:autoSpaceDN/>
        <w:adjustRightInd/>
        <w:spacing w:before="160" w:after="160"/>
        <w:ind w:left="714" w:hanging="357"/>
        <w:contextualSpacing w:val="0"/>
        <w:jc w:val="both"/>
        <w:textAlignment w:val="auto"/>
        <w:rPr>
          <w:lang w:val="en-US"/>
        </w:rPr>
      </w:pPr>
      <w:r w:rsidRPr="0057134F">
        <w:rPr>
          <w:lang w:val="en-US"/>
        </w:rPr>
        <w:t xml:space="preserve">Digital Government: Building a Reliable and Inclusive Public Digital </w:t>
      </w:r>
      <w:proofErr w:type="gramStart"/>
      <w:r w:rsidRPr="0057134F">
        <w:rPr>
          <w:lang w:val="en-US"/>
        </w:rPr>
        <w:t>Infrastructure;</w:t>
      </w:r>
      <w:proofErr w:type="gramEnd"/>
    </w:p>
    <w:p w14:paraId="76AF67A0" w14:textId="77777777" w:rsidR="00570FDA" w:rsidRPr="0057134F" w:rsidRDefault="00570FDA" w:rsidP="00A97B3B">
      <w:pPr>
        <w:pStyle w:val="ListParagraph"/>
        <w:numPr>
          <w:ilvl w:val="0"/>
          <w:numId w:val="2"/>
        </w:numPr>
        <w:tabs>
          <w:tab w:val="clear" w:pos="567"/>
          <w:tab w:val="clear" w:pos="1134"/>
          <w:tab w:val="clear" w:pos="1701"/>
          <w:tab w:val="clear" w:pos="2268"/>
          <w:tab w:val="clear" w:pos="2835"/>
        </w:tabs>
        <w:overflowPunct/>
        <w:autoSpaceDE/>
        <w:autoSpaceDN/>
        <w:adjustRightInd/>
        <w:spacing w:before="160" w:after="160"/>
        <w:ind w:left="714" w:hanging="357"/>
        <w:contextualSpacing w:val="0"/>
        <w:jc w:val="both"/>
        <w:textAlignment w:val="auto"/>
        <w:rPr>
          <w:lang w:val="en-US"/>
        </w:rPr>
      </w:pPr>
      <w:r w:rsidRPr="0057134F">
        <w:rPr>
          <w:lang w:val="en-US"/>
        </w:rPr>
        <w:t>Information Integrity in Digital Environments and Trust in the Digital Economy; and</w:t>
      </w:r>
    </w:p>
    <w:p w14:paraId="4337961F" w14:textId="1C840E29" w:rsidR="00570FDA" w:rsidRDefault="00570FDA" w:rsidP="00A97B3B">
      <w:pPr>
        <w:pStyle w:val="ListParagraph"/>
        <w:numPr>
          <w:ilvl w:val="0"/>
          <w:numId w:val="2"/>
        </w:numPr>
        <w:tabs>
          <w:tab w:val="clear" w:pos="567"/>
          <w:tab w:val="clear" w:pos="1134"/>
          <w:tab w:val="clear" w:pos="1701"/>
          <w:tab w:val="clear" w:pos="2268"/>
          <w:tab w:val="clear" w:pos="2835"/>
        </w:tabs>
        <w:overflowPunct/>
        <w:autoSpaceDE/>
        <w:autoSpaceDN/>
        <w:adjustRightInd/>
        <w:spacing w:before="160" w:after="160"/>
        <w:ind w:left="714" w:hanging="357"/>
        <w:contextualSpacing w:val="0"/>
        <w:jc w:val="both"/>
        <w:textAlignment w:val="auto"/>
        <w:rPr>
          <w:lang w:val="en-US"/>
        </w:rPr>
      </w:pPr>
      <w:r w:rsidRPr="0057134F">
        <w:rPr>
          <w:lang w:val="en-US"/>
        </w:rPr>
        <w:t>Artificial Intelligence for Sustainable Development and Reducing Inequalities.</w:t>
      </w:r>
    </w:p>
    <w:p w14:paraId="111FE9E1" w14:textId="77777777" w:rsidR="006E256D" w:rsidRPr="006E256D" w:rsidRDefault="006E256D"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39255CBE" w14:textId="7A013CBD" w:rsidR="00AA6933" w:rsidRPr="0057134F" w:rsidRDefault="006E256D"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6E256D">
        <w:rPr>
          <w:lang w:val="en-US"/>
        </w:rPr>
        <w:t>The International Telecommunication Union (ITU) is the knowledge partner of the G20 DEWG for the issue of Digital Inclusion, Universal and Meaningful Connectivity which has the objective to address the following questions to be reflected in the Group and the Brazilian Presidency outcomes:</w:t>
      </w:r>
    </w:p>
    <w:p w14:paraId="3FDAC5E2" w14:textId="77777777" w:rsidR="00AA6933" w:rsidRPr="0057134F" w:rsidRDefault="00AA6933"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0AE9BBC9" w14:textId="692C0F07" w:rsidR="00AA6933" w:rsidRPr="0057134F" w:rsidRDefault="00AA6933" w:rsidP="00A97B3B">
      <w:pPr>
        <w:pStyle w:val="ListParagraph"/>
        <w:numPr>
          <w:ilvl w:val="0"/>
          <w:numId w:val="3"/>
        </w:numPr>
        <w:tabs>
          <w:tab w:val="clear" w:pos="567"/>
          <w:tab w:val="clear" w:pos="1134"/>
          <w:tab w:val="clear" w:pos="1701"/>
          <w:tab w:val="clear" w:pos="2268"/>
          <w:tab w:val="clear" w:pos="2835"/>
        </w:tabs>
        <w:overflowPunct/>
        <w:autoSpaceDE/>
        <w:autoSpaceDN/>
        <w:adjustRightInd/>
        <w:spacing w:before="160" w:after="160"/>
        <w:ind w:left="714" w:hanging="357"/>
        <w:contextualSpacing w:val="0"/>
        <w:jc w:val="both"/>
        <w:textAlignment w:val="auto"/>
        <w:rPr>
          <w:lang w:val="en-US"/>
        </w:rPr>
      </w:pPr>
      <w:r w:rsidRPr="0057134F">
        <w:rPr>
          <w:lang w:val="en-US"/>
        </w:rPr>
        <w:t xml:space="preserve">Would it be possible to reach an agreement on guidelines for developing a set of comparable indicators and </w:t>
      </w:r>
      <w:r w:rsidR="005941F0">
        <w:rPr>
          <w:lang w:val="en-US"/>
        </w:rPr>
        <w:t>metrics</w:t>
      </w:r>
      <w:r w:rsidRPr="0057134F">
        <w:rPr>
          <w:lang w:val="en-US"/>
        </w:rPr>
        <w:t xml:space="preserve"> that contribute to overcoming existing gaps in digital connectivity?</w:t>
      </w:r>
    </w:p>
    <w:p w14:paraId="7ABA9350" w14:textId="5DE29AE0" w:rsidR="00AA6933" w:rsidRPr="0057134F" w:rsidRDefault="00AA6933" w:rsidP="00A97B3B">
      <w:pPr>
        <w:pStyle w:val="ListParagraph"/>
        <w:numPr>
          <w:ilvl w:val="0"/>
          <w:numId w:val="3"/>
        </w:numPr>
        <w:tabs>
          <w:tab w:val="clear" w:pos="567"/>
          <w:tab w:val="clear" w:pos="1134"/>
          <w:tab w:val="clear" w:pos="1701"/>
          <w:tab w:val="clear" w:pos="2268"/>
          <w:tab w:val="clear" w:pos="2835"/>
        </w:tabs>
        <w:overflowPunct/>
        <w:autoSpaceDE/>
        <w:autoSpaceDN/>
        <w:adjustRightInd/>
        <w:spacing w:before="160" w:after="160"/>
        <w:ind w:left="714" w:hanging="357"/>
        <w:contextualSpacing w:val="0"/>
        <w:jc w:val="both"/>
        <w:textAlignment w:val="auto"/>
        <w:rPr>
          <w:lang w:val="en-US"/>
        </w:rPr>
      </w:pPr>
      <w:r w:rsidRPr="0057134F">
        <w:rPr>
          <w:lang w:val="en-US"/>
        </w:rPr>
        <w:t>Can we identify a set of applications aimed at improving users' perception of the importance of meaningful connectivity (such as in education, health, digital government services, among others)?</w:t>
      </w:r>
    </w:p>
    <w:p w14:paraId="0B6F3864" w14:textId="62B267A3" w:rsidR="00AA6933" w:rsidRDefault="00AA6933" w:rsidP="00A97B3B">
      <w:pPr>
        <w:pStyle w:val="ListParagraph"/>
        <w:numPr>
          <w:ilvl w:val="0"/>
          <w:numId w:val="3"/>
        </w:numPr>
        <w:tabs>
          <w:tab w:val="clear" w:pos="567"/>
          <w:tab w:val="clear" w:pos="1134"/>
          <w:tab w:val="clear" w:pos="1701"/>
          <w:tab w:val="clear" w:pos="2268"/>
          <w:tab w:val="clear" w:pos="2835"/>
        </w:tabs>
        <w:overflowPunct/>
        <w:autoSpaceDE/>
        <w:autoSpaceDN/>
        <w:adjustRightInd/>
        <w:spacing w:before="160" w:after="160"/>
        <w:ind w:left="714" w:hanging="357"/>
        <w:contextualSpacing w:val="0"/>
        <w:jc w:val="both"/>
        <w:textAlignment w:val="auto"/>
        <w:rPr>
          <w:lang w:val="en-US"/>
        </w:rPr>
      </w:pPr>
      <w:r w:rsidRPr="0057134F">
        <w:rPr>
          <w:lang w:val="en-US"/>
        </w:rPr>
        <w:t>What types of innovative financing mechanisms could be facilitated by plurilateral and multilateral financial institutions to accelerate progress towards the goal of universal and meaningful connectivity by 2030?</w:t>
      </w:r>
    </w:p>
    <w:p w14:paraId="2986E056" w14:textId="77777777" w:rsidR="00D22EEE" w:rsidRDefault="00D22EEE"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7F8CB104" w14:textId="33E8D23B" w:rsidR="003C6C1C" w:rsidRDefault="006E256D"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6E256D">
        <w:rPr>
          <w:lang w:val="en-US"/>
        </w:rPr>
        <w:t>During the previous DEWG meetings, the first held online (from January 31 to February 1) and the second in Brasília, Federal District (from April 11 to 13), Brazil presented and received feedback on the Issue Note of the G20 DEWG and presented a first draft of the Ministerial Declaration. The third meeting of the DEWG during the Brazilian Presidency is scheduled to take place from June 11 to 13 in São Luís, State of Maranhão.</w:t>
      </w:r>
    </w:p>
    <w:p w14:paraId="6E6C9AC2" w14:textId="77777777" w:rsidR="006E256D" w:rsidRDefault="006E256D"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0940B224" w14:textId="33AA730B" w:rsidR="003C6C1C" w:rsidRDefault="003C6C1C"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Pr>
          <w:lang w:val="en-US"/>
        </w:rPr>
        <w:t xml:space="preserve">It is worth noting that the ITU </w:t>
      </w:r>
      <w:r w:rsidR="003251F3">
        <w:rPr>
          <w:lang w:val="en-US"/>
        </w:rPr>
        <w:t xml:space="preserve">has already </w:t>
      </w:r>
      <w:r w:rsidR="00E02AFB">
        <w:rPr>
          <w:lang w:val="en-US"/>
        </w:rPr>
        <w:t>played</w:t>
      </w:r>
      <w:r w:rsidR="003251F3">
        <w:rPr>
          <w:lang w:val="en-US"/>
        </w:rPr>
        <w:t xml:space="preserve"> a leading role</w:t>
      </w:r>
      <w:r>
        <w:rPr>
          <w:lang w:val="en-US"/>
        </w:rPr>
        <w:t xml:space="preserve"> in two of the deliverables of </w:t>
      </w:r>
      <w:r w:rsidR="003251F3">
        <w:rPr>
          <w:lang w:val="en-US"/>
        </w:rPr>
        <w:t xml:space="preserve">the G20 DEWG, having participated in two workshops </w:t>
      </w:r>
      <w:r w:rsidR="006E256D">
        <w:rPr>
          <w:lang w:val="en-US"/>
        </w:rPr>
        <w:t>on</w:t>
      </w:r>
      <w:r w:rsidR="003251F3">
        <w:rPr>
          <w:lang w:val="en-US"/>
        </w:rPr>
        <w:t xml:space="preserve"> the topics of Artificial Intelligence for Sustainable Development</w:t>
      </w:r>
      <w:r w:rsidR="00E02AFB">
        <w:rPr>
          <w:lang w:val="en-US"/>
        </w:rPr>
        <w:t xml:space="preserve"> (April 17, at the </w:t>
      </w:r>
      <w:proofErr w:type="spellStart"/>
      <w:r w:rsidR="00E02AFB">
        <w:rPr>
          <w:lang w:val="en-US"/>
        </w:rPr>
        <w:t>Itamaraty</w:t>
      </w:r>
      <w:proofErr w:type="spellEnd"/>
      <w:r w:rsidR="00E02AFB">
        <w:rPr>
          <w:lang w:val="en-US"/>
        </w:rPr>
        <w:t xml:space="preserve"> Palace in Brasília)</w:t>
      </w:r>
      <w:r w:rsidR="003251F3">
        <w:rPr>
          <w:lang w:val="en-US"/>
        </w:rPr>
        <w:t xml:space="preserve"> and Indicators for Universal and Meaningful Connectivity</w:t>
      </w:r>
      <w:r w:rsidR="00E02AFB">
        <w:rPr>
          <w:lang w:val="en-US"/>
        </w:rPr>
        <w:t xml:space="preserve"> (April 19, at </w:t>
      </w:r>
      <w:r w:rsidR="006E256D">
        <w:rPr>
          <w:lang w:val="en-US"/>
        </w:rPr>
        <w:t xml:space="preserve">the National Telecommunication Agency - </w:t>
      </w:r>
      <w:r w:rsidR="00E02AFB">
        <w:rPr>
          <w:lang w:val="en-US"/>
        </w:rPr>
        <w:t>Anatel in Brasília)</w:t>
      </w:r>
      <w:r w:rsidR="003251F3">
        <w:rPr>
          <w:lang w:val="en-US"/>
        </w:rPr>
        <w:t>.</w:t>
      </w:r>
      <w:r w:rsidR="008822D8">
        <w:rPr>
          <w:lang w:val="en-US"/>
        </w:rPr>
        <w:t xml:space="preserve"> </w:t>
      </w:r>
      <w:r w:rsidR="008822D8">
        <w:t>Additionally, ITU representatives are engaged in the ongoing technical debates, providing relevant expertise and helpful insights. </w:t>
      </w:r>
    </w:p>
    <w:p w14:paraId="7266AC97" w14:textId="77777777" w:rsidR="003C6C1C" w:rsidRDefault="003C6C1C"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6C2BEB7A" w14:textId="6FC350E2" w:rsidR="0057134F" w:rsidRDefault="006E256D" w:rsidP="00EA253B">
      <w:pPr>
        <w:tabs>
          <w:tab w:val="clear" w:pos="567"/>
          <w:tab w:val="clear" w:pos="1134"/>
          <w:tab w:val="clear" w:pos="1701"/>
          <w:tab w:val="clear" w:pos="2268"/>
          <w:tab w:val="clear" w:pos="2835"/>
        </w:tabs>
        <w:overflowPunct/>
        <w:autoSpaceDE/>
        <w:autoSpaceDN/>
        <w:adjustRightInd/>
        <w:spacing w:before="0"/>
        <w:jc w:val="both"/>
        <w:textAlignment w:val="auto"/>
      </w:pPr>
      <w:r>
        <w:t>As we approach the Ministerial Meeting next September, Brazil is confident that it will deliver essential outcomes that will contribute to the efforts by the ITU and its membership on the issues of Universal and Meaningful Connectivity, Digital Public Infrastructure, Information Integrity, and on Artificial Intelligence.</w:t>
      </w:r>
    </w:p>
    <w:p w14:paraId="3036E14A" w14:textId="594A552B" w:rsidR="00A97B3B" w:rsidRPr="0057134F" w:rsidRDefault="00A97B3B" w:rsidP="00A97B3B">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t>__________________</w:t>
      </w:r>
    </w:p>
    <w:p w14:paraId="7A2E6318" w14:textId="77777777" w:rsidR="0057134F" w:rsidRPr="00331D88" w:rsidRDefault="0057134F" w:rsidP="00EA253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sectPr w:rsidR="0057134F" w:rsidRPr="00331D88" w:rsidSect="00D51387">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39CE" w14:textId="77777777" w:rsidR="00F4429B" w:rsidRDefault="00F4429B">
      <w:r>
        <w:separator/>
      </w:r>
    </w:p>
  </w:endnote>
  <w:endnote w:type="continuationSeparator" w:id="0">
    <w:p w14:paraId="5F77BD06" w14:textId="77777777" w:rsidR="00F4429B" w:rsidRDefault="00F4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1E3378AF" w:rsidR="00EE49E8" w:rsidRPr="00E06FD5" w:rsidRDefault="00EE49E8" w:rsidP="00A97B3B">
          <w:pPr>
            <w:pStyle w:val="Header"/>
            <w:tabs>
              <w:tab w:val="left" w:pos="6742"/>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A97B3B">
            <w:rPr>
              <w:bCs/>
            </w:rPr>
            <w:t>INF/17</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A97B3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1662B729" w:rsidR="00EE49E8" w:rsidRPr="00E06FD5" w:rsidRDefault="00EE49E8" w:rsidP="00A97B3B">
          <w:pPr>
            <w:pStyle w:val="Header"/>
            <w:tabs>
              <w:tab w:val="left" w:pos="6742"/>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A97B3B">
            <w:rPr>
              <w:bCs/>
            </w:rPr>
            <w:t>INF/17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DB5B" w14:textId="77777777" w:rsidR="00F4429B" w:rsidRDefault="00F4429B">
      <w:r>
        <w:t>____________________</w:t>
      </w:r>
    </w:p>
  </w:footnote>
  <w:footnote w:type="continuationSeparator" w:id="0">
    <w:p w14:paraId="3E47FDAE" w14:textId="77777777" w:rsidR="00F4429B" w:rsidRDefault="00F4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E453F"/>
    <w:multiLevelType w:val="hybridMultilevel"/>
    <w:tmpl w:val="7B3AD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863594"/>
    <w:multiLevelType w:val="hybridMultilevel"/>
    <w:tmpl w:val="3E1C3F0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ECF1A6F"/>
    <w:multiLevelType w:val="hybridMultilevel"/>
    <w:tmpl w:val="82D82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05208A"/>
    <w:multiLevelType w:val="hybridMultilevel"/>
    <w:tmpl w:val="85A23C6A"/>
    <w:lvl w:ilvl="0" w:tplc="0A40A29E">
      <w:start w:val="1"/>
      <w:numFmt w:val="bullet"/>
      <w:lvlText w:val=""/>
      <w:lvlJc w:val="left"/>
      <w:pPr>
        <w:ind w:left="1440" w:hanging="360"/>
      </w:pPr>
      <w:rPr>
        <w:rFonts w:ascii="Symbol" w:hAnsi="Symbol" w:hint="default"/>
        <w:sz w:val="20"/>
        <w:szCs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6CD316D0"/>
    <w:multiLevelType w:val="hybridMultilevel"/>
    <w:tmpl w:val="D040C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77749996">
    <w:abstractNumId w:val="0"/>
  </w:num>
  <w:num w:numId="2" w16cid:durableId="737898117">
    <w:abstractNumId w:val="5"/>
  </w:num>
  <w:num w:numId="3" w16cid:durableId="1315447674">
    <w:abstractNumId w:val="1"/>
  </w:num>
  <w:num w:numId="4" w16cid:durableId="2079401079">
    <w:abstractNumId w:val="3"/>
  </w:num>
  <w:num w:numId="5" w16cid:durableId="1063017188">
    <w:abstractNumId w:val="2"/>
  </w:num>
  <w:num w:numId="6" w16cid:durableId="2027822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08CF"/>
    <w:rsid w:val="000210D4"/>
    <w:rsid w:val="0004374E"/>
    <w:rsid w:val="0004698E"/>
    <w:rsid w:val="00063016"/>
    <w:rsid w:val="00066795"/>
    <w:rsid w:val="00076AF6"/>
    <w:rsid w:val="00085CF2"/>
    <w:rsid w:val="000977DA"/>
    <w:rsid w:val="000B1705"/>
    <w:rsid w:val="000D75B2"/>
    <w:rsid w:val="001121F5"/>
    <w:rsid w:val="001400DC"/>
    <w:rsid w:val="00140CE1"/>
    <w:rsid w:val="001740E2"/>
    <w:rsid w:val="0017539C"/>
    <w:rsid w:val="00175AC2"/>
    <w:rsid w:val="0017609F"/>
    <w:rsid w:val="001A730F"/>
    <w:rsid w:val="001A7D1D"/>
    <w:rsid w:val="001B51DD"/>
    <w:rsid w:val="001C628E"/>
    <w:rsid w:val="001E0F7B"/>
    <w:rsid w:val="002119FD"/>
    <w:rsid w:val="002130E0"/>
    <w:rsid w:val="00264425"/>
    <w:rsid w:val="00265875"/>
    <w:rsid w:val="0027303B"/>
    <w:rsid w:val="0028109B"/>
    <w:rsid w:val="002A2188"/>
    <w:rsid w:val="002B1F58"/>
    <w:rsid w:val="002C1C7A"/>
    <w:rsid w:val="002C54E2"/>
    <w:rsid w:val="0030160F"/>
    <w:rsid w:val="0030704C"/>
    <w:rsid w:val="00320223"/>
    <w:rsid w:val="00322D0D"/>
    <w:rsid w:val="003251F3"/>
    <w:rsid w:val="00331D88"/>
    <w:rsid w:val="00361465"/>
    <w:rsid w:val="003877F5"/>
    <w:rsid w:val="003942D4"/>
    <w:rsid w:val="003958A8"/>
    <w:rsid w:val="003C2533"/>
    <w:rsid w:val="003C6C1C"/>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70FDA"/>
    <w:rsid w:val="0057134F"/>
    <w:rsid w:val="005800BC"/>
    <w:rsid w:val="00582442"/>
    <w:rsid w:val="005941F0"/>
    <w:rsid w:val="005F0619"/>
    <w:rsid w:val="005F3269"/>
    <w:rsid w:val="00623AE3"/>
    <w:rsid w:val="00625266"/>
    <w:rsid w:val="0064737F"/>
    <w:rsid w:val="006535F1"/>
    <w:rsid w:val="0065557D"/>
    <w:rsid w:val="00660D50"/>
    <w:rsid w:val="00662984"/>
    <w:rsid w:val="006716BB"/>
    <w:rsid w:val="00683BB5"/>
    <w:rsid w:val="006850BE"/>
    <w:rsid w:val="006B1859"/>
    <w:rsid w:val="006B4DF8"/>
    <w:rsid w:val="006B6680"/>
    <w:rsid w:val="006B6DCC"/>
    <w:rsid w:val="006D5264"/>
    <w:rsid w:val="006E256D"/>
    <w:rsid w:val="00702DEF"/>
    <w:rsid w:val="00706861"/>
    <w:rsid w:val="0075051B"/>
    <w:rsid w:val="007526B6"/>
    <w:rsid w:val="00793188"/>
    <w:rsid w:val="00794D34"/>
    <w:rsid w:val="007B6784"/>
    <w:rsid w:val="00813E5E"/>
    <w:rsid w:val="0083581B"/>
    <w:rsid w:val="00863874"/>
    <w:rsid w:val="00864AFF"/>
    <w:rsid w:val="00865925"/>
    <w:rsid w:val="008822D8"/>
    <w:rsid w:val="00894A22"/>
    <w:rsid w:val="008B4A6A"/>
    <w:rsid w:val="008C2D09"/>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405D1"/>
    <w:rsid w:val="00A514A4"/>
    <w:rsid w:val="00A55622"/>
    <w:rsid w:val="00A739FE"/>
    <w:rsid w:val="00A83502"/>
    <w:rsid w:val="00A97B3B"/>
    <w:rsid w:val="00AA6933"/>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8F0"/>
    <w:rsid w:val="00CD0C08"/>
    <w:rsid w:val="00CE03FB"/>
    <w:rsid w:val="00CE433C"/>
    <w:rsid w:val="00CF0161"/>
    <w:rsid w:val="00CF33F3"/>
    <w:rsid w:val="00D06183"/>
    <w:rsid w:val="00D22C42"/>
    <w:rsid w:val="00D22EEE"/>
    <w:rsid w:val="00D51387"/>
    <w:rsid w:val="00D65041"/>
    <w:rsid w:val="00DB1936"/>
    <w:rsid w:val="00DB384B"/>
    <w:rsid w:val="00DF0189"/>
    <w:rsid w:val="00E02AFB"/>
    <w:rsid w:val="00E06FD5"/>
    <w:rsid w:val="00E10E80"/>
    <w:rsid w:val="00E124F0"/>
    <w:rsid w:val="00E21514"/>
    <w:rsid w:val="00E227F3"/>
    <w:rsid w:val="00E23618"/>
    <w:rsid w:val="00E545C6"/>
    <w:rsid w:val="00E60F04"/>
    <w:rsid w:val="00E65B24"/>
    <w:rsid w:val="00E854E4"/>
    <w:rsid w:val="00E86DBF"/>
    <w:rsid w:val="00EA253B"/>
    <w:rsid w:val="00EA43A4"/>
    <w:rsid w:val="00EB0D6F"/>
    <w:rsid w:val="00EB2232"/>
    <w:rsid w:val="00EC310D"/>
    <w:rsid w:val="00EC5337"/>
    <w:rsid w:val="00EE49E8"/>
    <w:rsid w:val="00F16BAB"/>
    <w:rsid w:val="00F2150A"/>
    <w:rsid w:val="00F231D8"/>
    <w:rsid w:val="00F4429B"/>
    <w:rsid w:val="00F44C00"/>
    <w:rsid w:val="00F45D2C"/>
    <w:rsid w:val="00F46C5F"/>
    <w:rsid w:val="00F632C0"/>
    <w:rsid w:val="00F74710"/>
    <w:rsid w:val="00F94A63"/>
    <w:rsid w:val="00FA1C28"/>
    <w:rsid w:val="00FB1279"/>
    <w:rsid w:val="00FB6B76"/>
    <w:rsid w:val="00FB7596"/>
    <w:rsid w:val="00FE4077"/>
    <w:rsid w:val="00FE500D"/>
    <w:rsid w:val="00FE77D2"/>
    <w:rsid w:val="00FF17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57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7FB5-139D-4B7B-8C78-47123BF4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6</TotalTime>
  <Pages>3</Pages>
  <Words>636</Words>
  <Characters>3629</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C2024, C24, Council-24</vt:lpstr>
      <vt:lpstr>C2024, C24, Council-24</vt:lpstr>
    </vt:vector>
  </TitlesOfParts>
  <Manager>General Secretariat - Pool</Manager>
  <Company>International Telecommunication Union (ITU)</Company>
  <LinksUpToDate>false</LinksUpToDate>
  <CharactersWithSpaces>4257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Brazil - G20</dc:title>
  <dc:subject>Council 2024</dc:subject>
  <dc:creator>author</dc:creator>
  <cp:keywords>C2024, C24, Council-24</cp:keywords>
  <dc:description/>
  <cp:lastModifiedBy>Brouard, Ricarda</cp:lastModifiedBy>
  <cp:revision>3</cp:revision>
  <cp:lastPrinted>2024-05-22T18:56:00Z</cp:lastPrinted>
  <dcterms:created xsi:type="dcterms:W3CDTF">2024-05-22T20:12:00Z</dcterms:created>
  <dcterms:modified xsi:type="dcterms:W3CDTF">2024-05-22T20:18:00Z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