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34CEDA7B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47B8E5E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5C5124F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ED01AB">
              <w:rPr>
                <w:b/>
              </w:rPr>
              <w:t>INF/</w:t>
            </w:r>
            <w:r w:rsidR="00B758EB">
              <w:rPr>
                <w:b/>
              </w:rPr>
              <w:t>10</w:t>
            </w:r>
          </w:p>
        </w:tc>
      </w:tr>
      <w:tr w:rsidR="00AD3606" w:rsidRPr="00813E5E" w14:paraId="789B45BA" w14:textId="77777777" w:rsidTr="34CEDA7B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DA3306F" w:rsidR="00AD3606" w:rsidRPr="00E85629" w:rsidRDefault="00C8434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eastAsia="zh-CN"/>
              </w:rPr>
              <w:t>5 May</w:t>
            </w:r>
            <w:r w:rsidR="00DD3B4B">
              <w:rPr>
                <w:rFonts w:hint="eastAsia"/>
                <w:b/>
                <w:lang w:eastAsia="zh-CN"/>
              </w:rPr>
              <w:t xml:space="preserve"> </w:t>
            </w:r>
            <w:r w:rsidR="00AD3606">
              <w:rPr>
                <w:b/>
              </w:rPr>
              <w:t>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34CEDA7B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EA4DC78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ED01A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34CEDA7B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3B6E5F" w:rsidRPr="00813E5E" w14:paraId="27000B2A" w14:textId="77777777" w:rsidTr="34CEDA7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165BC877" w:rsidR="003B6E5F" w:rsidRPr="006850BE" w:rsidRDefault="003B6E5F" w:rsidP="00E154C7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3B6E5F" w:rsidRPr="00813E5E" w14:paraId="2340750D" w14:textId="77777777" w:rsidTr="34CEDA7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6BC829DD" w:rsidR="003B6E5F" w:rsidRPr="00547AF4" w:rsidRDefault="00862B2A" w:rsidP="00E154C7">
            <w:pPr>
              <w:pStyle w:val="Subtitle"/>
              <w:framePr w:hSpace="0" w:wrap="auto" w:xAlign="left" w:yAlign="inline"/>
              <w:rPr>
                <w:lang w:eastAsia="zh-CN"/>
              </w:rPr>
            </w:pPr>
            <w:bookmarkStart w:id="9" w:name="_Hlk164762169"/>
            <w:bookmarkStart w:id="10" w:name="dtitle1"/>
            <w:bookmarkEnd w:id="8"/>
            <w:r w:rsidRPr="34CEDA7B">
              <w:t>ITU HR PARTNERSHIPS - ARRANGEMENTS FOR</w:t>
            </w:r>
            <w:r w:rsidR="000D2B4D" w:rsidRPr="34CEDA7B">
              <w:rPr>
                <w:lang w:eastAsia="zh-CN"/>
              </w:rPr>
              <w:t xml:space="preserve"> </w:t>
            </w:r>
            <w:r w:rsidRPr="34CEDA7B">
              <w:t>FUNDS-IN-</w:t>
            </w:r>
            <w:r w:rsidRPr="34CEDA7B">
              <w:rPr>
                <w:lang w:eastAsia="zh-CN"/>
              </w:rPr>
              <w:t>T</w:t>
            </w:r>
            <w:r w:rsidRPr="34CEDA7B">
              <w:t>RUST (FIT)/SECONDMENTS,</w:t>
            </w:r>
            <w:r w:rsidRPr="34CEDA7B">
              <w:rPr>
                <w:lang w:eastAsia="zh-CN"/>
              </w:rPr>
              <w:t xml:space="preserve"> </w:t>
            </w:r>
            <w:r w:rsidR="00B94287" w:rsidRPr="34CEDA7B">
              <w:t>LOAN</w:t>
            </w:r>
            <w:r w:rsidR="00B94287" w:rsidRPr="34CEDA7B">
              <w:rPr>
                <w:lang w:eastAsia="zh-CN"/>
              </w:rPr>
              <w:t>S</w:t>
            </w:r>
            <w:r w:rsidR="00B94287" w:rsidRPr="34CEDA7B">
              <w:t xml:space="preserve">, </w:t>
            </w:r>
            <w:r w:rsidR="4464345F" w:rsidRPr="34CEDA7B">
              <w:t>JUNIOR PROFESSIONAL OFFICERS (</w:t>
            </w:r>
            <w:r w:rsidR="00B94287" w:rsidRPr="34CEDA7B">
              <w:rPr>
                <w:lang w:eastAsia="zh-CN"/>
              </w:rPr>
              <w:t>JPO</w:t>
            </w:r>
            <w:r w:rsidR="3FD2C43B" w:rsidRPr="34CEDA7B">
              <w:rPr>
                <w:lang w:eastAsia="zh-CN"/>
              </w:rPr>
              <w:t>)</w:t>
            </w:r>
            <w:r w:rsidR="00B94287" w:rsidRPr="34CEDA7B">
              <w:rPr>
                <w:lang w:eastAsia="zh-CN"/>
              </w:rPr>
              <w:t xml:space="preserve">, </w:t>
            </w:r>
            <w:r w:rsidRPr="34CEDA7B">
              <w:t>SPONSORED INTERNS</w:t>
            </w:r>
            <w:bookmarkEnd w:id="9"/>
          </w:p>
        </w:tc>
      </w:tr>
      <w:tr w:rsidR="003B6E5F" w:rsidRPr="00813E5E" w14:paraId="1F564D2D" w14:textId="77777777" w:rsidTr="34CEDA7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30CF2A8" w14:textId="77777777" w:rsidR="003B6E5F" w:rsidRPr="00F16BAB" w:rsidRDefault="003B6E5F" w:rsidP="003B6E5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62C5ED32" w14:textId="35B11E97" w:rsidR="003B6E5F" w:rsidRPr="00813E5E" w:rsidRDefault="003B6E5F" w:rsidP="00A6379F">
            <w:pPr>
              <w:jc w:val="both"/>
            </w:pPr>
            <w:r>
              <w:t xml:space="preserve">The purpose of this document is to inform the ITU Council on collaboration with Member States and institutions under the ITU </w:t>
            </w:r>
            <w:r w:rsidR="00547AF4">
              <w:rPr>
                <w:rFonts w:hint="eastAsia"/>
                <w:lang w:eastAsia="zh-CN"/>
              </w:rPr>
              <w:t xml:space="preserve">HR </w:t>
            </w:r>
            <w:r>
              <w:t>partnership</w:t>
            </w:r>
            <w:r w:rsidR="00547AF4">
              <w:rPr>
                <w:rFonts w:hint="eastAsia"/>
                <w:lang w:eastAsia="zh-CN"/>
              </w:rPr>
              <w:t>s</w:t>
            </w:r>
            <w:r>
              <w:t xml:space="preserve"> programme, which manages</w:t>
            </w:r>
            <w:r w:rsidR="00B94287">
              <w:rPr>
                <w:rFonts w:hint="eastAsia"/>
                <w:lang w:eastAsia="zh-CN"/>
              </w:rPr>
              <w:t xml:space="preserve"> </w:t>
            </w:r>
            <w:r w:rsidR="00547AF4">
              <w:rPr>
                <w:rFonts w:hint="eastAsia"/>
                <w:lang w:eastAsia="zh-CN"/>
              </w:rPr>
              <w:t>F</w:t>
            </w:r>
            <w:r>
              <w:t>unds-in-</w:t>
            </w:r>
            <w:r w:rsidR="00547AF4">
              <w:rPr>
                <w:rFonts w:hint="eastAsia"/>
                <w:lang w:eastAsia="zh-CN"/>
              </w:rPr>
              <w:t>T</w:t>
            </w:r>
            <w:r>
              <w:t>rust</w:t>
            </w:r>
            <w:r w:rsidR="00547AF4">
              <w:rPr>
                <w:rFonts w:hint="eastAsia"/>
                <w:lang w:eastAsia="zh-CN"/>
              </w:rPr>
              <w:t xml:space="preserve"> (FIT)</w:t>
            </w:r>
            <w:r>
              <w:t>/secondments,</w:t>
            </w:r>
            <w:r w:rsidR="0024794C">
              <w:rPr>
                <w:rFonts w:hint="eastAsia"/>
                <w:lang w:eastAsia="zh-CN"/>
              </w:rPr>
              <w:t xml:space="preserve"> </w:t>
            </w:r>
            <w:r w:rsidR="00547AF4">
              <w:rPr>
                <w:rFonts w:hint="eastAsia"/>
                <w:lang w:eastAsia="zh-CN"/>
              </w:rPr>
              <w:t>loans</w:t>
            </w:r>
            <w:r w:rsidR="00B94287">
              <w:rPr>
                <w:rFonts w:hint="eastAsia"/>
                <w:lang w:eastAsia="zh-CN"/>
              </w:rPr>
              <w:t xml:space="preserve">, </w:t>
            </w:r>
            <w:r w:rsidR="0024794C">
              <w:rPr>
                <w:rFonts w:hint="eastAsia"/>
                <w:lang w:eastAsia="zh-CN"/>
              </w:rPr>
              <w:t>J</w:t>
            </w:r>
            <w:r w:rsidR="0024794C">
              <w:t xml:space="preserve">unior </w:t>
            </w:r>
            <w:r w:rsidR="0024794C">
              <w:rPr>
                <w:rFonts w:hint="eastAsia"/>
                <w:lang w:eastAsia="zh-CN"/>
              </w:rPr>
              <w:t>P</w:t>
            </w:r>
            <w:r w:rsidR="0024794C">
              <w:t xml:space="preserve">rofessional </w:t>
            </w:r>
            <w:r w:rsidR="0024794C">
              <w:rPr>
                <w:rFonts w:hint="eastAsia"/>
                <w:lang w:eastAsia="zh-CN"/>
              </w:rPr>
              <w:t>O</w:t>
            </w:r>
            <w:r w:rsidR="0024794C">
              <w:t>fficers</w:t>
            </w:r>
            <w:r w:rsidR="0024794C">
              <w:rPr>
                <w:rFonts w:hint="eastAsia"/>
                <w:lang w:eastAsia="zh-CN"/>
              </w:rPr>
              <w:t xml:space="preserve"> (JPO) </w:t>
            </w:r>
            <w:r>
              <w:t>and sponsored interns.</w:t>
            </w:r>
          </w:p>
          <w:p w14:paraId="5E299305" w14:textId="77777777" w:rsidR="003B6E5F" w:rsidRPr="00F16BAB" w:rsidRDefault="003B6E5F" w:rsidP="003B6E5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 by the Council</w:t>
            </w:r>
          </w:p>
          <w:p w14:paraId="7BFA0A51" w14:textId="66EF5A40" w:rsidR="003B6E5F" w:rsidRPr="007F1A33" w:rsidRDefault="003B6E5F" w:rsidP="003B6E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 w:rsidRPr="007F1A33">
              <w:t xml:space="preserve">This document is transmitted to the Council </w:t>
            </w:r>
            <w:r w:rsidRPr="007F1A33">
              <w:rPr>
                <w:b/>
                <w:bCs/>
              </w:rPr>
              <w:t>for information</w:t>
            </w:r>
            <w:r w:rsidRPr="007F1A33">
              <w:t>.</w:t>
            </w:r>
          </w:p>
          <w:p w14:paraId="426ACE05" w14:textId="77777777" w:rsidR="003B6E5F" w:rsidRPr="00813E5E" w:rsidRDefault="003B6E5F" w:rsidP="003B6E5F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166E74C1" w14:textId="77777777" w:rsidR="003B6E5F" w:rsidRDefault="003B6E5F" w:rsidP="003B6E5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4885C2CD" w:rsidR="003B6E5F" w:rsidRDefault="00C8434D" w:rsidP="003B6E5F">
            <w:pPr>
              <w:spacing w:after="160"/>
            </w:pPr>
            <w:r>
              <w:t>_</w:t>
            </w:r>
          </w:p>
        </w:tc>
      </w:tr>
    </w:tbl>
    <w:p w14:paraId="4CDB8B60" w14:textId="2A4D9B15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1"/>
    <w:p w14:paraId="13E21868" w14:textId="39595046" w:rsidR="003B6E5F" w:rsidRPr="004D4263" w:rsidRDefault="00547AF4" w:rsidP="000F0876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b/>
          <w:bCs/>
          <w:sz w:val="28"/>
          <w:szCs w:val="22"/>
        </w:rPr>
      </w:pPr>
      <w:r w:rsidRPr="00547AF4">
        <w:rPr>
          <w:b/>
          <w:bCs/>
          <w:sz w:val="28"/>
          <w:szCs w:val="22"/>
        </w:rPr>
        <w:lastRenderedPageBreak/>
        <w:t>Funds-in-Trust (FIT)/secondments</w:t>
      </w:r>
      <w:r>
        <w:rPr>
          <w:rFonts w:hint="eastAsia"/>
          <w:b/>
          <w:bCs/>
          <w:sz w:val="28"/>
          <w:szCs w:val="22"/>
        </w:rPr>
        <w:t xml:space="preserve"> </w:t>
      </w:r>
      <w:r w:rsidR="003B6E5F" w:rsidRPr="004D4263">
        <w:rPr>
          <w:b/>
          <w:bCs/>
          <w:sz w:val="28"/>
          <w:szCs w:val="22"/>
        </w:rPr>
        <w:t xml:space="preserve">and </w:t>
      </w:r>
      <w:r w:rsidR="003B6E5F">
        <w:rPr>
          <w:b/>
          <w:bCs/>
          <w:sz w:val="28"/>
          <w:szCs w:val="22"/>
        </w:rPr>
        <w:t>l</w:t>
      </w:r>
      <w:r w:rsidR="003B6E5F" w:rsidRPr="004D4263">
        <w:rPr>
          <w:b/>
          <w:bCs/>
          <w:sz w:val="28"/>
          <w:szCs w:val="22"/>
        </w:rPr>
        <w:t>oan</w:t>
      </w:r>
      <w:r>
        <w:rPr>
          <w:rFonts w:hint="eastAsia"/>
          <w:b/>
          <w:bCs/>
          <w:sz w:val="28"/>
          <w:szCs w:val="22"/>
        </w:rPr>
        <w:t>s</w:t>
      </w:r>
      <w:r w:rsidR="003B6E5F" w:rsidRPr="004D4263">
        <w:rPr>
          <w:b/>
          <w:bCs/>
          <w:sz w:val="28"/>
          <w:szCs w:val="22"/>
        </w:rPr>
        <w:t xml:space="preserve"> </w:t>
      </w:r>
      <w:r w:rsidR="003B6E5F">
        <w:rPr>
          <w:b/>
          <w:bCs/>
          <w:sz w:val="28"/>
          <w:szCs w:val="22"/>
        </w:rPr>
        <w:t>p</w:t>
      </w:r>
      <w:r w:rsidR="003B6E5F" w:rsidRPr="004D4263">
        <w:rPr>
          <w:b/>
          <w:bCs/>
          <w:sz w:val="28"/>
          <w:szCs w:val="22"/>
        </w:rPr>
        <w:t>rogramme</w:t>
      </w:r>
    </w:p>
    <w:p w14:paraId="63CF13B0" w14:textId="0AA09892" w:rsidR="003B6E5F" w:rsidRPr="000F0876" w:rsidRDefault="001F019A" w:rsidP="000F08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1F019A">
        <w:t>The program promotes the temporary exchange of expertise through FIT/secondments or loans from Member States and organizations to ITU. It aims to enhance mutual knowledge transfer, enabling professionals to acquire new perspectives and skills, and boosting ITU</w:t>
      </w:r>
      <w:r w:rsidR="00621F3E">
        <w:t>’</w:t>
      </w:r>
      <w:r w:rsidRPr="001F019A">
        <w:t>s program</w:t>
      </w:r>
      <w:r w:rsidR="004B34F0">
        <w:rPr>
          <w:rFonts w:hint="eastAsia"/>
          <w:lang w:eastAsia="zh-CN"/>
        </w:rPr>
        <w:t>me</w:t>
      </w:r>
      <w:r w:rsidRPr="001F019A">
        <w:t xml:space="preserve"> execution and rapid expertise mobilization</w:t>
      </w:r>
      <w:r w:rsidR="00477F44" w:rsidRPr="00477F44">
        <w:rPr>
          <w:lang w:eastAsia="zh-CN"/>
        </w:rPr>
        <w:t>.</w:t>
      </w:r>
      <w:r w:rsidR="00477F44" w:rsidRPr="00477F44" w:rsidDel="00D1126E">
        <w:rPr>
          <w:lang w:eastAsia="zh-CN"/>
        </w:rPr>
        <w:t xml:space="preserve"> </w:t>
      </w:r>
    </w:p>
    <w:p w14:paraId="1A3332D6" w14:textId="77777777" w:rsidR="003B6E5F" w:rsidRPr="000F0876" w:rsidRDefault="003B6E5F" w:rsidP="000F08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0F0876">
        <w:t>Key points of the programme:</w:t>
      </w:r>
    </w:p>
    <w:p w14:paraId="393204CC" w14:textId="77777777" w:rsidR="003B6E5F" w:rsidRPr="000F0876" w:rsidRDefault="003B6E5F" w:rsidP="00B758EB">
      <w:pPr>
        <w:pStyle w:val="ListParagraph"/>
        <w:numPr>
          <w:ilvl w:val="0"/>
          <w:numId w:val="4"/>
        </w:numPr>
        <w:spacing w:before="1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ITU and the releasing institution establish a formal agreement specifying the obligations of both parties and the seconded or loaned personnel.</w:t>
      </w:r>
    </w:p>
    <w:p w14:paraId="4EEEE3C5" w14:textId="47911B9A" w:rsidR="003B6E5F" w:rsidRPr="000F0876" w:rsidRDefault="003B6E5F" w:rsidP="00B758EB">
      <w:pPr>
        <w:pStyle w:val="ListParagraph"/>
        <w:numPr>
          <w:ilvl w:val="0"/>
          <w:numId w:val="4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Secondments and loans are sponsored, with all associated costs fully covered by the donor.</w:t>
      </w:r>
    </w:p>
    <w:p w14:paraId="3DA4D85B" w14:textId="77777777" w:rsidR="003B6E5F" w:rsidRPr="000F0876" w:rsidRDefault="003B6E5F" w:rsidP="00B758EB">
      <w:pPr>
        <w:pStyle w:val="ListParagraph"/>
        <w:numPr>
          <w:ilvl w:val="0"/>
          <w:numId w:val="4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The duration of the secondment or loan may vary from one to three years.</w:t>
      </w:r>
    </w:p>
    <w:p w14:paraId="780CE216" w14:textId="6B7E7886" w:rsidR="003B6E5F" w:rsidRPr="000F0876" w:rsidRDefault="003B6E5F" w:rsidP="00B758EB">
      <w:pPr>
        <w:pStyle w:val="ListParagraph"/>
        <w:numPr>
          <w:ilvl w:val="0"/>
          <w:numId w:val="4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The selection process is based on candidates</w:t>
      </w:r>
      <w:r w:rsidR="00621F3E">
        <w:rPr>
          <w:sz w:val="24"/>
          <w:szCs w:val="20"/>
        </w:rPr>
        <w:t>’</w:t>
      </w:r>
      <w:r w:rsidRPr="000F0876">
        <w:rPr>
          <w:sz w:val="24"/>
          <w:szCs w:val="20"/>
        </w:rPr>
        <w:t xml:space="preserve"> qualifications, experience</w:t>
      </w:r>
      <w:r w:rsidR="00107ED7">
        <w:rPr>
          <w:sz w:val="24"/>
          <w:szCs w:val="20"/>
        </w:rPr>
        <w:t>,</w:t>
      </w:r>
      <w:r w:rsidRPr="000F0876">
        <w:rPr>
          <w:sz w:val="24"/>
          <w:szCs w:val="20"/>
        </w:rPr>
        <w:t xml:space="preserve"> and skills, as well as the needs of ITU.</w:t>
      </w:r>
    </w:p>
    <w:p w14:paraId="214A6DB1" w14:textId="678FBD7B" w:rsidR="003B6E5F" w:rsidRDefault="003B6E5F" w:rsidP="00B758EB">
      <w:pPr>
        <w:pStyle w:val="ListParagraph"/>
        <w:numPr>
          <w:ilvl w:val="0"/>
          <w:numId w:val="4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Seconded and loaned personnel are expected to adhere to ITU</w:t>
      </w:r>
      <w:r w:rsidR="00621F3E">
        <w:rPr>
          <w:sz w:val="24"/>
          <w:szCs w:val="20"/>
        </w:rPr>
        <w:t>’</w:t>
      </w:r>
      <w:r w:rsidRPr="000F0876">
        <w:rPr>
          <w:sz w:val="24"/>
          <w:szCs w:val="20"/>
        </w:rPr>
        <w:t>s standards of conduct and security regulations, and their performance will be evaluated upon completion of the assignment.</w:t>
      </w:r>
    </w:p>
    <w:p w14:paraId="26DD3809" w14:textId="2DE52754" w:rsidR="00153FCC" w:rsidRPr="000F0876" w:rsidRDefault="00153FCC" w:rsidP="00B758EB">
      <w:pPr>
        <w:pStyle w:val="ListParagraph"/>
        <w:numPr>
          <w:ilvl w:val="0"/>
          <w:numId w:val="4"/>
        </w:numPr>
        <w:spacing w:before="20" w:after="120" w:line="240" w:lineRule="auto"/>
        <w:ind w:left="714" w:hanging="357"/>
        <w:contextualSpacing w:val="0"/>
        <w:jc w:val="both"/>
        <w:rPr>
          <w:sz w:val="28"/>
        </w:rPr>
      </w:pPr>
      <w:r w:rsidRPr="000F0876">
        <w:rPr>
          <w:rFonts w:eastAsia="SimSun"/>
          <w:bCs/>
          <w:sz w:val="24"/>
          <w:szCs w:val="24"/>
        </w:rPr>
        <w:t xml:space="preserve">ITU does not accept Member States to </w:t>
      </w:r>
      <w:r w:rsidR="00621F3E">
        <w:rPr>
          <w:rFonts w:eastAsia="SimSun"/>
          <w:bCs/>
          <w:sz w:val="24"/>
          <w:szCs w:val="24"/>
        </w:rPr>
        <w:t>‘</w:t>
      </w:r>
      <w:r w:rsidRPr="000F0876">
        <w:rPr>
          <w:rFonts w:eastAsia="SimSun"/>
          <w:bCs/>
          <w:sz w:val="24"/>
          <w:szCs w:val="24"/>
        </w:rPr>
        <w:t>sponsor</w:t>
      </w:r>
      <w:r w:rsidR="00621F3E">
        <w:rPr>
          <w:rFonts w:eastAsia="SimSun"/>
          <w:bCs/>
          <w:sz w:val="24"/>
          <w:szCs w:val="24"/>
        </w:rPr>
        <w:t>’</w:t>
      </w:r>
      <w:r w:rsidRPr="000F0876">
        <w:rPr>
          <w:rFonts w:eastAsia="SimSun"/>
          <w:bCs/>
          <w:sz w:val="24"/>
          <w:szCs w:val="24"/>
        </w:rPr>
        <w:t xml:space="preserve"> a candidate for any ITU vacancy.</w:t>
      </w:r>
    </w:p>
    <w:p w14:paraId="3383F112" w14:textId="77859B17" w:rsidR="003B6E5F" w:rsidRDefault="003B6E5F" w:rsidP="00B758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/>
        <w:jc w:val="both"/>
        <w:textAlignment w:val="auto"/>
        <w:rPr>
          <w:sz w:val="22"/>
          <w:szCs w:val="18"/>
        </w:rPr>
      </w:pPr>
      <w:r w:rsidRPr="000F0876">
        <w:t>The difference between a secondment under the FIT programme and a loan is explained in the table below.</w:t>
      </w:r>
    </w:p>
    <w:tbl>
      <w:tblPr>
        <w:tblStyle w:val="TableGrid"/>
        <w:tblW w:w="9360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3B6E5F" w:rsidRPr="00A91520" w14:paraId="48D8434E" w14:textId="77777777" w:rsidTr="6C0ABA0F">
        <w:trPr>
          <w:trHeight w:val="296"/>
          <w:jc w:val="center"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67C408BE" w14:textId="77777777" w:rsidR="003B6E5F" w:rsidRPr="000F0876" w:rsidRDefault="003B6E5F" w:rsidP="006C4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0"/>
              </w:rPr>
            </w:pPr>
            <w:r w:rsidRPr="000F0876">
              <w:rPr>
                <w:b/>
                <w:bCs/>
                <w:szCs w:val="20"/>
              </w:rPr>
              <w:t>FIT/secondment</w:t>
            </w:r>
          </w:p>
        </w:tc>
        <w:tc>
          <w:tcPr>
            <w:tcW w:w="4681" w:type="dxa"/>
            <w:shd w:val="clear" w:color="auto" w:fill="DBE5F1" w:themeFill="accent1" w:themeFillTint="33"/>
            <w:vAlign w:val="center"/>
          </w:tcPr>
          <w:p w14:paraId="66904C9E" w14:textId="16DFBED7" w:rsidR="003B6E5F" w:rsidRPr="000F0876" w:rsidRDefault="003B6E5F" w:rsidP="006C4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szCs w:val="20"/>
                <w:lang w:eastAsia="zh-CN"/>
              </w:rPr>
            </w:pPr>
            <w:r w:rsidRPr="000F0876">
              <w:rPr>
                <w:b/>
                <w:bCs/>
                <w:szCs w:val="20"/>
              </w:rPr>
              <w:t>Loan</w:t>
            </w:r>
            <w:r w:rsidR="00547AF4" w:rsidRPr="000F0876">
              <w:rPr>
                <w:b/>
                <w:bCs/>
                <w:szCs w:val="20"/>
                <w:lang w:eastAsia="zh-CN"/>
              </w:rPr>
              <w:t>s</w:t>
            </w:r>
          </w:p>
        </w:tc>
      </w:tr>
      <w:tr w:rsidR="003B6E5F" w14:paraId="683FFF80" w14:textId="77777777" w:rsidTr="6C0ABA0F">
        <w:trPr>
          <w:trHeight w:val="2927"/>
          <w:jc w:val="center"/>
        </w:trPr>
        <w:tc>
          <w:tcPr>
            <w:tcW w:w="4679" w:type="dxa"/>
          </w:tcPr>
          <w:p w14:paraId="2B9AF57B" w14:textId="77777777" w:rsidR="003B6E5F" w:rsidRPr="000F0876" w:rsidRDefault="003B6E5F" w:rsidP="003B6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sz w:val="24"/>
                <w:szCs w:val="20"/>
              </w:rPr>
            </w:pPr>
            <w:r w:rsidRPr="000F0876">
              <w:rPr>
                <w:sz w:val="24"/>
                <w:szCs w:val="20"/>
              </w:rPr>
              <w:t>The releasing institution transfers funds to cover the full costs of employing the person under an ITU staff contract for the period concerned.</w:t>
            </w:r>
          </w:p>
          <w:p w14:paraId="72C849F8" w14:textId="6DE2A5E9" w:rsidR="003B6E5F" w:rsidRPr="000F0876" w:rsidRDefault="003B6E5F" w:rsidP="003B6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sz w:val="24"/>
                <w:szCs w:val="24"/>
              </w:rPr>
            </w:pPr>
            <w:r w:rsidRPr="000F0876">
              <w:rPr>
                <w:sz w:val="24"/>
                <w:szCs w:val="24"/>
              </w:rPr>
              <w:t>The seconded individual has the status of a staff member at the P3, P4</w:t>
            </w:r>
            <w:r w:rsidR="00621F3E">
              <w:rPr>
                <w:sz w:val="24"/>
                <w:szCs w:val="24"/>
              </w:rPr>
              <w:t>,</w:t>
            </w:r>
            <w:r w:rsidRPr="000F0876">
              <w:rPr>
                <w:sz w:val="24"/>
                <w:szCs w:val="24"/>
              </w:rPr>
              <w:t xml:space="preserve"> or P5 level and is subject to ITU</w:t>
            </w:r>
            <w:r w:rsidR="00621F3E">
              <w:rPr>
                <w:sz w:val="24"/>
                <w:szCs w:val="24"/>
              </w:rPr>
              <w:t>’</w:t>
            </w:r>
            <w:r w:rsidRPr="000F0876">
              <w:rPr>
                <w:sz w:val="24"/>
                <w:szCs w:val="24"/>
              </w:rPr>
              <w:t>s Staff Regulations and Staff Rules during their assignment.</w:t>
            </w:r>
            <w:r w:rsidRPr="00B758EB">
              <w:rPr>
                <w:rStyle w:val="FootnoteReference"/>
                <w:sz w:val="22"/>
                <w:vertAlign w:val="superscript"/>
              </w:rPr>
              <w:footnoteReference w:id="2"/>
            </w:r>
          </w:p>
        </w:tc>
        <w:tc>
          <w:tcPr>
            <w:tcW w:w="4681" w:type="dxa"/>
          </w:tcPr>
          <w:p w14:paraId="08CAAA94" w14:textId="77777777" w:rsidR="003B6E5F" w:rsidRPr="000F0876" w:rsidRDefault="003B6E5F" w:rsidP="003B6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sz w:val="24"/>
                <w:szCs w:val="20"/>
              </w:rPr>
            </w:pPr>
            <w:r w:rsidRPr="000F0876">
              <w:rPr>
                <w:sz w:val="24"/>
                <w:szCs w:val="20"/>
              </w:rPr>
              <w:t>Loaned personnel remain under contract with the releasing Member State or institution.</w:t>
            </w:r>
          </w:p>
          <w:p w14:paraId="61FEB06D" w14:textId="77777777" w:rsidR="003B6E5F" w:rsidRPr="000F0876" w:rsidRDefault="003B6E5F" w:rsidP="003B6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sz w:val="24"/>
                <w:szCs w:val="20"/>
              </w:rPr>
            </w:pPr>
            <w:r w:rsidRPr="000F0876">
              <w:rPr>
                <w:sz w:val="24"/>
                <w:szCs w:val="20"/>
              </w:rPr>
              <w:t>There is no transfer of funds between the releasing institution and ITU.</w:t>
            </w:r>
          </w:p>
          <w:p w14:paraId="02C33C70" w14:textId="77777777" w:rsidR="003B6E5F" w:rsidRPr="000F0876" w:rsidRDefault="003B6E5F" w:rsidP="003B6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sz w:val="24"/>
                <w:szCs w:val="20"/>
              </w:rPr>
            </w:pPr>
            <w:r w:rsidRPr="000F0876">
              <w:rPr>
                <w:sz w:val="24"/>
                <w:szCs w:val="20"/>
              </w:rPr>
              <w:t>ITU facilitates the work permit for the duration of the assignment.</w:t>
            </w:r>
          </w:p>
          <w:p w14:paraId="16F24B50" w14:textId="77777777" w:rsidR="003B6E5F" w:rsidRPr="000F0876" w:rsidRDefault="003B6E5F" w:rsidP="003B6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sz w:val="24"/>
                <w:szCs w:val="20"/>
              </w:rPr>
            </w:pPr>
            <w:r w:rsidRPr="000F0876">
              <w:rPr>
                <w:sz w:val="24"/>
                <w:szCs w:val="20"/>
              </w:rPr>
              <w:t>Loaned personnel are placed under the functional and technical supervision of ITU.</w:t>
            </w:r>
          </w:p>
        </w:tc>
      </w:tr>
    </w:tbl>
    <w:p w14:paraId="7A39AE42" w14:textId="77777777" w:rsidR="003B6E5F" w:rsidRDefault="003B6E5F" w:rsidP="003B6E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2"/>
          <w:szCs w:val="18"/>
        </w:rPr>
      </w:pPr>
    </w:p>
    <w:p w14:paraId="11DF153D" w14:textId="0FDF7CEC" w:rsidR="003B6E5F" w:rsidRPr="000F0876" w:rsidRDefault="20C45591" w:rsidP="000F08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</w:pPr>
      <w:r>
        <w:t>The main partners of the FIT and loan</w:t>
      </w:r>
      <w:r w:rsidR="2FA9CDEA" w:rsidRPr="51F51F51">
        <w:rPr>
          <w:lang w:eastAsia="zh-CN"/>
        </w:rPr>
        <w:t xml:space="preserve">s </w:t>
      </w:r>
      <w:r>
        <w:t>programme from 201</w:t>
      </w:r>
      <w:r w:rsidR="3FB47165">
        <w:t>8</w:t>
      </w:r>
      <w:r>
        <w:t xml:space="preserve"> to 202</w:t>
      </w:r>
      <w:r w:rsidR="3FB47165">
        <w:t>4</w:t>
      </w:r>
      <w:r>
        <w:t xml:space="preserve"> have been:</w:t>
      </w:r>
    </w:p>
    <w:p w14:paraId="363E70FE" w14:textId="77777777" w:rsidR="003B6E5F" w:rsidRPr="000F0876" w:rsidRDefault="003B6E5F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Ministry of Industry and Information Technology (China)</w:t>
      </w:r>
    </w:p>
    <w:p w14:paraId="1481A415" w14:textId="77777777" w:rsidR="003B6E5F" w:rsidRPr="000F0876" w:rsidRDefault="003B6E5F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Export-Import Bank of China (China)</w:t>
      </w:r>
    </w:p>
    <w:p w14:paraId="4C806B02" w14:textId="77777777" w:rsidR="003B6E5F" w:rsidRPr="000F0876" w:rsidRDefault="003B6E5F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Expertise France (France)</w:t>
      </w:r>
    </w:p>
    <w:p w14:paraId="0337B416" w14:textId="1E62A666" w:rsidR="001C5632" w:rsidRPr="000F0876" w:rsidRDefault="001C5632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Ministry of Communication (India)</w:t>
      </w:r>
    </w:p>
    <w:p w14:paraId="7595FA19" w14:textId="77777777" w:rsidR="003B6E5F" w:rsidRPr="000F0876" w:rsidRDefault="003B6E5F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Trento University (Italy)</w:t>
      </w:r>
    </w:p>
    <w:p w14:paraId="15A89123" w14:textId="77777777" w:rsidR="003B6E5F" w:rsidRPr="000F0876" w:rsidRDefault="003B6E5F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lastRenderedPageBreak/>
        <w:t>Ministry of Internal Affairs and Communications (Japan)</w:t>
      </w:r>
    </w:p>
    <w:p w14:paraId="7ED4AF85" w14:textId="7951B7ED" w:rsidR="003B6E5F" w:rsidRPr="000F0876" w:rsidRDefault="003B6E5F" w:rsidP="6C0ABA0F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jc w:val="both"/>
        <w:rPr>
          <w:sz w:val="24"/>
          <w:szCs w:val="24"/>
        </w:rPr>
      </w:pPr>
      <w:r w:rsidRPr="6C0ABA0F">
        <w:rPr>
          <w:sz w:val="24"/>
          <w:szCs w:val="24"/>
        </w:rPr>
        <w:t>Nippon Telegraph and Telephone</w:t>
      </w:r>
      <w:r w:rsidR="0559C6C3" w:rsidRPr="6C0ABA0F">
        <w:rPr>
          <w:sz w:val="24"/>
          <w:szCs w:val="24"/>
        </w:rPr>
        <w:t xml:space="preserve"> Corporation</w:t>
      </w:r>
      <w:r w:rsidRPr="6C0ABA0F">
        <w:rPr>
          <w:sz w:val="24"/>
          <w:szCs w:val="24"/>
        </w:rPr>
        <w:t xml:space="preserve"> (Japan)</w:t>
      </w:r>
    </w:p>
    <w:p w14:paraId="405E9048" w14:textId="2A140064" w:rsidR="003B6E5F" w:rsidRPr="000F0876" w:rsidRDefault="003B6E5F" w:rsidP="6C0ABA0F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jc w:val="both"/>
        <w:rPr>
          <w:rStyle w:val="FootnoteReference"/>
          <w:sz w:val="24"/>
          <w:szCs w:val="24"/>
        </w:rPr>
      </w:pPr>
      <w:r w:rsidRPr="6C0ABA0F">
        <w:rPr>
          <w:sz w:val="24"/>
          <w:szCs w:val="24"/>
        </w:rPr>
        <w:t>Ministry of Science and ICT (Republic of Korea)</w:t>
      </w:r>
    </w:p>
    <w:p w14:paraId="462DC747" w14:textId="72810730" w:rsidR="003B6E5F" w:rsidRPr="000F0876" w:rsidRDefault="664F583E" w:rsidP="51F51F51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jc w:val="both"/>
        <w:rPr>
          <w:sz w:val="24"/>
          <w:szCs w:val="24"/>
          <w:lang w:val="fr-FR"/>
        </w:rPr>
      </w:pPr>
      <w:r w:rsidRPr="51F51F51">
        <w:rPr>
          <w:sz w:val="24"/>
          <w:szCs w:val="24"/>
          <w:lang w:val="fr-FR"/>
        </w:rPr>
        <w:t>Korea Radio Promotion Association (RAPA)</w:t>
      </w:r>
      <w:r w:rsidR="00CA60EB">
        <w:rPr>
          <w:rStyle w:val="FootnoteReference"/>
          <w:szCs w:val="24"/>
          <w:lang w:val="fr-FR"/>
        </w:rPr>
        <w:footnoteReference w:id="3"/>
      </w:r>
    </w:p>
    <w:p w14:paraId="4425B007" w14:textId="635CB87E" w:rsidR="001C5632" w:rsidRPr="000F0876" w:rsidRDefault="00DACDF1" w:rsidP="6C0ABA0F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jc w:val="both"/>
        <w:rPr>
          <w:sz w:val="24"/>
          <w:szCs w:val="24"/>
          <w:lang w:val="en-GB"/>
        </w:rPr>
      </w:pPr>
      <w:r w:rsidRPr="6C0ABA0F">
        <w:rPr>
          <w:sz w:val="24"/>
          <w:szCs w:val="24"/>
          <w:lang w:val="en-GB"/>
        </w:rPr>
        <w:t>Communications Regulatory Authority</w:t>
      </w:r>
      <w:r w:rsidR="001C5632" w:rsidRPr="6C0ABA0F">
        <w:rPr>
          <w:sz w:val="24"/>
          <w:szCs w:val="24"/>
          <w:lang w:val="en-GB"/>
        </w:rPr>
        <w:t xml:space="preserve"> (Lithuania)</w:t>
      </w:r>
    </w:p>
    <w:p w14:paraId="55DECD13" w14:textId="5C46F44F" w:rsidR="001C5632" w:rsidRPr="000F0876" w:rsidRDefault="001C5632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  <w:lang w:val="en-GB"/>
        </w:rPr>
      </w:pPr>
      <w:r w:rsidRPr="000F0876">
        <w:rPr>
          <w:sz w:val="24"/>
          <w:szCs w:val="20"/>
          <w:lang w:val="en-GB"/>
        </w:rPr>
        <w:t>International Affairs, Communications, Space, and Technology Commission (Kingdom of Saudi Arabia)</w:t>
      </w:r>
    </w:p>
    <w:p w14:paraId="06D1E384" w14:textId="77777777" w:rsidR="003B6E5F" w:rsidRPr="000F0876" w:rsidRDefault="003B6E5F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Telecommunications and Digital Government Regulatory Authority (United Arab Emirates)</w:t>
      </w:r>
    </w:p>
    <w:p w14:paraId="3D11EBC3" w14:textId="77777777" w:rsidR="003B6E5F" w:rsidRPr="000F0876" w:rsidRDefault="003B6E5F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Department of State (United States)</w:t>
      </w:r>
    </w:p>
    <w:p w14:paraId="609312B1" w14:textId="1A9EE98E" w:rsidR="000D2B4D" w:rsidRPr="004D4263" w:rsidRDefault="000D2B4D" w:rsidP="000D2B4D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b/>
          <w:bCs/>
          <w:sz w:val="28"/>
          <w:szCs w:val="22"/>
        </w:rPr>
      </w:pPr>
      <w:r w:rsidRPr="004D4263">
        <w:rPr>
          <w:b/>
          <w:bCs/>
          <w:sz w:val="28"/>
          <w:szCs w:val="22"/>
        </w:rPr>
        <w:t xml:space="preserve">Junior </w:t>
      </w:r>
      <w:r>
        <w:rPr>
          <w:rFonts w:hint="eastAsia"/>
          <w:b/>
          <w:bCs/>
          <w:sz w:val="28"/>
          <w:szCs w:val="22"/>
          <w:lang w:eastAsia="zh-CN"/>
        </w:rPr>
        <w:t>P</w:t>
      </w:r>
      <w:r w:rsidRPr="004D4263">
        <w:rPr>
          <w:b/>
          <w:bCs/>
          <w:sz w:val="28"/>
          <w:szCs w:val="22"/>
        </w:rPr>
        <w:t xml:space="preserve">rofessional </w:t>
      </w:r>
      <w:r>
        <w:rPr>
          <w:rFonts w:hint="eastAsia"/>
          <w:b/>
          <w:bCs/>
          <w:sz w:val="28"/>
          <w:szCs w:val="22"/>
          <w:lang w:eastAsia="zh-CN"/>
        </w:rPr>
        <w:t>O</w:t>
      </w:r>
      <w:r w:rsidRPr="004D4263">
        <w:rPr>
          <w:b/>
          <w:bCs/>
          <w:sz w:val="28"/>
          <w:szCs w:val="22"/>
        </w:rPr>
        <w:t>fficer</w:t>
      </w:r>
      <w:r w:rsidR="00501CA1">
        <w:rPr>
          <w:rFonts w:hint="eastAsia"/>
          <w:b/>
          <w:bCs/>
          <w:sz w:val="28"/>
          <w:szCs w:val="22"/>
          <w:lang w:eastAsia="zh-CN"/>
        </w:rPr>
        <w:t xml:space="preserve"> </w:t>
      </w:r>
      <w:r w:rsidR="00501CA1" w:rsidRPr="00501CA1">
        <w:rPr>
          <w:b/>
          <w:bCs/>
          <w:sz w:val="28"/>
          <w:szCs w:val="22"/>
          <w:lang w:eastAsia="zh-CN"/>
        </w:rPr>
        <w:t>(JPO)</w:t>
      </w:r>
      <w:r w:rsidR="00501CA1">
        <w:rPr>
          <w:rFonts w:hint="eastAsia"/>
          <w:b/>
          <w:bCs/>
          <w:sz w:val="28"/>
          <w:szCs w:val="22"/>
          <w:lang w:eastAsia="zh-CN"/>
        </w:rPr>
        <w:t xml:space="preserve"> </w:t>
      </w:r>
      <w:r>
        <w:rPr>
          <w:b/>
          <w:bCs/>
          <w:sz w:val="28"/>
          <w:szCs w:val="22"/>
        </w:rPr>
        <w:t>p</w:t>
      </w:r>
      <w:r w:rsidRPr="004D4263">
        <w:rPr>
          <w:b/>
          <w:bCs/>
          <w:sz w:val="28"/>
          <w:szCs w:val="22"/>
        </w:rPr>
        <w:t>rogramme</w:t>
      </w:r>
    </w:p>
    <w:p w14:paraId="05410AE3" w14:textId="301A05F2" w:rsidR="000D2B4D" w:rsidRPr="000F0876" w:rsidRDefault="000D2B4D" w:rsidP="000F08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SimSun"/>
          <w:bCs/>
          <w:lang w:eastAsia="zh-CN"/>
        </w:rPr>
      </w:pPr>
      <w:r w:rsidRPr="000F0876">
        <w:rPr>
          <w:rFonts w:eastAsia="SimSun"/>
          <w:bCs/>
        </w:rPr>
        <w:t>The objective of the</w:t>
      </w:r>
      <w:r w:rsidR="00680842">
        <w:rPr>
          <w:rFonts w:eastAsia="SimSun" w:hint="eastAsia"/>
          <w:bCs/>
          <w:lang w:eastAsia="zh-CN"/>
        </w:rPr>
        <w:t xml:space="preserve"> </w:t>
      </w:r>
      <w:r w:rsidRPr="000F0876">
        <w:rPr>
          <w:rFonts w:eastAsia="SimSun"/>
          <w:bCs/>
        </w:rPr>
        <w:t>JPO</w:t>
      </w:r>
      <w:r w:rsidR="00680842">
        <w:rPr>
          <w:rFonts w:eastAsia="SimSun" w:hint="eastAsia"/>
          <w:bCs/>
          <w:lang w:eastAsia="zh-CN"/>
        </w:rPr>
        <w:t xml:space="preserve"> </w:t>
      </w:r>
      <w:r w:rsidRPr="000F0876">
        <w:rPr>
          <w:rFonts w:eastAsia="SimSun"/>
          <w:bCs/>
        </w:rPr>
        <w:t>programme is to provide young professionals with the opportunity to gain hands-on experience in an international organization by working on projects and tasks that align with their academic and professional backgrounds. JPOs contribute to ITU</w:t>
      </w:r>
      <w:r w:rsidR="00621F3E">
        <w:rPr>
          <w:rFonts w:eastAsia="SimSun"/>
          <w:bCs/>
        </w:rPr>
        <w:t>’</w:t>
      </w:r>
      <w:r w:rsidRPr="000F0876">
        <w:rPr>
          <w:rFonts w:eastAsia="SimSun"/>
          <w:bCs/>
        </w:rPr>
        <w:t>s mission and work by sharing their skills, knowledge and enthusiasm for</w:t>
      </w:r>
      <w:r w:rsidR="00F6357B">
        <w:rPr>
          <w:rFonts w:eastAsia="SimSun" w:hint="eastAsia"/>
          <w:bCs/>
          <w:lang w:eastAsia="zh-CN"/>
        </w:rPr>
        <w:t xml:space="preserve"> </w:t>
      </w:r>
      <w:r w:rsidRPr="000F0876">
        <w:rPr>
          <w:rFonts w:eastAsia="SimSun"/>
          <w:bCs/>
        </w:rPr>
        <w:t>technology and telecommunications, while simultaneously acquiring valuable professional experience in a diverse and multicultural environment. JPOs are sponsored by ITU Member States, with all associated costs, including salaries, allowances</w:t>
      </w:r>
      <w:r w:rsidR="001B6342">
        <w:rPr>
          <w:rFonts w:eastAsia="SimSun"/>
          <w:bCs/>
        </w:rPr>
        <w:t>,</w:t>
      </w:r>
      <w:r w:rsidRPr="000F0876">
        <w:rPr>
          <w:rFonts w:eastAsia="SimSun"/>
          <w:bCs/>
        </w:rPr>
        <w:t xml:space="preserve"> and insurance, fully covered by the donor.</w:t>
      </w:r>
    </w:p>
    <w:p w14:paraId="2B4B603C" w14:textId="77777777" w:rsidR="000D2B4D" w:rsidRPr="000F0876" w:rsidRDefault="000D2B4D" w:rsidP="000D2B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 w:rsidRPr="000F0876">
        <w:t>Key points of the programme:</w:t>
      </w:r>
    </w:p>
    <w:p w14:paraId="05B7B95D" w14:textId="77777777" w:rsidR="000D2B4D" w:rsidRPr="000F0876" w:rsidRDefault="000D2B4D" w:rsidP="00B758EB">
      <w:pPr>
        <w:pStyle w:val="ListParagraph"/>
        <w:numPr>
          <w:ilvl w:val="0"/>
          <w:numId w:val="3"/>
        </w:numPr>
        <w:spacing w:before="1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Applicants must be under 32 years of age and hold at least a university degree.</w:t>
      </w:r>
    </w:p>
    <w:p w14:paraId="744ED6E9" w14:textId="77777777" w:rsidR="000D2B4D" w:rsidRPr="000F0876" w:rsidRDefault="000D2B4D" w:rsidP="00B758EB">
      <w:pPr>
        <w:pStyle w:val="ListParagraph"/>
        <w:numPr>
          <w:ilvl w:val="0"/>
          <w:numId w:val="3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The duration of the programme is typically one year, with the possibility of extension for a further year. Additional extensions may be subject to cost sharing, depending on the releasing institutions and the availability of funds at ITU.</w:t>
      </w:r>
    </w:p>
    <w:p w14:paraId="0F979658" w14:textId="63BE8904" w:rsidR="000D2B4D" w:rsidRPr="000F0876" w:rsidRDefault="000D2B4D" w:rsidP="00B758EB">
      <w:pPr>
        <w:pStyle w:val="ListParagraph"/>
        <w:numPr>
          <w:ilvl w:val="0"/>
          <w:numId w:val="3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JPOs have the status of staff members at the P2 level and are subject to ITU</w:t>
      </w:r>
      <w:r w:rsidR="00621F3E">
        <w:rPr>
          <w:sz w:val="24"/>
          <w:szCs w:val="20"/>
        </w:rPr>
        <w:t>’</w:t>
      </w:r>
      <w:r w:rsidRPr="000F0876">
        <w:rPr>
          <w:sz w:val="24"/>
          <w:szCs w:val="20"/>
        </w:rPr>
        <w:t>s Staff Regulations and Staff Rules.</w:t>
      </w:r>
    </w:p>
    <w:p w14:paraId="456F5E73" w14:textId="77777777" w:rsidR="000D2B4D" w:rsidRPr="000F0876" w:rsidRDefault="000D2B4D" w:rsidP="00B758EB">
      <w:pPr>
        <w:pStyle w:val="ListParagraph"/>
        <w:numPr>
          <w:ilvl w:val="0"/>
          <w:numId w:val="3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The selection process involves an assessment of qualifications and experience and an interview.</w:t>
      </w:r>
    </w:p>
    <w:p w14:paraId="5C872942" w14:textId="77777777" w:rsidR="000D2B4D" w:rsidRPr="000F0876" w:rsidRDefault="000D2B4D" w:rsidP="00B758EB">
      <w:pPr>
        <w:pStyle w:val="ListParagraph"/>
        <w:numPr>
          <w:ilvl w:val="0"/>
          <w:numId w:val="3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ITU and the releasing institution establish a formal agreement specifying the obligations of both parties and the JPO.</w:t>
      </w:r>
    </w:p>
    <w:p w14:paraId="4846ADC1" w14:textId="2507162A" w:rsidR="000D2B4D" w:rsidRPr="00B758EB" w:rsidRDefault="000D2B4D" w:rsidP="00B758EB">
      <w:pPr>
        <w:pStyle w:val="ListParagraph"/>
        <w:numPr>
          <w:ilvl w:val="0"/>
          <w:numId w:val="3"/>
        </w:numPr>
        <w:spacing w:before="20" w:after="20" w:line="240" w:lineRule="auto"/>
        <w:ind w:left="714" w:hanging="357"/>
        <w:contextualSpacing w:val="0"/>
        <w:jc w:val="both"/>
        <w:rPr>
          <w:spacing w:val="-2"/>
          <w:sz w:val="24"/>
          <w:szCs w:val="20"/>
        </w:rPr>
      </w:pPr>
      <w:r w:rsidRPr="00B758EB">
        <w:rPr>
          <w:spacing w:val="-2"/>
          <w:sz w:val="24"/>
          <w:szCs w:val="20"/>
        </w:rPr>
        <w:t>JPOs are expected to adhere to ITU</w:t>
      </w:r>
      <w:r w:rsidR="00621F3E">
        <w:rPr>
          <w:spacing w:val="-2"/>
          <w:sz w:val="24"/>
          <w:szCs w:val="20"/>
        </w:rPr>
        <w:t>’</w:t>
      </w:r>
      <w:r w:rsidRPr="00B758EB">
        <w:rPr>
          <w:spacing w:val="-2"/>
          <w:sz w:val="24"/>
          <w:szCs w:val="20"/>
        </w:rPr>
        <w:t>s values, code of conduct and performance standards.</w:t>
      </w:r>
    </w:p>
    <w:p w14:paraId="5A84AAB7" w14:textId="09F8AE2C" w:rsidR="000D2B4D" w:rsidRPr="006E1BA5" w:rsidRDefault="000D2B4D" w:rsidP="00B758EB">
      <w:pPr>
        <w:pStyle w:val="ListParagraph"/>
        <w:numPr>
          <w:ilvl w:val="0"/>
          <w:numId w:val="3"/>
        </w:numPr>
        <w:spacing w:before="20" w:after="120" w:line="240" w:lineRule="auto"/>
        <w:contextualSpacing w:val="0"/>
        <w:jc w:val="both"/>
        <w:rPr>
          <w:sz w:val="28"/>
        </w:rPr>
      </w:pPr>
      <w:r w:rsidRPr="006E1BA5">
        <w:rPr>
          <w:rFonts w:eastAsia="SimSun"/>
          <w:bCs/>
          <w:sz w:val="24"/>
          <w:szCs w:val="24"/>
        </w:rPr>
        <w:t xml:space="preserve">ITU does not accept Member States to </w:t>
      </w:r>
      <w:r w:rsidR="00621F3E">
        <w:rPr>
          <w:rFonts w:eastAsia="SimSun"/>
          <w:bCs/>
          <w:sz w:val="24"/>
          <w:szCs w:val="24"/>
        </w:rPr>
        <w:t>‘</w:t>
      </w:r>
      <w:r w:rsidRPr="006E1BA5">
        <w:rPr>
          <w:rFonts w:eastAsia="SimSun"/>
          <w:bCs/>
          <w:sz w:val="24"/>
          <w:szCs w:val="24"/>
        </w:rPr>
        <w:t>sponsor</w:t>
      </w:r>
      <w:r w:rsidR="00621F3E">
        <w:rPr>
          <w:rFonts w:eastAsia="SimSun"/>
          <w:bCs/>
          <w:sz w:val="24"/>
          <w:szCs w:val="24"/>
        </w:rPr>
        <w:t>’</w:t>
      </w:r>
      <w:r w:rsidRPr="006E1BA5">
        <w:rPr>
          <w:rFonts w:eastAsia="SimSun"/>
          <w:bCs/>
          <w:sz w:val="24"/>
          <w:szCs w:val="24"/>
        </w:rPr>
        <w:t xml:space="preserve"> a candidate for any ITU vacancy</w:t>
      </w:r>
      <w:r w:rsidRPr="006E1BA5">
        <w:rPr>
          <w:rFonts w:eastAsia="SimSun" w:hint="eastAsia"/>
          <w:bCs/>
          <w:sz w:val="24"/>
          <w:szCs w:val="24"/>
        </w:rPr>
        <w:t>.</w:t>
      </w:r>
    </w:p>
    <w:p w14:paraId="4E8A6F49" w14:textId="77777777" w:rsidR="000D2B4D" w:rsidRPr="000F0876" w:rsidRDefault="000D2B4D" w:rsidP="00B758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</w:pPr>
      <w:r w:rsidRPr="000F0876">
        <w:t>The main partners for this programme in recent years have been:</w:t>
      </w:r>
    </w:p>
    <w:p w14:paraId="2FDC2634" w14:textId="77777777" w:rsidR="000D2B4D" w:rsidRPr="000F0876" w:rsidRDefault="000D2B4D" w:rsidP="00B758EB">
      <w:pPr>
        <w:pStyle w:val="ListParagraph"/>
        <w:numPr>
          <w:ilvl w:val="0"/>
          <w:numId w:val="5"/>
        </w:numPr>
        <w:spacing w:before="120" w:after="20" w:line="240" w:lineRule="auto"/>
        <w:ind w:left="714" w:hanging="357"/>
        <w:contextualSpacing w:val="0"/>
        <w:rPr>
          <w:sz w:val="24"/>
          <w:szCs w:val="20"/>
        </w:rPr>
      </w:pPr>
      <w:r w:rsidRPr="000F0876">
        <w:rPr>
          <w:sz w:val="24"/>
          <w:szCs w:val="20"/>
        </w:rPr>
        <w:t>Government of Australia (Australia)</w:t>
      </w:r>
    </w:p>
    <w:p w14:paraId="2BB254D6" w14:textId="77777777" w:rsidR="000D2B4D" w:rsidRPr="000F0876" w:rsidRDefault="000D2B4D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rPr>
          <w:sz w:val="24"/>
          <w:szCs w:val="20"/>
        </w:rPr>
      </w:pPr>
      <w:r w:rsidRPr="000F0876">
        <w:rPr>
          <w:sz w:val="24"/>
          <w:szCs w:val="20"/>
        </w:rPr>
        <w:t>Ministry of Industry and Information Technology (China)</w:t>
      </w:r>
    </w:p>
    <w:p w14:paraId="736D5534" w14:textId="77777777" w:rsidR="000D2B4D" w:rsidRPr="000F0876" w:rsidRDefault="000D2B4D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rPr>
          <w:sz w:val="24"/>
          <w:szCs w:val="20"/>
        </w:rPr>
      </w:pPr>
      <w:r w:rsidRPr="000F0876">
        <w:rPr>
          <w:sz w:val="24"/>
          <w:szCs w:val="20"/>
        </w:rPr>
        <w:t>Bureau of International Organization Personnel (Germany)</w:t>
      </w:r>
    </w:p>
    <w:p w14:paraId="446AA653" w14:textId="77777777" w:rsidR="000D2B4D" w:rsidRPr="000F0876" w:rsidRDefault="000D2B4D" w:rsidP="00B758EB">
      <w:pPr>
        <w:pStyle w:val="ListParagraph"/>
        <w:numPr>
          <w:ilvl w:val="0"/>
          <w:numId w:val="5"/>
        </w:numPr>
        <w:spacing w:before="20" w:after="20" w:line="240" w:lineRule="auto"/>
        <w:ind w:left="714" w:hanging="357"/>
        <w:contextualSpacing w:val="0"/>
        <w:rPr>
          <w:sz w:val="24"/>
          <w:szCs w:val="20"/>
        </w:rPr>
      </w:pPr>
      <w:r w:rsidRPr="000F0876">
        <w:rPr>
          <w:sz w:val="24"/>
          <w:szCs w:val="20"/>
        </w:rPr>
        <w:t>Ministry of Internal Affairs and Communications (Japan)</w:t>
      </w:r>
    </w:p>
    <w:p w14:paraId="4A7B9080" w14:textId="77777777" w:rsidR="000D2B4D" w:rsidRPr="000F0876" w:rsidRDefault="000D2B4D" w:rsidP="00B758EB">
      <w:pPr>
        <w:pStyle w:val="ListParagraph"/>
        <w:numPr>
          <w:ilvl w:val="0"/>
          <w:numId w:val="5"/>
        </w:numPr>
        <w:spacing w:before="20" w:after="20"/>
        <w:contextualSpacing w:val="0"/>
        <w:rPr>
          <w:sz w:val="24"/>
          <w:szCs w:val="20"/>
        </w:rPr>
      </w:pPr>
      <w:r w:rsidRPr="000F0876">
        <w:rPr>
          <w:sz w:val="24"/>
          <w:szCs w:val="20"/>
        </w:rPr>
        <w:t>Ministry of Foreign Affairs, European Union and Cooperation (Spain)</w:t>
      </w:r>
    </w:p>
    <w:p w14:paraId="016349E2" w14:textId="77777777" w:rsidR="000D2B4D" w:rsidRPr="000F0876" w:rsidRDefault="000D2B4D" w:rsidP="00B758EB">
      <w:pPr>
        <w:pStyle w:val="ListParagraph"/>
        <w:numPr>
          <w:ilvl w:val="0"/>
          <w:numId w:val="5"/>
        </w:numPr>
        <w:spacing w:before="20" w:after="20" w:line="240" w:lineRule="auto"/>
        <w:contextualSpacing w:val="0"/>
        <w:rPr>
          <w:sz w:val="24"/>
          <w:szCs w:val="20"/>
        </w:rPr>
      </w:pPr>
      <w:r w:rsidRPr="000F0876">
        <w:rPr>
          <w:sz w:val="24"/>
          <w:szCs w:val="20"/>
        </w:rPr>
        <w:t>Government of the United Kingdom of Great Britain and Northern Ireland (UK)</w:t>
      </w:r>
    </w:p>
    <w:p w14:paraId="59160C3C" w14:textId="77777777" w:rsidR="000D2B4D" w:rsidRPr="000F0876" w:rsidRDefault="000D2B4D" w:rsidP="00B758EB">
      <w:pPr>
        <w:pStyle w:val="ListParagraph"/>
        <w:numPr>
          <w:ilvl w:val="0"/>
          <w:numId w:val="5"/>
        </w:numPr>
        <w:spacing w:before="20" w:after="120" w:line="240" w:lineRule="auto"/>
        <w:contextualSpacing w:val="0"/>
        <w:rPr>
          <w:sz w:val="24"/>
          <w:szCs w:val="20"/>
        </w:rPr>
      </w:pPr>
      <w:r w:rsidRPr="000F0876">
        <w:rPr>
          <w:sz w:val="24"/>
          <w:szCs w:val="20"/>
        </w:rPr>
        <w:lastRenderedPageBreak/>
        <w:t>Government of the United States of America (USA)</w:t>
      </w:r>
    </w:p>
    <w:p w14:paraId="3DE04F49" w14:textId="7CC33D48" w:rsidR="000D2B4D" w:rsidRPr="000F0876" w:rsidRDefault="000D2B4D" w:rsidP="000F08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0F0876">
        <w:t>This year, ITU participated in the 14</w:t>
      </w:r>
      <w:r w:rsidR="0077391B">
        <w:t>th</w:t>
      </w:r>
      <w:r w:rsidRPr="000F0876">
        <w:rPr>
          <w:lang w:eastAsia="zh-CN"/>
        </w:rPr>
        <w:t xml:space="preserve"> </w:t>
      </w:r>
      <w:r w:rsidRPr="000F0876">
        <w:t>Meeting of National Recruitment Services and UN Organizations on the JPO Programmes where other</w:t>
      </w:r>
      <w:r w:rsidRPr="000F0876">
        <w:rPr>
          <w:lang w:eastAsia="zh-CN"/>
        </w:rPr>
        <w:t xml:space="preserve"> international organizations (IO)</w:t>
      </w:r>
      <w:r w:rsidRPr="000F0876">
        <w:t xml:space="preserve"> and Donor Countries can meet. ITU is also having ongoing discussions with other ITU Member States to expand this programme.</w:t>
      </w:r>
    </w:p>
    <w:p w14:paraId="779036CC" w14:textId="0442A4B7" w:rsidR="003B6E5F" w:rsidRDefault="003B6E5F" w:rsidP="000F0876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Sponsored intern</w:t>
      </w:r>
      <w:r w:rsidR="009323D6">
        <w:rPr>
          <w:rFonts w:hint="eastAsia"/>
          <w:b/>
          <w:bCs/>
          <w:sz w:val="28"/>
          <w:szCs w:val="22"/>
        </w:rPr>
        <w:t>s</w:t>
      </w:r>
      <w:r>
        <w:rPr>
          <w:b/>
          <w:bCs/>
          <w:sz w:val="28"/>
          <w:szCs w:val="22"/>
        </w:rPr>
        <w:t xml:space="preserve"> programme</w:t>
      </w:r>
    </w:p>
    <w:p w14:paraId="729329F1" w14:textId="2F580D2E" w:rsidR="003B6E5F" w:rsidRPr="000F0876" w:rsidRDefault="003B6E5F" w:rsidP="000F0876">
      <w:pPr>
        <w:spacing w:after="120"/>
        <w:jc w:val="both"/>
        <w:rPr>
          <w:szCs w:val="24"/>
          <w:lang w:val="en-US"/>
        </w:rPr>
      </w:pPr>
      <w:r w:rsidRPr="000F0876">
        <w:rPr>
          <w:szCs w:val="24"/>
        </w:rPr>
        <w:t>ITU has established agreements with academic institutions for the sponsoring of interns. Under this framework, the academic institution provides the respective interns with a stipend that allows them to defray living costs.</w:t>
      </w:r>
    </w:p>
    <w:p w14:paraId="12BCE9E1" w14:textId="77777777" w:rsidR="003B6E5F" w:rsidRPr="000F0876" w:rsidRDefault="003B6E5F" w:rsidP="000F0876">
      <w:pPr>
        <w:spacing w:after="120"/>
        <w:jc w:val="both"/>
        <w:rPr>
          <w:szCs w:val="24"/>
        </w:rPr>
      </w:pPr>
      <w:r w:rsidRPr="000F0876">
        <w:rPr>
          <w:szCs w:val="24"/>
        </w:rPr>
        <w:t>The academic institution provides the payment directly to the individual. The following institutions are currently part of the programme, and ITU is working to expand it to include others:</w:t>
      </w:r>
    </w:p>
    <w:p w14:paraId="746522CB" w14:textId="77777777" w:rsidR="003B6E5F" w:rsidRPr="000F0876" w:rsidRDefault="003B6E5F" w:rsidP="00B758EB">
      <w:pPr>
        <w:pStyle w:val="ListParagraph"/>
        <w:numPr>
          <w:ilvl w:val="0"/>
          <w:numId w:val="3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China Scholarship Programme (China)</w:t>
      </w:r>
    </w:p>
    <w:p w14:paraId="66F4BF94" w14:textId="77777777" w:rsidR="003B6E5F" w:rsidRPr="000F0876" w:rsidRDefault="003B6E5F" w:rsidP="00B758EB">
      <w:pPr>
        <w:pStyle w:val="ListParagraph"/>
        <w:numPr>
          <w:ilvl w:val="0"/>
          <w:numId w:val="3"/>
        </w:numPr>
        <w:spacing w:before="20" w:after="20" w:line="240" w:lineRule="auto"/>
        <w:ind w:left="714" w:hanging="357"/>
        <w:contextualSpacing w:val="0"/>
        <w:jc w:val="both"/>
        <w:rPr>
          <w:sz w:val="24"/>
          <w:szCs w:val="20"/>
        </w:rPr>
      </w:pPr>
      <w:r w:rsidRPr="000F0876">
        <w:rPr>
          <w:sz w:val="24"/>
          <w:szCs w:val="20"/>
        </w:rPr>
        <w:t>Carlo Schmid Programme (Germany)</w:t>
      </w:r>
    </w:p>
    <w:p w14:paraId="14013441" w14:textId="6DCE7910" w:rsidR="003B6E5F" w:rsidRDefault="003B6E5F" w:rsidP="000F08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0F0876">
        <w:rPr>
          <w:szCs w:val="24"/>
        </w:rPr>
        <w:t>Both institutions select their sponsored interns following a competitive process.</w:t>
      </w:r>
      <w:r w:rsidR="009E0779">
        <w:rPr>
          <w:rFonts w:hint="eastAsia"/>
          <w:szCs w:val="24"/>
          <w:lang w:eastAsia="zh-CN"/>
        </w:rPr>
        <w:t xml:space="preserve"> </w:t>
      </w:r>
      <w:r>
        <w:br w:type="page"/>
      </w:r>
    </w:p>
    <w:p w14:paraId="7D703968" w14:textId="77777777" w:rsidR="003B6E5F" w:rsidRDefault="003B6E5F" w:rsidP="003B6E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 w:line="259" w:lineRule="auto"/>
        <w:rPr>
          <w:b/>
          <w:bCs/>
          <w:sz w:val="28"/>
          <w:szCs w:val="28"/>
        </w:rPr>
        <w:sectPr w:rsidR="003B6E5F" w:rsidSect="00E861B6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6893550B" w14:textId="78A5D408" w:rsidR="003B6E5F" w:rsidRDefault="003B6E5F" w:rsidP="003B6E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 w:line="259" w:lineRule="auto"/>
        <w:rPr>
          <w:b/>
          <w:bCs/>
          <w:sz w:val="28"/>
          <w:szCs w:val="28"/>
        </w:rPr>
      </w:pPr>
      <w:r w:rsidRPr="20882428">
        <w:rPr>
          <w:b/>
          <w:bCs/>
          <w:sz w:val="28"/>
          <w:szCs w:val="28"/>
        </w:rPr>
        <w:lastRenderedPageBreak/>
        <w:t>Participant statistics</w:t>
      </w:r>
    </w:p>
    <w:p w14:paraId="0A122E50" w14:textId="6175C48C" w:rsidR="003B6E5F" w:rsidRPr="000F0876" w:rsidRDefault="20C45591" w:rsidP="51F51F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 w:line="259" w:lineRule="auto"/>
        <w:rPr>
          <w:sz w:val="28"/>
          <w:szCs w:val="28"/>
        </w:rPr>
      </w:pPr>
      <w:r w:rsidRPr="000F0876">
        <w:rPr>
          <w:noProof/>
        </w:rPr>
        <w:t>The table below shows the number of personnel employed with ITU per year under each of the programmes and indicates their sponsoring institutions.</w:t>
      </w:r>
    </w:p>
    <w:p w14:paraId="4CAF181D" w14:textId="6175C48C" w:rsidR="003B6E5F" w:rsidRPr="000F0876" w:rsidRDefault="63E0ECF6" w:rsidP="00C843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 w:line="259" w:lineRule="auto"/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25D90942" wp14:editId="5EDF3552">
            <wp:extent cx="5998670" cy="4227766"/>
            <wp:effectExtent l="0" t="0" r="0" b="0"/>
            <wp:docPr id="1306903920" name="Picture 130690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670" cy="422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8212" w14:textId="15AB2265" w:rsidR="003B6E5F" w:rsidRPr="003B6E5F" w:rsidRDefault="00C8434D" w:rsidP="00C8434D">
      <w:pPr>
        <w:jc w:val="center"/>
      </w:pPr>
      <w:r>
        <w:t>_____________</w:t>
      </w:r>
    </w:p>
    <w:sectPr w:rsidR="003B6E5F" w:rsidRPr="003B6E5F" w:rsidSect="00E861B6">
      <w:headerReference w:type="first" r:id="rId15"/>
      <w:footerReference w:type="first" r:id="rId16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958B" w14:textId="77777777" w:rsidR="00E861B6" w:rsidRDefault="00E861B6">
      <w:r>
        <w:separator/>
      </w:r>
    </w:p>
  </w:endnote>
  <w:endnote w:type="continuationSeparator" w:id="0">
    <w:p w14:paraId="4D533ACC" w14:textId="77777777" w:rsidR="00E861B6" w:rsidRDefault="00E861B6">
      <w:r>
        <w:continuationSeparator/>
      </w:r>
    </w:p>
  </w:endnote>
  <w:endnote w:type="continuationNotice" w:id="1">
    <w:p w14:paraId="5820BAAD" w14:textId="77777777" w:rsidR="00E861B6" w:rsidRDefault="00E861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>
      <w:trPr>
        <w:jc w:val="center"/>
      </w:trPr>
      <w:tc>
        <w:tcPr>
          <w:tcW w:w="1803" w:type="dxa"/>
          <w:vAlign w:val="center"/>
        </w:tcPr>
        <w:p w14:paraId="727FD637" w14:textId="7D1605D3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0563BB98" w:rsidR="00EE49E8" w:rsidRPr="00E06FD5" w:rsidRDefault="00EE49E8" w:rsidP="00ED01AB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ED01AB">
            <w:rPr>
              <w:bCs/>
            </w:rPr>
            <w:t>INF/</w:t>
          </w:r>
          <w:r w:rsidR="00B758EB">
            <w:rPr>
              <w:bCs/>
            </w:rPr>
            <w:t>10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C8434D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46E29515" w:rsidR="00EE49E8" w:rsidRPr="00E06FD5" w:rsidRDefault="00EE49E8" w:rsidP="00ED01AB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ED01AB">
            <w:rPr>
              <w:bCs/>
            </w:rPr>
            <w:t>INF/</w:t>
          </w:r>
          <w:r w:rsidR="00B758EB">
            <w:rPr>
              <w:bCs/>
            </w:rPr>
            <w:t>10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B758EB" w:rsidRPr="00784011" w14:paraId="174686DD" w14:textId="77777777" w:rsidTr="00721BCA">
      <w:trPr>
        <w:jc w:val="center"/>
      </w:trPr>
      <w:tc>
        <w:tcPr>
          <w:tcW w:w="1803" w:type="dxa"/>
          <w:vAlign w:val="center"/>
        </w:tcPr>
        <w:p w14:paraId="647880DA" w14:textId="77777777" w:rsidR="00B758EB" w:rsidRDefault="00B758EB" w:rsidP="00B758EB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DF4113F" w14:textId="127A326C" w:rsidR="00B758EB" w:rsidRPr="00E06FD5" w:rsidRDefault="00B758EB" w:rsidP="00B758EB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INF/10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CD38DBB" w14:textId="77777777" w:rsidR="00B758EB" w:rsidRPr="00623AE3" w:rsidRDefault="00B758EB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74FB" w14:textId="77777777" w:rsidR="00E861B6" w:rsidRDefault="00E861B6">
      <w:r>
        <w:t>____________________</w:t>
      </w:r>
    </w:p>
  </w:footnote>
  <w:footnote w:type="continuationSeparator" w:id="0">
    <w:p w14:paraId="270B1A91" w14:textId="77777777" w:rsidR="00E861B6" w:rsidRDefault="00E861B6">
      <w:r>
        <w:continuationSeparator/>
      </w:r>
    </w:p>
  </w:footnote>
  <w:footnote w:type="continuationNotice" w:id="1">
    <w:p w14:paraId="5752B5FB" w14:textId="77777777" w:rsidR="00E861B6" w:rsidRDefault="00E861B6">
      <w:pPr>
        <w:spacing w:before="0"/>
      </w:pPr>
    </w:p>
  </w:footnote>
  <w:footnote w:id="2">
    <w:p w14:paraId="24DE2BB4" w14:textId="63D7A834" w:rsidR="6C0ABA0F" w:rsidRDefault="003B6E5F" w:rsidP="6C0ABA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B758EB">
        <w:tab/>
      </w:r>
      <w:r w:rsidR="6C0ABA0F" w:rsidRPr="00A91520">
        <w:rPr>
          <w:sz w:val="20"/>
          <w:lang w:val="en-US"/>
        </w:rPr>
        <w:t>ITU has previously accepted secondments at the D1 level, although this practice has been discontinued.</w:t>
      </w:r>
    </w:p>
  </w:footnote>
  <w:footnote w:id="3">
    <w:p w14:paraId="5AFDAEC7" w14:textId="6CD22B88" w:rsidR="00CA60EB" w:rsidRPr="00F86905" w:rsidRDefault="00CA60EB">
      <w:pPr>
        <w:pStyle w:val="FootnoteText"/>
      </w:pPr>
      <w:r>
        <w:rPr>
          <w:rStyle w:val="FootnoteReference"/>
        </w:rPr>
        <w:footnoteRef/>
      </w:r>
      <w:r w:rsidR="00C8434D">
        <w:rPr>
          <w:sz w:val="20"/>
        </w:rPr>
        <w:tab/>
      </w:r>
      <w:r w:rsidR="00F86905" w:rsidRPr="00E154C7">
        <w:rPr>
          <w:sz w:val="20"/>
        </w:rPr>
        <w:t>Covered by the agreement with the Ministry of Science and ICT (Republic of Korea)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>
      <w:trPr>
        <w:trHeight w:val="1104"/>
        <w:jc w:val="center"/>
      </w:trPr>
      <w:tc>
        <w:tcPr>
          <w:tcW w:w="4390" w:type="dxa"/>
          <w:vAlign w:val="center"/>
        </w:tcPr>
        <w:p w14:paraId="3E21B143" w14:textId="6CFC012E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518928823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143B20AB" w14:textId="3B60F386" w:rsidR="003B6E5F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0330B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13F6" w14:textId="3AF131A6" w:rsidR="00B758EB" w:rsidRDefault="00B758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D779C"/>
    <w:multiLevelType w:val="hybridMultilevel"/>
    <w:tmpl w:val="FD76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0BA8"/>
    <w:multiLevelType w:val="hybridMultilevel"/>
    <w:tmpl w:val="D072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6D0"/>
    <w:multiLevelType w:val="hybridMultilevel"/>
    <w:tmpl w:val="DDD2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C314B"/>
    <w:multiLevelType w:val="hybridMultilevel"/>
    <w:tmpl w:val="8C38AF74"/>
    <w:lvl w:ilvl="0" w:tplc="C7DE2A6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840266581">
    <w:abstractNumId w:val="4"/>
  </w:num>
  <w:num w:numId="3" w16cid:durableId="350835177">
    <w:abstractNumId w:val="3"/>
  </w:num>
  <w:num w:numId="4" w16cid:durableId="122311255">
    <w:abstractNumId w:val="1"/>
  </w:num>
  <w:num w:numId="5" w16cid:durableId="84320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6AF6"/>
    <w:rsid w:val="00085CF2"/>
    <w:rsid w:val="00090514"/>
    <w:rsid w:val="000B1705"/>
    <w:rsid w:val="000D2B4D"/>
    <w:rsid w:val="000D75B2"/>
    <w:rsid w:val="000F0876"/>
    <w:rsid w:val="00107ED7"/>
    <w:rsid w:val="001121F5"/>
    <w:rsid w:val="00112991"/>
    <w:rsid w:val="001400DC"/>
    <w:rsid w:val="00140CE1"/>
    <w:rsid w:val="00153FCC"/>
    <w:rsid w:val="00156BDB"/>
    <w:rsid w:val="00166599"/>
    <w:rsid w:val="0017539C"/>
    <w:rsid w:val="00175AC2"/>
    <w:rsid w:val="0017609F"/>
    <w:rsid w:val="00182E29"/>
    <w:rsid w:val="001A7D1D"/>
    <w:rsid w:val="001B2AC6"/>
    <w:rsid w:val="001B51DD"/>
    <w:rsid w:val="001B6342"/>
    <w:rsid w:val="001C5632"/>
    <w:rsid w:val="001C628E"/>
    <w:rsid w:val="001E0F7B"/>
    <w:rsid w:val="001F019A"/>
    <w:rsid w:val="001F35D2"/>
    <w:rsid w:val="002119FD"/>
    <w:rsid w:val="002130E0"/>
    <w:rsid w:val="00235C23"/>
    <w:rsid w:val="0024794C"/>
    <w:rsid w:val="00252D0B"/>
    <w:rsid w:val="00264425"/>
    <w:rsid w:val="00265875"/>
    <w:rsid w:val="0027303B"/>
    <w:rsid w:val="0028109B"/>
    <w:rsid w:val="002860AF"/>
    <w:rsid w:val="0029753F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B6E5F"/>
    <w:rsid w:val="003C2533"/>
    <w:rsid w:val="003D4B89"/>
    <w:rsid w:val="003D5A7F"/>
    <w:rsid w:val="003F755C"/>
    <w:rsid w:val="004016E2"/>
    <w:rsid w:val="0040435A"/>
    <w:rsid w:val="00416A24"/>
    <w:rsid w:val="00431D9E"/>
    <w:rsid w:val="0043296A"/>
    <w:rsid w:val="00433CE8"/>
    <w:rsid w:val="00434A5C"/>
    <w:rsid w:val="004544D9"/>
    <w:rsid w:val="00472BAD"/>
    <w:rsid w:val="00477F44"/>
    <w:rsid w:val="00484009"/>
    <w:rsid w:val="00490E72"/>
    <w:rsid w:val="00491157"/>
    <w:rsid w:val="004921C8"/>
    <w:rsid w:val="00495B0B"/>
    <w:rsid w:val="004A1B8B"/>
    <w:rsid w:val="004B34F0"/>
    <w:rsid w:val="004D1851"/>
    <w:rsid w:val="004D599D"/>
    <w:rsid w:val="004E2EA5"/>
    <w:rsid w:val="004E3AEB"/>
    <w:rsid w:val="004F24B1"/>
    <w:rsid w:val="00501CA1"/>
    <w:rsid w:val="0050223C"/>
    <w:rsid w:val="005066D2"/>
    <w:rsid w:val="00514516"/>
    <w:rsid w:val="005243FF"/>
    <w:rsid w:val="00547AF4"/>
    <w:rsid w:val="00564FBC"/>
    <w:rsid w:val="005800BC"/>
    <w:rsid w:val="00582442"/>
    <w:rsid w:val="005C0392"/>
    <w:rsid w:val="005F3269"/>
    <w:rsid w:val="00621F3E"/>
    <w:rsid w:val="00623AE3"/>
    <w:rsid w:val="0064737F"/>
    <w:rsid w:val="006535F1"/>
    <w:rsid w:val="0065557D"/>
    <w:rsid w:val="00660D50"/>
    <w:rsid w:val="0066136E"/>
    <w:rsid w:val="00662984"/>
    <w:rsid w:val="006716BB"/>
    <w:rsid w:val="00680842"/>
    <w:rsid w:val="006850BE"/>
    <w:rsid w:val="006B1859"/>
    <w:rsid w:val="006B6680"/>
    <w:rsid w:val="006B6DCC"/>
    <w:rsid w:val="006C44E5"/>
    <w:rsid w:val="006D5FB4"/>
    <w:rsid w:val="00702DEF"/>
    <w:rsid w:val="00706861"/>
    <w:rsid w:val="0075051B"/>
    <w:rsid w:val="00770727"/>
    <w:rsid w:val="0077391B"/>
    <w:rsid w:val="00780609"/>
    <w:rsid w:val="00793188"/>
    <w:rsid w:val="00794D34"/>
    <w:rsid w:val="00813E5E"/>
    <w:rsid w:val="00823336"/>
    <w:rsid w:val="0083581B"/>
    <w:rsid w:val="00843120"/>
    <w:rsid w:val="00862B2A"/>
    <w:rsid w:val="00863874"/>
    <w:rsid w:val="00864AFF"/>
    <w:rsid w:val="00865925"/>
    <w:rsid w:val="0086749F"/>
    <w:rsid w:val="008741FF"/>
    <w:rsid w:val="00887BFA"/>
    <w:rsid w:val="008A3E5F"/>
    <w:rsid w:val="008B4A6A"/>
    <w:rsid w:val="008C2D09"/>
    <w:rsid w:val="008C7E27"/>
    <w:rsid w:val="008E2EE0"/>
    <w:rsid w:val="008F7448"/>
    <w:rsid w:val="0090147A"/>
    <w:rsid w:val="009173EF"/>
    <w:rsid w:val="009323D6"/>
    <w:rsid w:val="00932906"/>
    <w:rsid w:val="00950D31"/>
    <w:rsid w:val="00961B0B"/>
    <w:rsid w:val="00962D33"/>
    <w:rsid w:val="00982049"/>
    <w:rsid w:val="00996477"/>
    <w:rsid w:val="009B38C3"/>
    <w:rsid w:val="009B470C"/>
    <w:rsid w:val="009C6529"/>
    <w:rsid w:val="009E0505"/>
    <w:rsid w:val="009E0779"/>
    <w:rsid w:val="009E17BD"/>
    <w:rsid w:val="009E485A"/>
    <w:rsid w:val="009E553B"/>
    <w:rsid w:val="009F0371"/>
    <w:rsid w:val="00A04CEC"/>
    <w:rsid w:val="00A27F92"/>
    <w:rsid w:val="00A32257"/>
    <w:rsid w:val="00A36D20"/>
    <w:rsid w:val="00A514A4"/>
    <w:rsid w:val="00A55622"/>
    <w:rsid w:val="00A629E0"/>
    <w:rsid w:val="00A6379F"/>
    <w:rsid w:val="00A83502"/>
    <w:rsid w:val="00AC33B3"/>
    <w:rsid w:val="00AD15B3"/>
    <w:rsid w:val="00AD3606"/>
    <w:rsid w:val="00AD4A3D"/>
    <w:rsid w:val="00AF6E49"/>
    <w:rsid w:val="00B04A67"/>
    <w:rsid w:val="00B0583C"/>
    <w:rsid w:val="00B274D9"/>
    <w:rsid w:val="00B40A81"/>
    <w:rsid w:val="00B44910"/>
    <w:rsid w:val="00B465E9"/>
    <w:rsid w:val="00B50C59"/>
    <w:rsid w:val="00B61C9A"/>
    <w:rsid w:val="00B72267"/>
    <w:rsid w:val="00B758EB"/>
    <w:rsid w:val="00B76EB6"/>
    <w:rsid w:val="00B7737B"/>
    <w:rsid w:val="00B824C8"/>
    <w:rsid w:val="00B84B9D"/>
    <w:rsid w:val="00B94287"/>
    <w:rsid w:val="00BB19A8"/>
    <w:rsid w:val="00BB7C4B"/>
    <w:rsid w:val="00BC251A"/>
    <w:rsid w:val="00BC350F"/>
    <w:rsid w:val="00BD032B"/>
    <w:rsid w:val="00BD7271"/>
    <w:rsid w:val="00BE2640"/>
    <w:rsid w:val="00BF08FD"/>
    <w:rsid w:val="00C01189"/>
    <w:rsid w:val="00C263A8"/>
    <w:rsid w:val="00C374DE"/>
    <w:rsid w:val="00C47AD4"/>
    <w:rsid w:val="00C525ED"/>
    <w:rsid w:val="00C52D81"/>
    <w:rsid w:val="00C55198"/>
    <w:rsid w:val="00C6570C"/>
    <w:rsid w:val="00C8434D"/>
    <w:rsid w:val="00CA60EB"/>
    <w:rsid w:val="00CA6393"/>
    <w:rsid w:val="00CB18FF"/>
    <w:rsid w:val="00CD0C08"/>
    <w:rsid w:val="00CD23B0"/>
    <w:rsid w:val="00CD2821"/>
    <w:rsid w:val="00CE03FB"/>
    <w:rsid w:val="00CE06B8"/>
    <w:rsid w:val="00CE433C"/>
    <w:rsid w:val="00CF0161"/>
    <w:rsid w:val="00CF33F3"/>
    <w:rsid w:val="00D05FEB"/>
    <w:rsid w:val="00D06183"/>
    <w:rsid w:val="00D1025A"/>
    <w:rsid w:val="00D1126E"/>
    <w:rsid w:val="00D22C42"/>
    <w:rsid w:val="00D33169"/>
    <w:rsid w:val="00D65041"/>
    <w:rsid w:val="00D8248B"/>
    <w:rsid w:val="00DA78DA"/>
    <w:rsid w:val="00DACDF1"/>
    <w:rsid w:val="00DB1936"/>
    <w:rsid w:val="00DB384B"/>
    <w:rsid w:val="00DB47E8"/>
    <w:rsid w:val="00DD3B4B"/>
    <w:rsid w:val="00DF0189"/>
    <w:rsid w:val="00E06FD5"/>
    <w:rsid w:val="00E10E80"/>
    <w:rsid w:val="00E124F0"/>
    <w:rsid w:val="00E154C7"/>
    <w:rsid w:val="00E227F3"/>
    <w:rsid w:val="00E23618"/>
    <w:rsid w:val="00E545C6"/>
    <w:rsid w:val="00E60F04"/>
    <w:rsid w:val="00E65B24"/>
    <w:rsid w:val="00E854E4"/>
    <w:rsid w:val="00E861B6"/>
    <w:rsid w:val="00E86DBF"/>
    <w:rsid w:val="00E905FE"/>
    <w:rsid w:val="00EB0D6F"/>
    <w:rsid w:val="00EB2232"/>
    <w:rsid w:val="00EC5337"/>
    <w:rsid w:val="00ED01AB"/>
    <w:rsid w:val="00EE49E8"/>
    <w:rsid w:val="00F16BAB"/>
    <w:rsid w:val="00F2150A"/>
    <w:rsid w:val="00F231D8"/>
    <w:rsid w:val="00F42DD3"/>
    <w:rsid w:val="00F44C00"/>
    <w:rsid w:val="00F45D2C"/>
    <w:rsid w:val="00F46C5F"/>
    <w:rsid w:val="00F632C0"/>
    <w:rsid w:val="00F6357B"/>
    <w:rsid w:val="00F74710"/>
    <w:rsid w:val="00F86905"/>
    <w:rsid w:val="00F94096"/>
    <w:rsid w:val="00F94A63"/>
    <w:rsid w:val="00FA1C28"/>
    <w:rsid w:val="00FB1279"/>
    <w:rsid w:val="00FB6B76"/>
    <w:rsid w:val="00FB7596"/>
    <w:rsid w:val="00FE4077"/>
    <w:rsid w:val="00FE500D"/>
    <w:rsid w:val="00FE77D2"/>
    <w:rsid w:val="0559C6C3"/>
    <w:rsid w:val="0A908136"/>
    <w:rsid w:val="12F77509"/>
    <w:rsid w:val="1713A874"/>
    <w:rsid w:val="20C45591"/>
    <w:rsid w:val="263FC277"/>
    <w:rsid w:val="26CA6CCC"/>
    <w:rsid w:val="270C2530"/>
    <w:rsid w:val="2AE77297"/>
    <w:rsid w:val="2EF01A05"/>
    <w:rsid w:val="2FA9CDEA"/>
    <w:rsid w:val="30046515"/>
    <w:rsid w:val="34CEDA7B"/>
    <w:rsid w:val="35FBC891"/>
    <w:rsid w:val="36E0EDD3"/>
    <w:rsid w:val="3912B6D5"/>
    <w:rsid w:val="395D9A5E"/>
    <w:rsid w:val="3FB47165"/>
    <w:rsid w:val="3FD2C43B"/>
    <w:rsid w:val="423019E9"/>
    <w:rsid w:val="4464345F"/>
    <w:rsid w:val="479C3814"/>
    <w:rsid w:val="50DB8B48"/>
    <w:rsid w:val="51F51F51"/>
    <w:rsid w:val="55D39024"/>
    <w:rsid w:val="55DA5797"/>
    <w:rsid w:val="5BCB3B66"/>
    <w:rsid w:val="6089AF6F"/>
    <w:rsid w:val="63E0ECF6"/>
    <w:rsid w:val="641E5F32"/>
    <w:rsid w:val="664F583E"/>
    <w:rsid w:val="6C0ABA0F"/>
    <w:rsid w:val="6D3A577B"/>
    <w:rsid w:val="73B05056"/>
    <w:rsid w:val="767EE7E3"/>
    <w:rsid w:val="7FB3A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C3B47251-CF55-42B5-AEC2-A42107C0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154C7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51451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 w:val="22"/>
      <w:szCs w:val="22"/>
      <w:lang w:val="en-US" w:eastAsia="zh-CN"/>
    </w:rPr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514516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547AF4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B470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F75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75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55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55C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47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707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04e1e-0540-4930-9623-702d547a0a33">
      <UserInfo>
        <DisplayName>Yuceozsoy, Zeynep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48EA66-1968-428E-BD5E-9C0924198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496BA-DAB3-4848-9FED-935040425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30558-C5B3-42AA-A9F7-E0F66BCB7033}">
  <ds:schemaRefs>
    <ds:schemaRef ds:uri="http://schemas.microsoft.com/office/2006/documentManagement/types"/>
    <ds:schemaRef ds:uri="085b46e1-7f22-4e81-9ba5-912dc5a5fd9a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98b04e1e-0540-4930-9623-702d547a0a3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899</Words>
  <Characters>5334</Characters>
  <Application>Microsoft Office Word</Application>
  <DocSecurity>0</DocSecurity>
  <Lines>44</Lines>
  <Paragraphs>12</Paragraphs>
  <ScaleCrop>false</ScaleCrop>
  <Manager>General Secretariat - Pool</Manager>
  <Company>International Telecommunication Union (ITU)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HR partnerships - Arrangements for funds-in-trust (fit)/secondments, loans, JPO, sponsored interns</dc:title>
  <dc:subject>Council 2024</dc:subject>
  <dc:creator>author</dc:creator>
  <cp:keywords>C2024, C24, Council-24</cp:keywords>
  <dc:description/>
  <cp:lastModifiedBy>Brouard, Ricarda</cp:lastModifiedBy>
  <cp:revision>4</cp:revision>
  <cp:lastPrinted>2000-07-18T22:30:00Z</cp:lastPrinted>
  <dcterms:created xsi:type="dcterms:W3CDTF">2024-05-06T08:16:00Z</dcterms:created>
  <dcterms:modified xsi:type="dcterms:W3CDTF">2024-05-06T08:23:00Z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