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6247DF72"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BE5C82D" w:rsidR="00AD3606" w:rsidRPr="00E85629" w:rsidRDefault="00AD3606" w:rsidP="00472BAD">
            <w:pPr>
              <w:tabs>
                <w:tab w:val="left" w:pos="851"/>
              </w:tabs>
              <w:spacing w:before="0" w:line="240" w:lineRule="atLeast"/>
              <w:jc w:val="right"/>
              <w:rPr>
                <w:b/>
              </w:rPr>
            </w:pPr>
            <w:r>
              <w:rPr>
                <w:b/>
              </w:rPr>
              <w:t xml:space="preserve">Document </w:t>
            </w:r>
            <w:r w:rsidR="00771F11" w:rsidRPr="001D4691">
              <w:rPr>
                <w:b/>
              </w:rPr>
              <w:t>C</w:t>
            </w:r>
            <w:r w:rsidR="00771F11">
              <w:rPr>
                <w:b/>
              </w:rPr>
              <w:t>24</w:t>
            </w:r>
            <w:r w:rsidR="00771F11" w:rsidRPr="001D4691">
              <w:rPr>
                <w:b/>
              </w:rPr>
              <w:t>/</w:t>
            </w:r>
            <w:r w:rsidR="00771F11">
              <w:rPr>
                <w:b/>
              </w:rPr>
              <w:t>INF/</w:t>
            </w:r>
            <w:r w:rsidR="0040055F">
              <w:rPr>
                <w:b/>
              </w:rPr>
              <w:t>2</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871966C" w:rsidR="00AD3606" w:rsidRPr="00E85629" w:rsidRDefault="006231E3" w:rsidP="00AD3606">
            <w:pPr>
              <w:tabs>
                <w:tab w:val="left" w:pos="851"/>
              </w:tabs>
              <w:spacing w:before="0"/>
              <w:jc w:val="right"/>
              <w:rPr>
                <w:b/>
              </w:rPr>
            </w:pPr>
            <w:r>
              <w:rPr>
                <w:b/>
              </w:rPr>
              <w:t>9 April</w:t>
            </w:r>
            <w:r w:rsidR="0040055F">
              <w:rPr>
                <w:b/>
              </w:rPr>
              <w:t xml:space="preserve"> </w:t>
            </w:r>
            <w:r w:rsidR="00AD3606">
              <w:rPr>
                <w:b/>
              </w:rPr>
              <w:t>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6298D4A0" w:rsidR="00AD3606" w:rsidRPr="00E85629" w:rsidRDefault="00771F11"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7777777" w:rsidR="00AD3606" w:rsidRPr="006850BE" w:rsidRDefault="00AD3606" w:rsidP="0043344A">
            <w:pPr>
              <w:pStyle w:val="Source"/>
              <w:framePr w:hSpace="0" w:wrap="auto" w:vAnchor="margin" w:hAnchor="text" w:xAlign="left" w:yAlign="inline"/>
              <w:spacing w:before="480"/>
            </w:pPr>
            <w:bookmarkStart w:id="8" w:name="dsource" w:colFirst="0" w:colLast="0"/>
            <w:bookmarkEnd w:id="7"/>
            <w:r w:rsidRPr="006850BE">
              <w:t>Report by the Secretary-General</w:t>
            </w:r>
          </w:p>
        </w:tc>
      </w:tr>
      <w:tr w:rsidR="00AD3606" w:rsidRPr="00813E5E" w14:paraId="2340750D" w14:textId="77777777" w:rsidTr="00771F11">
        <w:trPr>
          <w:cantSplit/>
        </w:trPr>
        <w:tc>
          <w:tcPr>
            <w:tcW w:w="9214" w:type="dxa"/>
            <w:gridSpan w:val="2"/>
            <w:tcMar>
              <w:left w:w="0" w:type="dxa"/>
            </w:tcMar>
          </w:tcPr>
          <w:p w14:paraId="47B91AA8" w14:textId="7623BDA0" w:rsidR="00AD3606" w:rsidRPr="006850BE" w:rsidRDefault="00771F11" w:rsidP="006850BE">
            <w:pPr>
              <w:pStyle w:val="Subtitle"/>
              <w:framePr w:hSpace="0" w:wrap="auto" w:xAlign="left" w:yAlign="inline"/>
            </w:pPr>
            <w:bookmarkStart w:id="9" w:name="dtitle1" w:colFirst="0" w:colLast="0"/>
            <w:bookmarkEnd w:id="8"/>
            <w:r>
              <w:rPr>
                <w:sz w:val="28"/>
                <w:szCs w:val="28"/>
              </w:rPr>
              <w:t xml:space="preserve">REPORT OF THE BUDGET CONTROL COMMITTEES OF THE RADIOCOMMUNICATION ASSEMBLY (RA-23) AND THE </w:t>
            </w:r>
            <w:r w:rsidR="00046231">
              <w:rPr>
                <w:sz w:val="28"/>
                <w:szCs w:val="28"/>
              </w:rPr>
              <w:br/>
            </w:r>
            <w:r>
              <w:rPr>
                <w:sz w:val="28"/>
                <w:szCs w:val="28"/>
              </w:rPr>
              <w:t>WORLD RADIOCOMMUNICATION CONFERENCE (WRC-23)</w:t>
            </w:r>
          </w:p>
        </w:tc>
      </w:tr>
      <w:tr w:rsidR="00AD3606" w:rsidRPr="00736DE9" w14:paraId="1F564D2D" w14:textId="77777777" w:rsidTr="00771F11">
        <w:trPr>
          <w:cantSplit/>
        </w:trPr>
        <w:tc>
          <w:tcPr>
            <w:tcW w:w="9214" w:type="dxa"/>
            <w:gridSpan w:val="2"/>
            <w:tcMar>
              <w:left w:w="0" w:type="dxa"/>
            </w:tcMar>
          </w:tcPr>
          <w:p w14:paraId="7AD73B47" w14:textId="1A32A9B2" w:rsidR="00AD3606" w:rsidRPr="00F16BAB" w:rsidRDefault="00F16BAB" w:rsidP="00F16BAB">
            <w:pPr>
              <w:spacing w:before="160"/>
              <w:rPr>
                <w:b/>
                <w:bCs/>
                <w:sz w:val="26"/>
                <w:szCs w:val="26"/>
              </w:rPr>
            </w:pPr>
            <w:r w:rsidRPr="00F16BAB">
              <w:rPr>
                <w:b/>
                <w:bCs/>
                <w:sz w:val="26"/>
                <w:szCs w:val="26"/>
              </w:rPr>
              <w:t>Purpose</w:t>
            </w:r>
          </w:p>
          <w:p w14:paraId="1B10A0AD" w14:textId="77777777" w:rsidR="00771F11" w:rsidRDefault="00771F11" w:rsidP="00771F11">
            <w:pPr>
              <w:pStyle w:val="BodyTextIndent"/>
              <w:spacing w:before="160" w:after="60"/>
              <w:ind w:left="34"/>
              <w:rPr>
                <w:rFonts w:ascii="Calibri" w:hAnsi="Calibri" w:cs="Calibri"/>
                <w:sz w:val="24"/>
                <w:szCs w:val="24"/>
              </w:rPr>
            </w:pPr>
            <w:r w:rsidRPr="007747DF">
              <w:rPr>
                <w:rFonts w:ascii="Calibri" w:hAnsi="Calibri" w:cs="Calibri"/>
                <w:sz w:val="24"/>
                <w:szCs w:val="24"/>
              </w:rPr>
              <w:t>Under No. 74 of the General Rules of Conferences, Assemblies and Meetings of the Union, the report of the Budget Control Committee, together with the observations of the Plenary Meeting shall, after consideration and approval by the Plenary Meeting, be transmitted to the Secretary-General for submission to the Council at its next ordinary session.</w:t>
            </w:r>
          </w:p>
          <w:p w14:paraId="67F0BBAD" w14:textId="77777777" w:rsidR="00771F11" w:rsidRPr="008C54A9" w:rsidRDefault="00771F11" w:rsidP="00771F11">
            <w:pPr>
              <w:pStyle w:val="BodyTextIndent"/>
              <w:spacing w:before="160" w:after="60"/>
              <w:ind w:left="34"/>
              <w:rPr>
                <w:rFonts w:ascii="Calibri" w:hAnsi="Calibri" w:cs="Calibri"/>
                <w:sz w:val="24"/>
                <w:szCs w:val="24"/>
              </w:rPr>
            </w:pPr>
            <w:r w:rsidRPr="008C54A9">
              <w:rPr>
                <w:rFonts w:ascii="Calibri" w:hAnsi="Calibri" w:cs="Calibri"/>
                <w:sz w:val="24"/>
                <w:szCs w:val="24"/>
              </w:rPr>
              <w:t xml:space="preserve">The report of the Budget Control Committee of the Radiocommunication Assembly (RA-23) is contained in Document </w:t>
            </w:r>
            <w:hyperlink r:id="rId8" w:history="1">
              <w:r w:rsidRPr="008C54A9">
                <w:rPr>
                  <w:rStyle w:val="Hyperlink"/>
                  <w:rFonts w:ascii="Calibri" w:hAnsi="Calibri" w:cs="Calibri"/>
                  <w:bCs/>
                  <w:sz w:val="24"/>
                  <w:szCs w:val="24"/>
                </w:rPr>
                <w:t>RA23/PLEN/96</w:t>
              </w:r>
            </w:hyperlink>
            <w:r w:rsidRPr="008C54A9">
              <w:rPr>
                <w:rStyle w:val="Hyperlink"/>
                <w:rFonts w:ascii="Calibri" w:hAnsi="Calibri" w:cs="Calibri"/>
                <w:bCs/>
                <w:sz w:val="24"/>
                <w:szCs w:val="24"/>
                <w:u w:val="none"/>
              </w:rPr>
              <w:t xml:space="preserve">. </w:t>
            </w:r>
            <w:r w:rsidRPr="008C54A9">
              <w:rPr>
                <w:rFonts w:ascii="Calibri" w:hAnsi="Calibri" w:cs="Calibri"/>
                <w:sz w:val="24"/>
                <w:szCs w:val="24"/>
              </w:rPr>
              <w:t>N</w:t>
            </w:r>
            <w:r w:rsidRPr="008C54A9">
              <w:rPr>
                <w:rStyle w:val="Hyperlink"/>
                <w:rFonts w:ascii="Calibri" w:hAnsi="Calibri" w:cs="Calibri"/>
                <w:color w:val="auto"/>
                <w:sz w:val="24"/>
                <w:szCs w:val="24"/>
                <w:u w:val="none"/>
              </w:rPr>
              <w:t>o observations on the report were made by the Plenary Meeting.</w:t>
            </w:r>
          </w:p>
          <w:p w14:paraId="2E09FE8B" w14:textId="195CC9D8" w:rsidR="00AD3606" w:rsidRPr="00813E5E" w:rsidRDefault="00771F11" w:rsidP="00771F11">
            <w:r w:rsidRPr="007E3159">
              <w:rPr>
                <w:rFonts w:cs="Calibri"/>
                <w:szCs w:val="24"/>
              </w:rPr>
              <w:t xml:space="preserve">The report of the Budget Control Committee of the World Radiocommunication Conference (WRC-23) is contained in </w:t>
            </w:r>
            <w:hyperlink r:id="rId9" w:history="1">
              <w:r w:rsidRPr="007E3159">
                <w:rPr>
                  <w:rStyle w:val="Hyperlink"/>
                  <w:rFonts w:cs="Calibri"/>
                  <w:szCs w:val="24"/>
                </w:rPr>
                <w:t>Document 460 (Rev. 1)</w:t>
              </w:r>
            </w:hyperlink>
            <w:r w:rsidRPr="007E3159">
              <w:rPr>
                <w:rFonts w:cs="Calibri"/>
                <w:szCs w:val="24"/>
              </w:rPr>
              <w:t>.</w:t>
            </w:r>
            <w:r>
              <w:rPr>
                <w:rFonts w:cs="Calibri"/>
                <w:szCs w:val="24"/>
              </w:rPr>
              <w:t xml:space="preserve"> </w:t>
            </w:r>
            <w:r w:rsidRPr="007E3159">
              <w:rPr>
                <w:rFonts w:cs="Calibri"/>
                <w:szCs w:val="24"/>
              </w:rPr>
              <w:t>N</w:t>
            </w:r>
            <w:r w:rsidRPr="007E3159">
              <w:rPr>
                <w:rStyle w:val="Hyperlink"/>
                <w:rFonts w:cs="Calibri"/>
                <w:color w:val="auto"/>
                <w:szCs w:val="24"/>
                <w:u w:val="none"/>
              </w:rPr>
              <w:t>o observations on the report were made by the Plenary Meeting.</w:t>
            </w:r>
          </w:p>
          <w:p w14:paraId="5076D5C4" w14:textId="77777777" w:rsidR="00AD3606" w:rsidRPr="00176B6E" w:rsidRDefault="00AD3606" w:rsidP="00F16BAB">
            <w:pPr>
              <w:spacing w:before="160"/>
              <w:rPr>
                <w:b/>
                <w:bCs/>
                <w:sz w:val="26"/>
                <w:szCs w:val="26"/>
              </w:rPr>
            </w:pPr>
            <w:r w:rsidRPr="00176B6E">
              <w:rPr>
                <w:b/>
                <w:bCs/>
                <w:sz w:val="26"/>
                <w:szCs w:val="26"/>
              </w:rPr>
              <w:t>Action required</w:t>
            </w:r>
            <w:r w:rsidR="00F16BAB" w:rsidRPr="00176B6E">
              <w:rPr>
                <w:b/>
                <w:bCs/>
                <w:sz w:val="26"/>
                <w:szCs w:val="26"/>
              </w:rPr>
              <w:t xml:space="preserve"> by the </w:t>
            </w:r>
            <w:proofErr w:type="gramStart"/>
            <w:r w:rsidR="00F16BAB" w:rsidRPr="00176B6E">
              <w:rPr>
                <w:b/>
                <w:bCs/>
                <w:sz w:val="26"/>
                <w:szCs w:val="26"/>
              </w:rPr>
              <w:t>Council</w:t>
            </w:r>
            <w:proofErr w:type="gramEnd"/>
          </w:p>
          <w:p w14:paraId="3F4498DA" w14:textId="0BF6B990" w:rsidR="00771F11" w:rsidRPr="00176B6E" w:rsidRDefault="006231E3" w:rsidP="00771F11">
            <w:pPr>
              <w:spacing w:before="160"/>
              <w:rPr>
                <w:rFonts w:cs="Calibri"/>
                <w:b/>
                <w:bCs/>
                <w:sz w:val="26"/>
                <w:szCs w:val="26"/>
              </w:rPr>
            </w:pPr>
            <w:r w:rsidRPr="00176B6E">
              <w:rPr>
                <w:rFonts w:cs="Calibri"/>
              </w:rPr>
              <w:t xml:space="preserve">This document is presented to Council </w:t>
            </w:r>
            <w:r w:rsidRPr="00176B6E">
              <w:rPr>
                <w:rFonts w:cs="Calibri"/>
                <w:b/>
                <w:bCs/>
              </w:rPr>
              <w:t>for information</w:t>
            </w:r>
            <w:r w:rsidRPr="00176B6E">
              <w:rPr>
                <w:rFonts w:cs="Calibri"/>
              </w:rPr>
              <w:t>.</w:t>
            </w:r>
          </w:p>
          <w:p w14:paraId="7D40B65D" w14:textId="32CC251C" w:rsidR="0043344A" w:rsidRPr="00176B6E" w:rsidRDefault="0043344A" w:rsidP="00F16BAB">
            <w:pPr>
              <w:spacing w:before="160"/>
              <w:rPr>
                <w:sz w:val="26"/>
                <w:szCs w:val="26"/>
              </w:rPr>
            </w:pPr>
            <w:r w:rsidRPr="00176B6E">
              <w:rPr>
                <w:b/>
                <w:bCs/>
                <w:sz w:val="26"/>
                <w:szCs w:val="26"/>
              </w:rPr>
              <w:t>Relevant link</w:t>
            </w:r>
            <w:r w:rsidR="00AD61EB" w:rsidRPr="00176B6E">
              <w:rPr>
                <w:b/>
                <w:bCs/>
                <w:sz w:val="26"/>
                <w:szCs w:val="26"/>
              </w:rPr>
              <w:t>(s)</w:t>
            </w:r>
            <w:r w:rsidRPr="00176B6E">
              <w:rPr>
                <w:b/>
                <w:bCs/>
                <w:sz w:val="26"/>
                <w:szCs w:val="26"/>
              </w:rPr>
              <w:t xml:space="preserve"> with the Strategic Plan</w:t>
            </w:r>
          </w:p>
          <w:p w14:paraId="0F8F1F03" w14:textId="28431756" w:rsidR="00F16BAB" w:rsidRPr="00176B6E" w:rsidRDefault="00736DE9" w:rsidP="00F16BAB">
            <w:pPr>
              <w:spacing w:before="160"/>
              <w:rPr>
                <w:szCs w:val="24"/>
              </w:rPr>
            </w:pPr>
            <w:r w:rsidRPr="00176B6E">
              <w:t>D</w:t>
            </w:r>
            <w:r w:rsidRPr="00176B6E">
              <w:rPr>
                <w:szCs w:val="24"/>
              </w:rPr>
              <w:t>evelopment and application of the ITU Administrative Regulations</w:t>
            </w:r>
            <w:r w:rsidRPr="00176B6E">
              <w:rPr>
                <w:szCs w:val="24"/>
              </w:rPr>
              <w:t xml:space="preserve">; </w:t>
            </w:r>
            <w:r w:rsidRPr="00176B6E">
              <w:t>C</w:t>
            </w:r>
            <w:r w:rsidRPr="00176B6E">
              <w:rPr>
                <w:szCs w:val="24"/>
              </w:rPr>
              <w:t>onvening platforms</w:t>
            </w:r>
            <w:r w:rsidRPr="00176B6E">
              <w:rPr>
                <w:szCs w:val="24"/>
              </w:rPr>
              <w:t>.</w:t>
            </w:r>
          </w:p>
          <w:p w14:paraId="0A474D43" w14:textId="77777777" w:rsidR="0040055F" w:rsidRPr="00176B6E" w:rsidRDefault="00F16BAB" w:rsidP="00F16BAB">
            <w:pPr>
              <w:spacing w:before="160"/>
              <w:rPr>
                <w:b/>
                <w:bCs/>
                <w:sz w:val="26"/>
                <w:szCs w:val="26"/>
                <w:lang w:val="en-US"/>
              </w:rPr>
            </w:pPr>
            <w:r w:rsidRPr="00176B6E">
              <w:rPr>
                <w:b/>
                <w:bCs/>
                <w:sz w:val="26"/>
                <w:szCs w:val="26"/>
                <w:lang w:val="en-US"/>
              </w:rPr>
              <w:t>Financial implications</w:t>
            </w:r>
          </w:p>
          <w:p w14:paraId="0D7C4554" w14:textId="0F2BDCCD" w:rsidR="00771F11" w:rsidRPr="00AD61EB" w:rsidRDefault="00716F9D" w:rsidP="00F16BAB">
            <w:pPr>
              <w:spacing w:before="160"/>
              <w:rPr>
                <w:b/>
                <w:bCs/>
                <w:szCs w:val="24"/>
                <w:lang w:val="en-US"/>
              </w:rPr>
            </w:pPr>
            <w:r w:rsidRPr="00176B6E">
              <w:rPr>
                <w:szCs w:val="24"/>
                <w:lang w:val="en-US"/>
              </w:rPr>
              <w:t>The provisional financial implications of the WRC-23 decisions were estimated at CHF</w:t>
            </w:r>
            <w:r w:rsidR="006231E3" w:rsidRPr="00176B6E">
              <w:rPr>
                <w:szCs w:val="24"/>
                <w:lang w:val="en-US"/>
              </w:rPr>
              <w:t> </w:t>
            </w:r>
            <w:r w:rsidRPr="00176B6E">
              <w:rPr>
                <w:szCs w:val="24"/>
                <w:lang w:val="en-US"/>
              </w:rPr>
              <w:t>12.5</w:t>
            </w:r>
            <w:r w:rsidR="006231E3" w:rsidRPr="00176B6E">
              <w:rPr>
                <w:szCs w:val="24"/>
                <w:lang w:val="en-US"/>
              </w:rPr>
              <w:t> </w:t>
            </w:r>
            <w:r w:rsidRPr="00176B6E">
              <w:rPr>
                <w:szCs w:val="24"/>
                <w:lang w:val="en-US"/>
              </w:rPr>
              <w:t>million over the 2024-2027 timeframe</w:t>
            </w:r>
            <w:r w:rsidRPr="00176B6E">
              <w:rPr>
                <w:b/>
                <w:bCs/>
                <w:szCs w:val="24"/>
                <w:lang w:val="en-US"/>
              </w:rPr>
              <w:t>.</w:t>
            </w:r>
          </w:p>
          <w:p w14:paraId="2AAB18B0" w14:textId="77777777" w:rsidR="00AD3606" w:rsidRPr="00771F11" w:rsidRDefault="00AD3606" w:rsidP="00F16BAB">
            <w:pPr>
              <w:spacing w:before="160"/>
              <w:rPr>
                <w:caps/>
                <w:sz w:val="22"/>
                <w:lang w:val="fr-FR"/>
              </w:rPr>
            </w:pPr>
            <w:r w:rsidRPr="00771F11">
              <w:rPr>
                <w:sz w:val="22"/>
                <w:lang w:val="fr-FR"/>
              </w:rPr>
              <w:t>__________________</w:t>
            </w:r>
          </w:p>
          <w:p w14:paraId="00DEE14C" w14:textId="77777777" w:rsidR="00AD3606" w:rsidRPr="00771F11" w:rsidRDefault="00AD3606" w:rsidP="00F16BAB">
            <w:pPr>
              <w:spacing w:before="160"/>
              <w:rPr>
                <w:b/>
                <w:bCs/>
                <w:sz w:val="26"/>
                <w:szCs w:val="26"/>
                <w:lang w:val="fr-FR"/>
              </w:rPr>
            </w:pPr>
            <w:proofErr w:type="spellStart"/>
            <w:r w:rsidRPr="00771F11">
              <w:rPr>
                <w:b/>
                <w:bCs/>
                <w:sz w:val="26"/>
                <w:szCs w:val="26"/>
                <w:lang w:val="fr-FR"/>
              </w:rPr>
              <w:t>References</w:t>
            </w:r>
            <w:proofErr w:type="spellEnd"/>
          </w:p>
          <w:p w14:paraId="0175CD6C" w14:textId="64D45E7C" w:rsidR="00AD3606" w:rsidRPr="00046231" w:rsidRDefault="00176B6E" w:rsidP="00046231">
            <w:pPr>
              <w:spacing w:before="160"/>
              <w:rPr>
                <w:i/>
                <w:iCs/>
                <w:szCs w:val="24"/>
                <w:lang w:val="fr-CH"/>
              </w:rPr>
            </w:pPr>
            <w:hyperlink r:id="rId10" w:history="1">
              <w:r w:rsidR="00771F11" w:rsidRPr="00046231">
                <w:rPr>
                  <w:rStyle w:val="Hyperlink"/>
                  <w:i/>
                  <w:iCs/>
                  <w:szCs w:val="24"/>
                  <w:lang w:val="fr-FR"/>
                </w:rPr>
                <w:t>Document</w:t>
              </w:r>
              <w:r w:rsidR="00771F11" w:rsidRPr="00046231">
                <w:rPr>
                  <w:rStyle w:val="Hyperlink"/>
                  <w:b/>
                  <w:bCs/>
                  <w:i/>
                  <w:iCs/>
                  <w:szCs w:val="24"/>
                  <w:lang w:val="fr-FR"/>
                </w:rPr>
                <w:t xml:space="preserve"> </w:t>
              </w:r>
              <w:r w:rsidR="00771F11" w:rsidRPr="00046231">
                <w:rPr>
                  <w:rStyle w:val="Hyperlink"/>
                  <w:rFonts w:cs="Calibri"/>
                  <w:bCs/>
                  <w:i/>
                  <w:iCs/>
                  <w:szCs w:val="24"/>
                  <w:lang w:val="fr-FR"/>
                </w:rPr>
                <w:t>RA23/PLEN/96</w:t>
              </w:r>
            </w:hyperlink>
            <w:r w:rsidR="00046231" w:rsidRPr="00046231">
              <w:rPr>
                <w:rStyle w:val="Hyperlink"/>
                <w:rFonts w:cs="Calibri"/>
                <w:bCs/>
                <w:i/>
                <w:iCs/>
                <w:color w:val="auto"/>
                <w:szCs w:val="24"/>
                <w:lang w:val="fr-FR"/>
              </w:rPr>
              <w:t xml:space="preserve">; </w:t>
            </w:r>
            <w:hyperlink r:id="rId11" w:history="1">
              <w:r w:rsidR="00771F11" w:rsidRPr="00046231">
                <w:rPr>
                  <w:rStyle w:val="Hyperlink"/>
                  <w:i/>
                  <w:iCs/>
                  <w:szCs w:val="24"/>
                  <w:lang w:val="fr-FR"/>
                </w:rPr>
                <w:t>Document 460 (Rev. 1)</w:t>
              </w:r>
            </w:hyperlink>
          </w:p>
        </w:tc>
      </w:tr>
      <w:bookmarkEnd w:id="2"/>
      <w:bookmarkEnd w:id="3"/>
      <w:bookmarkEnd w:id="4"/>
      <w:bookmarkEnd w:id="5"/>
      <w:bookmarkEnd w:id="9"/>
    </w:tbl>
    <w:p w14:paraId="257674B4" w14:textId="77777777" w:rsidR="00A514A4" w:rsidRPr="0090147A" w:rsidRDefault="00A514A4" w:rsidP="00771F11">
      <w:pPr>
        <w:tabs>
          <w:tab w:val="clear" w:pos="567"/>
          <w:tab w:val="clear" w:pos="1134"/>
          <w:tab w:val="clear" w:pos="1701"/>
          <w:tab w:val="clear" w:pos="2268"/>
          <w:tab w:val="clear" w:pos="2835"/>
        </w:tabs>
        <w:overflowPunct/>
        <w:autoSpaceDE/>
        <w:autoSpaceDN/>
        <w:adjustRightInd/>
        <w:spacing w:before="0"/>
        <w:textAlignment w:val="auto"/>
        <w:rPr>
          <w:lang w:val="es-ES"/>
        </w:rPr>
      </w:pPr>
    </w:p>
    <w:sectPr w:rsidR="00A514A4" w:rsidRPr="0090147A" w:rsidSect="00B55CF5">
      <w:footerReference w:type="default" r:id="rId12"/>
      <w:headerReference w:type="first" r:id="rId13"/>
      <w:footerReference w:type="first" r:id="rId14"/>
      <w:pgSz w:w="11907" w:h="16834"/>
      <w:pgMar w:top="1418" w:right="1418" w:bottom="567"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4F27" w14:textId="77777777" w:rsidR="00B55CF5" w:rsidRDefault="00B55CF5">
      <w:r>
        <w:separator/>
      </w:r>
    </w:p>
  </w:endnote>
  <w:endnote w:type="continuationSeparator" w:id="0">
    <w:p w14:paraId="6BEB4380" w14:textId="77777777" w:rsidR="00B55CF5" w:rsidRDefault="00B5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7777777" w:rsidR="00EE49E8" w:rsidRDefault="00EE49E8" w:rsidP="00EE49E8">
          <w:pPr>
            <w:pStyle w:val="Header"/>
            <w:jc w:val="left"/>
            <w:rPr>
              <w:noProof/>
            </w:rPr>
          </w:pPr>
          <w:r>
            <w:rPr>
              <w:noProof/>
            </w:rPr>
            <w:t>DPS #</w:t>
          </w:r>
        </w:p>
      </w:tc>
      <w:tc>
        <w:tcPr>
          <w:tcW w:w="8261" w:type="dxa"/>
        </w:tcPr>
        <w:p w14:paraId="2D49E76E" w14:textId="0330623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/xx-E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71F11" w14:paraId="4F588A4C" w14:textId="77777777" w:rsidTr="00EE49E8">
      <w:trPr>
        <w:jc w:val="center"/>
      </w:trPr>
      <w:tc>
        <w:tcPr>
          <w:tcW w:w="1803" w:type="dxa"/>
          <w:vAlign w:val="center"/>
        </w:tcPr>
        <w:p w14:paraId="4E7A2825" w14:textId="77777777" w:rsidR="00EE49E8" w:rsidRDefault="00176B6E"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10370882" w:rsidR="00EE49E8" w:rsidRPr="00771F11" w:rsidRDefault="00EE49E8" w:rsidP="00EE49E8">
          <w:pPr>
            <w:pStyle w:val="Header"/>
            <w:tabs>
              <w:tab w:val="left" w:pos="7070"/>
              <w:tab w:val="right" w:pos="8505"/>
              <w:tab w:val="right" w:pos="9639"/>
            </w:tabs>
            <w:jc w:val="left"/>
            <w:rPr>
              <w:rFonts w:ascii="Arial" w:hAnsi="Arial" w:cs="Arial"/>
              <w:bCs/>
              <w:szCs w:val="18"/>
            </w:rPr>
          </w:pPr>
          <w:r w:rsidRPr="00771F11">
            <w:rPr>
              <w:bCs/>
            </w:rPr>
            <w:tab/>
            <w:t>C2</w:t>
          </w:r>
          <w:r w:rsidR="00E23618" w:rsidRPr="00771F11">
            <w:rPr>
              <w:bCs/>
            </w:rPr>
            <w:t>4</w:t>
          </w:r>
          <w:r w:rsidRPr="00771F11">
            <w:rPr>
              <w:bCs/>
            </w:rPr>
            <w:t>/</w:t>
          </w:r>
          <w:r w:rsidR="00771F11" w:rsidRPr="00771F11">
            <w:rPr>
              <w:bCs/>
            </w:rPr>
            <w:t>INF/</w:t>
          </w:r>
          <w:r w:rsidR="00354539">
            <w:rPr>
              <w:bCs/>
            </w:rPr>
            <w:t>2</w:t>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A308" w14:textId="77777777" w:rsidR="00B55CF5" w:rsidRDefault="00B55CF5">
      <w:r>
        <w:t>____________________</w:t>
      </w:r>
    </w:p>
  </w:footnote>
  <w:footnote w:type="continuationSeparator" w:id="0">
    <w:p w14:paraId="1A56372E" w14:textId="77777777" w:rsidR="00B55CF5" w:rsidRDefault="00B5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0"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3BBC1EAB">
              <wp:simplePos x="0" y="0"/>
              <wp:positionH relativeFrom="page">
                <wp:posOffset>2556</wp:posOffset>
              </wp:positionH>
              <wp:positionV relativeFrom="topMargin">
                <wp:posOffset>645160</wp:posOffset>
              </wp:positionV>
              <wp:extent cx="111411"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11"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3DA7" id="Rectangle 5" o:spid="_x0000_s1026" style="position:absolute;margin-left:.2pt;margin-top:50.8pt;width:8.7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231"/>
    <w:rsid w:val="0004698E"/>
    <w:rsid w:val="00063016"/>
    <w:rsid w:val="00066795"/>
    <w:rsid w:val="00076AF6"/>
    <w:rsid w:val="00085CF2"/>
    <w:rsid w:val="000976B7"/>
    <w:rsid w:val="000B1705"/>
    <w:rsid w:val="000D75B2"/>
    <w:rsid w:val="001121F5"/>
    <w:rsid w:val="001400DC"/>
    <w:rsid w:val="00140CE1"/>
    <w:rsid w:val="0017539C"/>
    <w:rsid w:val="00175AC2"/>
    <w:rsid w:val="0017609F"/>
    <w:rsid w:val="00176B6E"/>
    <w:rsid w:val="001A7D1D"/>
    <w:rsid w:val="001B51DD"/>
    <w:rsid w:val="001C628E"/>
    <w:rsid w:val="001E0F7B"/>
    <w:rsid w:val="002119FD"/>
    <w:rsid w:val="002130E0"/>
    <w:rsid w:val="00264425"/>
    <w:rsid w:val="00265875"/>
    <w:rsid w:val="0027303B"/>
    <w:rsid w:val="0028109B"/>
    <w:rsid w:val="002A2188"/>
    <w:rsid w:val="002B1F58"/>
    <w:rsid w:val="002C1C7A"/>
    <w:rsid w:val="002C54E2"/>
    <w:rsid w:val="0030160F"/>
    <w:rsid w:val="00320223"/>
    <w:rsid w:val="00322D0D"/>
    <w:rsid w:val="00354539"/>
    <w:rsid w:val="00361465"/>
    <w:rsid w:val="0037689F"/>
    <w:rsid w:val="003877F5"/>
    <w:rsid w:val="003942D4"/>
    <w:rsid w:val="003958A8"/>
    <w:rsid w:val="003C2533"/>
    <w:rsid w:val="003D5A7F"/>
    <w:rsid w:val="0040055F"/>
    <w:rsid w:val="004016E2"/>
    <w:rsid w:val="0040435A"/>
    <w:rsid w:val="00416A24"/>
    <w:rsid w:val="00431D9E"/>
    <w:rsid w:val="0043344A"/>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F3269"/>
    <w:rsid w:val="006231E3"/>
    <w:rsid w:val="00623AE3"/>
    <w:rsid w:val="0064737F"/>
    <w:rsid w:val="006535F1"/>
    <w:rsid w:val="0065557D"/>
    <w:rsid w:val="00660D50"/>
    <w:rsid w:val="00662984"/>
    <w:rsid w:val="006716BB"/>
    <w:rsid w:val="006850BE"/>
    <w:rsid w:val="006B1859"/>
    <w:rsid w:val="006B6680"/>
    <w:rsid w:val="006B6DCC"/>
    <w:rsid w:val="00702DEF"/>
    <w:rsid w:val="00706861"/>
    <w:rsid w:val="00716F9D"/>
    <w:rsid w:val="00736DE9"/>
    <w:rsid w:val="0075051B"/>
    <w:rsid w:val="00771F11"/>
    <w:rsid w:val="00793188"/>
    <w:rsid w:val="00794D34"/>
    <w:rsid w:val="00813E5E"/>
    <w:rsid w:val="0083581B"/>
    <w:rsid w:val="00863874"/>
    <w:rsid w:val="00864AFF"/>
    <w:rsid w:val="00865925"/>
    <w:rsid w:val="008B4A6A"/>
    <w:rsid w:val="008C2D09"/>
    <w:rsid w:val="008C7E27"/>
    <w:rsid w:val="008F7448"/>
    <w:rsid w:val="0090147A"/>
    <w:rsid w:val="009173EF"/>
    <w:rsid w:val="00932906"/>
    <w:rsid w:val="00961B0B"/>
    <w:rsid w:val="00962D33"/>
    <w:rsid w:val="009652C1"/>
    <w:rsid w:val="009B38C3"/>
    <w:rsid w:val="009E17BD"/>
    <w:rsid w:val="009E485A"/>
    <w:rsid w:val="00A04CEC"/>
    <w:rsid w:val="00A27F92"/>
    <w:rsid w:val="00A32257"/>
    <w:rsid w:val="00A36D20"/>
    <w:rsid w:val="00A514A4"/>
    <w:rsid w:val="00A55622"/>
    <w:rsid w:val="00A83502"/>
    <w:rsid w:val="00AD15B3"/>
    <w:rsid w:val="00AD3606"/>
    <w:rsid w:val="00AD4A3D"/>
    <w:rsid w:val="00AD61EB"/>
    <w:rsid w:val="00AF6E49"/>
    <w:rsid w:val="00B04A67"/>
    <w:rsid w:val="00B0583C"/>
    <w:rsid w:val="00B40A81"/>
    <w:rsid w:val="00B44910"/>
    <w:rsid w:val="00B55CF5"/>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C1AFE"/>
    <w:rsid w:val="00CD0C08"/>
    <w:rsid w:val="00CE03FB"/>
    <w:rsid w:val="00CE433C"/>
    <w:rsid w:val="00CF0161"/>
    <w:rsid w:val="00CF33F3"/>
    <w:rsid w:val="00D06183"/>
    <w:rsid w:val="00D22C42"/>
    <w:rsid w:val="00D65041"/>
    <w:rsid w:val="00DA7CD5"/>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BodyTextIndent">
    <w:name w:val="Body Text Indent"/>
    <w:basedOn w:val="Normal"/>
    <w:link w:val="BodyTextIndentChar"/>
    <w:rsid w:val="00771F11"/>
    <w:pPr>
      <w:tabs>
        <w:tab w:val="clear" w:pos="1701"/>
        <w:tab w:val="clear" w:pos="2268"/>
        <w:tab w:val="clear" w:pos="2835"/>
        <w:tab w:val="left" w:pos="851"/>
        <w:tab w:val="left" w:pos="1418"/>
      </w:tabs>
      <w:spacing w:before="0"/>
      <w:ind w:left="142"/>
    </w:pPr>
    <w:rPr>
      <w:rFonts w:ascii="Times New Roman" w:hAnsi="Times New Roman"/>
      <w:sz w:val="22"/>
    </w:rPr>
  </w:style>
  <w:style w:type="character" w:customStyle="1" w:styleId="BodyTextIndentChar">
    <w:name w:val="Body Text Indent Char"/>
    <w:basedOn w:val="DefaultParagraphFont"/>
    <w:link w:val="BodyTextIndent"/>
    <w:rsid w:val="00771F11"/>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A23-C-0096/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RC23-C-0460/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23-RA23-C-0096/en" TargetMode="External"/><Relationship Id="rId4" Type="http://schemas.openxmlformats.org/officeDocument/2006/relationships/settings" Target="settings.xml"/><Relationship Id="rId9" Type="http://schemas.openxmlformats.org/officeDocument/2006/relationships/hyperlink" Target="https://www.itu.int/md/R23-WRC23-C-0460/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12</TotalTime>
  <Pages>1</Pages>
  <Words>199</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Report of the budget control Committee of RA-23 and WRC-23</vt:lpstr>
    </vt:vector>
  </TitlesOfParts>
  <Manager>General Secretariat - Pool</Manager>
  <Company>International Telecommunication Union (ITU)</Company>
  <LinksUpToDate>false</LinksUpToDate>
  <CharactersWithSpaces>1640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budget control Committee of RA-23 and WRC-23</dc:title>
  <dc:subject>Council 2024</dc:subject>
  <dc:creator>author</dc:creator>
  <cp:keywords>C2024, C24, Council-24</cp:keywords>
  <dc:description/>
  <cp:lastModifiedBy>Brouard, Ricarda</cp:lastModifiedBy>
  <cp:revision>6</cp:revision>
  <cp:lastPrinted>2000-07-18T13:30:00Z</cp:lastPrinted>
  <dcterms:created xsi:type="dcterms:W3CDTF">2024-03-04T09:45:00Z</dcterms:created>
  <dcterms:modified xsi:type="dcterms:W3CDTF">2024-04-10T14:12:00Z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