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A734B" w14:paraId="2592CC74" w14:textId="77777777" w:rsidTr="00D72F49">
        <w:trPr>
          <w:cantSplit/>
          <w:trHeight w:val="23"/>
        </w:trPr>
        <w:tc>
          <w:tcPr>
            <w:tcW w:w="3969" w:type="dxa"/>
            <w:vMerge w:val="restart"/>
            <w:tcMar>
              <w:left w:w="0" w:type="dxa"/>
            </w:tcMar>
          </w:tcPr>
          <w:p w14:paraId="27E56DEB" w14:textId="1772BD7F" w:rsidR="00D72F49" w:rsidRPr="009A734B" w:rsidRDefault="00D72F49" w:rsidP="00D72F49">
            <w:pPr>
              <w:tabs>
                <w:tab w:val="left" w:pos="851"/>
              </w:tabs>
              <w:spacing w:before="0" w:line="240" w:lineRule="atLeast"/>
              <w:rPr>
                <w:b/>
                <w:lang w:val="fr-CH"/>
              </w:rPr>
            </w:pPr>
          </w:p>
        </w:tc>
        <w:tc>
          <w:tcPr>
            <w:tcW w:w="5245" w:type="dxa"/>
          </w:tcPr>
          <w:p w14:paraId="27B6A98A" w14:textId="1CE412E6" w:rsidR="00D72F49" w:rsidRPr="009A734B" w:rsidRDefault="00D72F49" w:rsidP="00D72F49">
            <w:pPr>
              <w:tabs>
                <w:tab w:val="left" w:pos="851"/>
              </w:tabs>
              <w:spacing w:before="0" w:line="240" w:lineRule="atLeast"/>
              <w:jc w:val="right"/>
              <w:rPr>
                <w:b/>
                <w:lang w:val="fr-CH"/>
              </w:rPr>
            </w:pPr>
            <w:r w:rsidRPr="009A734B">
              <w:rPr>
                <w:b/>
                <w:lang w:val="fr-CH"/>
              </w:rPr>
              <w:t>Document C2</w:t>
            </w:r>
            <w:r w:rsidR="0073275D" w:rsidRPr="009A734B">
              <w:rPr>
                <w:b/>
                <w:lang w:val="fr-CH"/>
              </w:rPr>
              <w:t>4</w:t>
            </w:r>
            <w:r w:rsidRPr="009A734B">
              <w:rPr>
                <w:b/>
                <w:lang w:val="fr-CH"/>
              </w:rPr>
              <w:t>/</w:t>
            </w:r>
            <w:r w:rsidR="00D13B78" w:rsidRPr="009A734B">
              <w:rPr>
                <w:b/>
                <w:lang w:val="fr-CH"/>
              </w:rPr>
              <w:t>14</w:t>
            </w:r>
            <w:r w:rsidR="001244D1">
              <w:rPr>
                <w:b/>
                <w:lang w:val="fr-CH"/>
              </w:rPr>
              <w:t>6</w:t>
            </w:r>
            <w:r w:rsidRPr="009A734B">
              <w:rPr>
                <w:b/>
                <w:lang w:val="fr-CH"/>
              </w:rPr>
              <w:t>-F</w:t>
            </w:r>
          </w:p>
        </w:tc>
      </w:tr>
      <w:tr w:rsidR="00D72F49" w:rsidRPr="009A734B" w14:paraId="41096C77" w14:textId="77777777" w:rsidTr="00D72F49">
        <w:trPr>
          <w:cantSplit/>
        </w:trPr>
        <w:tc>
          <w:tcPr>
            <w:tcW w:w="3969" w:type="dxa"/>
            <w:vMerge/>
          </w:tcPr>
          <w:p w14:paraId="0BBA5643" w14:textId="77777777" w:rsidR="00D72F49" w:rsidRPr="009A734B" w:rsidRDefault="00D72F49" w:rsidP="00D72F49">
            <w:pPr>
              <w:tabs>
                <w:tab w:val="left" w:pos="851"/>
              </w:tabs>
              <w:spacing w:line="240" w:lineRule="atLeast"/>
              <w:rPr>
                <w:b/>
                <w:lang w:val="fr-CH"/>
              </w:rPr>
            </w:pPr>
          </w:p>
        </w:tc>
        <w:tc>
          <w:tcPr>
            <w:tcW w:w="5245" w:type="dxa"/>
          </w:tcPr>
          <w:p w14:paraId="068BECD5" w14:textId="7B4BEBFC" w:rsidR="00D72F49" w:rsidRPr="009A734B" w:rsidRDefault="001244D1" w:rsidP="00D72F49">
            <w:pPr>
              <w:tabs>
                <w:tab w:val="left" w:pos="851"/>
              </w:tabs>
              <w:spacing w:before="0"/>
              <w:jc w:val="right"/>
              <w:rPr>
                <w:b/>
                <w:lang w:val="fr-CH"/>
              </w:rPr>
            </w:pPr>
            <w:r>
              <w:rPr>
                <w:b/>
                <w:lang w:val="fr-CH"/>
              </w:rPr>
              <w:t>30 janvier 2025</w:t>
            </w:r>
          </w:p>
        </w:tc>
      </w:tr>
      <w:tr w:rsidR="00D72F49" w:rsidRPr="009A734B" w14:paraId="17E5B988" w14:textId="77777777" w:rsidTr="00D72F49">
        <w:trPr>
          <w:cantSplit/>
          <w:trHeight w:val="23"/>
        </w:trPr>
        <w:tc>
          <w:tcPr>
            <w:tcW w:w="3969" w:type="dxa"/>
            <w:vMerge/>
          </w:tcPr>
          <w:p w14:paraId="2192D6D7" w14:textId="77777777" w:rsidR="00D72F49" w:rsidRPr="009A734B" w:rsidRDefault="00D72F49" w:rsidP="00D72F49">
            <w:pPr>
              <w:tabs>
                <w:tab w:val="left" w:pos="851"/>
              </w:tabs>
              <w:spacing w:line="240" w:lineRule="atLeast"/>
              <w:rPr>
                <w:b/>
                <w:lang w:val="fr-CH"/>
              </w:rPr>
            </w:pPr>
          </w:p>
        </w:tc>
        <w:tc>
          <w:tcPr>
            <w:tcW w:w="5245" w:type="dxa"/>
          </w:tcPr>
          <w:p w14:paraId="1948C622" w14:textId="77777777" w:rsidR="00D72F49" w:rsidRPr="009A734B" w:rsidRDefault="00D72F49" w:rsidP="00D72F49">
            <w:pPr>
              <w:tabs>
                <w:tab w:val="left" w:pos="851"/>
              </w:tabs>
              <w:spacing w:before="0" w:line="240" w:lineRule="atLeast"/>
              <w:jc w:val="right"/>
              <w:rPr>
                <w:b/>
                <w:lang w:val="fr-CH"/>
              </w:rPr>
            </w:pPr>
            <w:r w:rsidRPr="009A734B">
              <w:rPr>
                <w:b/>
                <w:lang w:val="fr-CH"/>
              </w:rPr>
              <w:t>Original: anglais</w:t>
            </w:r>
          </w:p>
        </w:tc>
      </w:tr>
      <w:tr w:rsidR="00D72F49" w:rsidRPr="009A734B" w14:paraId="53623BEE" w14:textId="77777777" w:rsidTr="00D72F49">
        <w:trPr>
          <w:cantSplit/>
          <w:trHeight w:val="23"/>
        </w:trPr>
        <w:tc>
          <w:tcPr>
            <w:tcW w:w="3969" w:type="dxa"/>
          </w:tcPr>
          <w:p w14:paraId="630B4C34" w14:textId="77777777" w:rsidR="00D72F49" w:rsidRPr="009A734B" w:rsidRDefault="00D72F49" w:rsidP="00D72F49">
            <w:pPr>
              <w:tabs>
                <w:tab w:val="left" w:pos="851"/>
              </w:tabs>
              <w:spacing w:line="240" w:lineRule="atLeast"/>
              <w:rPr>
                <w:b/>
                <w:lang w:val="fr-CH"/>
              </w:rPr>
            </w:pPr>
          </w:p>
        </w:tc>
        <w:tc>
          <w:tcPr>
            <w:tcW w:w="5245" w:type="dxa"/>
          </w:tcPr>
          <w:p w14:paraId="437750C4" w14:textId="77777777" w:rsidR="00D72F49" w:rsidRPr="009A734B" w:rsidRDefault="00D72F49" w:rsidP="00D72F49">
            <w:pPr>
              <w:tabs>
                <w:tab w:val="left" w:pos="851"/>
              </w:tabs>
              <w:spacing w:before="0" w:line="240" w:lineRule="atLeast"/>
              <w:jc w:val="right"/>
              <w:rPr>
                <w:b/>
                <w:lang w:val="fr-CH"/>
              </w:rPr>
            </w:pPr>
          </w:p>
        </w:tc>
      </w:tr>
      <w:tr w:rsidR="00D72F49" w:rsidRPr="009A734B" w14:paraId="31FFA2A5" w14:textId="77777777" w:rsidTr="00D72F49">
        <w:trPr>
          <w:cantSplit/>
        </w:trPr>
        <w:tc>
          <w:tcPr>
            <w:tcW w:w="9214" w:type="dxa"/>
            <w:gridSpan w:val="2"/>
            <w:tcMar>
              <w:left w:w="0" w:type="dxa"/>
            </w:tcMar>
          </w:tcPr>
          <w:p w14:paraId="7AA1F34C" w14:textId="4F85868F" w:rsidR="00D72F49" w:rsidRPr="009A734B" w:rsidRDefault="001D6AB5" w:rsidP="00D72F49">
            <w:pPr>
              <w:pStyle w:val="Source"/>
              <w:jc w:val="left"/>
              <w:rPr>
                <w:sz w:val="34"/>
                <w:szCs w:val="34"/>
                <w:lang w:val="fr-CH"/>
              </w:rPr>
            </w:pPr>
            <w:r w:rsidRPr="009A734B">
              <w:rPr>
                <w:rFonts w:cstheme="minorHAnsi"/>
                <w:color w:val="000000"/>
                <w:sz w:val="34"/>
                <w:szCs w:val="34"/>
                <w:lang w:val="fr-CH"/>
              </w:rPr>
              <w:t>Note</w:t>
            </w:r>
            <w:r w:rsidR="00D72F49" w:rsidRPr="009A734B">
              <w:rPr>
                <w:rFonts w:cstheme="minorHAnsi"/>
                <w:color w:val="000000"/>
                <w:sz w:val="34"/>
                <w:szCs w:val="34"/>
                <w:lang w:val="fr-CH"/>
              </w:rPr>
              <w:t xml:space="preserve"> </w:t>
            </w:r>
            <w:r w:rsidR="00E95647" w:rsidRPr="009A734B">
              <w:rPr>
                <w:rFonts w:cstheme="minorHAnsi"/>
                <w:color w:val="000000"/>
                <w:sz w:val="34"/>
                <w:szCs w:val="34"/>
                <w:lang w:val="fr-CH"/>
              </w:rPr>
              <w:t xml:space="preserve">de la </w:t>
            </w:r>
            <w:r w:rsidR="00D72F49" w:rsidRPr="009A734B">
              <w:rPr>
                <w:rFonts w:cstheme="minorHAnsi"/>
                <w:color w:val="000000"/>
                <w:sz w:val="34"/>
                <w:szCs w:val="34"/>
                <w:lang w:val="fr-CH"/>
              </w:rPr>
              <w:t>Secrétaire général</w:t>
            </w:r>
            <w:r w:rsidR="00E95647" w:rsidRPr="009A734B">
              <w:rPr>
                <w:rFonts w:cstheme="minorHAnsi"/>
                <w:color w:val="000000"/>
                <w:sz w:val="34"/>
                <w:szCs w:val="34"/>
                <w:lang w:val="fr-CH"/>
              </w:rPr>
              <w:t>e</w:t>
            </w:r>
          </w:p>
        </w:tc>
      </w:tr>
      <w:tr w:rsidR="00D72F49" w:rsidRPr="009A734B" w14:paraId="65E7E3D8" w14:textId="77777777" w:rsidTr="00D72F49">
        <w:trPr>
          <w:cantSplit/>
        </w:trPr>
        <w:tc>
          <w:tcPr>
            <w:tcW w:w="9214" w:type="dxa"/>
            <w:gridSpan w:val="2"/>
            <w:tcMar>
              <w:left w:w="0" w:type="dxa"/>
            </w:tcMar>
          </w:tcPr>
          <w:p w14:paraId="370F6D7B" w14:textId="00F7E648" w:rsidR="00D72F49" w:rsidRPr="009A734B" w:rsidRDefault="001D6AB5" w:rsidP="00D72F49">
            <w:pPr>
              <w:pStyle w:val="Subtitle"/>
              <w:framePr w:hSpace="0" w:wrap="auto" w:hAnchor="text" w:xAlign="left" w:yAlign="inline"/>
              <w:rPr>
                <w:lang w:val="fr-CH"/>
              </w:rPr>
            </w:pPr>
            <w:r w:rsidRPr="009A734B">
              <w:rPr>
                <w:rFonts w:cstheme="minorHAnsi"/>
                <w:lang w:val="fr-CH"/>
              </w:rPr>
              <w:t>RÉSOLUTIONS ET DÉCISIONS</w:t>
            </w:r>
          </w:p>
        </w:tc>
      </w:tr>
    </w:tbl>
    <w:p w14:paraId="6A56FBC4" w14:textId="533E79FA" w:rsidR="001D6AB5" w:rsidRPr="009A734B" w:rsidRDefault="001D6AB5" w:rsidP="00D13B78">
      <w:pPr>
        <w:pStyle w:val="Normalaftertitle"/>
        <w:jc w:val="both"/>
        <w:rPr>
          <w:lang w:val="fr-CH"/>
        </w:rPr>
      </w:pPr>
      <w:r w:rsidRPr="009A734B">
        <w:rPr>
          <w:lang w:val="fr-CH"/>
        </w:rPr>
        <w:t>Les Résolutions et Décisions suivantes ont été adoptées par le Conseil lors de sa session de</w:t>
      </w:r>
      <w:r w:rsidR="00676D88" w:rsidRPr="009A734B">
        <w:rPr>
          <w:lang w:val="fr-CH"/>
        </w:rPr>
        <w:t> </w:t>
      </w:r>
      <w:r w:rsidRPr="009A734B">
        <w:rPr>
          <w:lang w:val="fr-CH"/>
        </w:rPr>
        <w:t>2024, du 4 au 14 juin 2024:</w:t>
      </w:r>
    </w:p>
    <w:p w14:paraId="6DD8A51D" w14:textId="77777777" w:rsidR="003D2618" w:rsidRPr="009A734B" w:rsidRDefault="003D2618" w:rsidP="003D2618">
      <w:pPr>
        <w:spacing w:before="0"/>
        <w:rPr>
          <w:lang w:val="fr-CH"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3D2618" w:rsidRPr="009A734B" w14:paraId="030DFD5E"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34146" w14:textId="08440DB1" w:rsidR="003D2618" w:rsidRPr="009A734B" w:rsidRDefault="003D2618" w:rsidP="009E2390">
            <w:pPr>
              <w:pStyle w:val="Tablehead"/>
              <w:rPr>
                <w:lang w:val="fr-CH" w:eastAsia="zh-CN"/>
              </w:rPr>
            </w:pPr>
            <w:r w:rsidRPr="009A734B">
              <w:rPr>
                <w:lang w:val="fr-CH" w:eastAsia="zh-CN"/>
              </w:rPr>
              <w:t>Résolutions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4E2BD818" w14:textId="77777777" w:rsidR="003D2618" w:rsidRPr="009A734B" w:rsidRDefault="003D2618" w:rsidP="009E2390">
            <w:pPr>
              <w:pStyle w:val="Tablehead"/>
              <w:rPr>
                <w:lang w:val="fr-CH" w:eastAsia="zh-CN"/>
              </w:rPr>
            </w:pPr>
            <w:r w:rsidRPr="009A734B">
              <w:rPr>
                <w:lang w:val="fr-CH" w:eastAsia="zh-CN"/>
              </w:rPr>
              <w:t>C24/#</w:t>
            </w:r>
          </w:p>
        </w:tc>
      </w:tr>
      <w:tr w:rsidR="003D2618" w:rsidRPr="009A734B" w14:paraId="0862424B"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4ABDC129" w14:textId="7C3BC001" w:rsidR="003D2618" w:rsidRPr="009A734B" w:rsidRDefault="00B01CA9" w:rsidP="009E2390">
            <w:pPr>
              <w:pStyle w:val="Tabletext"/>
              <w:rPr>
                <w:lang w:val="fr-CH" w:eastAsia="zh-CN"/>
              </w:rPr>
            </w:pPr>
            <w:r w:rsidRPr="009A734B">
              <w:rPr>
                <w:lang w:val="fr-CH" w:eastAsia="zh-CN"/>
              </w:rPr>
              <w:t xml:space="preserve">Résolution 1421 </w:t>
            </w:r>
            <w:r w:rsidR="00A1132F" w:rsidRPr="009A734B">
              <w:rPr>
                <w:lang w:val="fr-CH" w:eastAsia="zh-CN"/>
              </w:rPr>
              <w:t>–</w:t>
            </w:r>
            <w:r w:rsidRPr="009A734B">
              <w:rPr>
                <w:lang w:val="fr-CH" w:eastAsia="zh-CN"/>
              </w:rPr>
              <w:t xml:space="preserve"> Plan opérationnel de l'Union pour 2025-2028</w:t>
            </w:r>
          </w:p>
        </w:tc>
        <w:tc>
          <w:tcPr>
            <w:tcW w:w="1133" w:type="dxa"/>
            <w:shd w:val="clear" w:color="auto" w:fill="auto"/>
            <w:tcMar>
              <w:top w:w="0" w:type="dxa"/>
              <w:left w:w="57" w:type="dxa"/>
              <w:bottom w:w="0" w:type="dxa"/>
              <w:right w:w="57" w:type="dxa"/>
            </w:tcMar>
            <w:hideMark/>
          </w:tcPr>
          <w:p w14:paraId="6CA81CB5" w14:textId="5AB423D2" w:rsidR="003D2618" w:rsidRPr="009A734B" w:rsidRDefault="003D2618" w:rsidP="009E2390">
            <w:pPr>
              <w:pStyle w:val="Tabletext"/>
              <w:jc w:val="center"/>
              <w:rPr>
                <w:rStyle w:val="Hyperlink"/>
                <w:lang w:val="fr-CH"/>
              </w:rPr>
            </w:pPr>
            <w:hyperlink r:id="rId6" w:history="1">
              <w:r w:rsidRPr="009A734B">
                <w:rPr>
                  <w:rStyle w:val="Hyperlink"/>
                  <w:lang w:val="fr-CH"/>
                </w:rPr>
                <w:t>C24/123</w:t>
              </w:r>
            </w:hyperlink>
          </w:p>
        </w:tc>
      </w:tr>
      <w:tr w:rsidR="003D2618" w:rsidRPr="009A734B" w14:paraId="15778903"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3C95F882" w14:textId="7FE08D11" w:rsidR="003D2618" w:rsidRPr="009A734B" w:rsidRDefault="00B57655" w:rsidP="00715CE3">
            <w:pPr>
              <w:pStyle w:val="Tabletext"/>
              <w:rPr>
                <w:lang w:val="fr-CH" w:eastAsia="zh-CN"/>
              </w:rPr>
            </w:pPr>
            <w:r w:rsidRPr="009A734B">
              <w:rPr>
                <w:lang w:val="fr-CH" w:eastAsia="zh-CN"/>
              </w:rPr>
              <w:t xml:space="preserve">Résolution 1422 – </w:t>
            </w:r>
            <w:r w:rsidR="00715CE3" w:rsidRPr="009A734B">
              <w:rPr>
                <w:lang w:val="fr-CH" w:eastAsia="zh-CN"/>
              </w:rPr>
              <w:t>Ordre du jour de la Conférence mondiale des radiocommunications de 2027 (CMR-27)</w:t>
            </w:r>
          </w:p>
        </w:tc>
        <w:tc>
          <w:tcPr>
            <w:tcW w:w="1133" w:type="dxa"/>
            <w:shd w:val="clear" w:color="auto" w:fill="auto"/>
            <w:tcMar>
              <w:top w:w="0" w:type="dxa"/>
              <w:left w:w="57" w:type="dxa"/>
              <w:bottom w:w="0" w:type="dxa"/>
              <w:right w:w="57" w:type="dxa"/>
            </w:tcMar>
            <w:hideMark/>
          </w:tcPr>
          <w:p w14:paraId="606B7515" w14:textId="254EE24F" w:rsidR="003D2618" w:rsidRPr="009A734B" w:rsidRDefault="003D2618" w:rsidP="009E2390">
            <w:pPr>
              <w:pStyle w:val="Tabletext"/>
              <w:jc w:val="center"/>
              <w:rPr>
                <w:rFonts w:cs="Arial"/>
                <w:b/>
                <w:bCs/>
                <w:szCs w:val="22"/>
                <w:lang w:val="fr-CH" w:eastAsia="zh-CN"/>
              </w:rPr>
            </w:pPr>
            <w:hyperlink r:id="rId7" w:history="1">
              <w:r w:rsidRPr="009A734B">
                <w:rPr>
                  <w:rStyle w:val="Hyperlink"/>
                  <w:lang w:val="fr-CH"/>
                </w:rPr>
                <w:t>C24/125</w:t>
              </w:r>
            </w:hyperlink>
          </w:p>
        </w:tc>
      </w:tr>
      <w:tr w:rsidR="003D2618" w:rsidRPr="009A734B" w14:paraId="18C43510"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25CFFE86" w14:textId="6D08EE89" w:rsidR="003D2618" w:rsidRPr="009A734B" w:rsidRDefault="00B57655" w:rsidP="009E2390">
            <w:pPr>
              <w:pStyle w:val="Tabletext"/>
              <w:rPr>
                <w:lang w:val="fr-CH" w:eastAsia="zh-CN"/>
              </w:rPr>
            </w:pPr>
            <w:r w:rsidRPr="009A734B">
              <w:rPr>
                <w:lang w:val="fr-CH" w:eastAsia="zh-CN"/>
              </w:rPr>
              <w:t>Résolution 1423 – Encourager les États Membres et les Membres de Secteur de l'UIT, par l'intermédiaire de l'Union, à accorder la priorité aux activités de protection en ligne des enfants, à les renforcer et à les rationnaliser au moyen de programmes spécifiques tels que la Journée internationale des jeunes filles dans le secteur des TIC</w:t>
            </w:r>
          </w:p>
        </w:tc>
        <w:tc>
          <w:tcPr>
            <w:tcW w:w="1133" w:type="dxa"/>
            <w:shd w:val="clear" w:color="auto" w:fill="auto"/>
            <w:tcMar>
              <w:top w:w="0" w:type="dxa"/>
              <w:left w:w="57" w:type="dxa"/>
              <w:bottom w:w="0" w:type="dxa"/>
              <w:right w:w="57" w:type="dxa"/>
            </w:tcMar>
            <w:hideMark/>
          </w:tcPr>
          <w:p w14:paraId="37642AA1" w14:textId="6C92A3B9" w:rsidR="003D2618" w:rsidRPr="009A734B" w:rsidRDefault="003D2618" w:rsidP="009E2390">
            <w:pPr>
              <w:pStyle w:val="Tabletext"/>
              <w:jc w:val="center"/>
              <w:rPr>
                <w:rFonts w:cs="Arial"/>
                <w:b/>
                <w:bCs/>
                <w:szCs w:val="22"/>
                <w:lang w:val="fr-CH" w:eastAsia="zh-CN"/>
              </w:rPr>
            </w:pPr>
            <w:hyperlink r:id="rId8" w:history="1">
              <w:r w:rsidRPr="009A734B">
                <w:rPr>
                  <w:rStyle w:val="Hyperlink"/>
                  <w:lang w:val="fr-CH"/>
                </w:rPr>
                <w:t>C24/126</w:t>
              </w:r>
            </w:hyperlink>
          </w:p>
        </w:tc>
      </w:tr>
      <w:tr w:rsidR="003D2618" w:rsidRPr="009A734B" w14:paraId="0A75A593"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3A3460BC" w14:textId="0E33AD8C" w:rsidR="003D2618" w:rsidRPr="009A734B" w:rsidRDefault="00B95EA2" w:rsidP="009E2390">
            <w:pPr>
              <w:pStyle w:val="Tabletext"/>
              <w:rPr>
                <w:lang w:val="fr-CH" w:eastAsia="zh-CN"/>
              </w:rPr>
            </w:pPr>
            <w:r w:rsidRPr="009A734B">
              <w:rPr>
                <w:lang w:val="fr-CH" w:eastAsia="zh-CN"/>
              </w:rPr>
              <w:t xml:space="preserve">Résolution </w:t>
            </w:r>
            <w:r w:rsidR="003D2618" w:rsidRPr="009A734B">
              <w:rPr>
                <w:lang w:val="fr-CH" w:eastAsia="zh-CN"/>
              </w:rPr>
              <w:t xml:space="preserve">1424 – </w:t>
            </w:r>
            <w:r w:rsidR="009A734B">
              <w:t>Assistance et appui à la Palestine pour la reconstruction de son secteur des télécommunications</w:t>
            </w:r>
          </w:p>
        </w:tc>
        <w:tc>
          <w:tcPr>
            <w:tcW w:w="1133" w:type="dxa"/>
            <w:shd w:val="clear" w:color="auto" w:fill="auto"/>
            <w:tcMar>
              <w:top w:w="0" w:type="dxa"/>
              <w:left w:w="57" w:type="dxa"/>
              <w:bottom w:w="0" w:type="dxa"/>
              <w:right w:w="57" w:type="dxa"/>
            </w:tcMar>
          </w:tcPr>
          <w:p w14:paraId="066FCF70" w14:textId="46441E0E" w:rsidR="003D2618" w:rsidRPr="009A734B" w:rsidRDefault="003D2618" w:rsidP="009E2390">
            <w:pPr>
              <w:pStyle w:val="Tabletext"/>
              <w:jc w:val="center"/>
              <w:rPr>
                <w:b/>
                <w:bCs/>
                <w:szCs w:val="22"/>
                <w:lang w:val="fr-CH"/>
              </w:rPr>
            </w:pPr>
            <w:hyperlink r:id="rId9" w:history="1">
              <w:r w:rsidRPr="009A734B">
                <w:rPr>
                  <w:rStyle w:val="Hyperlink"/>
                  <w:lang w:val="fr-CH"/>
                </w:rPr>
                <w:t>C24/127</w:t>
              </w:r>
            </w:hyperlink>
          </w:p>
        </w:tc>
      </w:tr>
      <w:tr w:rsidR="003D2618" w:rsidRPr="009A734B" w14:paraId="2CC85D78"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5E5DC07B" w14:textId="2D003AC5" w:rsidR="003D2618" w:rsidRPr="009A734B" w:rsidRDefault="00B95EA2" w:rsidP="009E2390">
            <w:pPr>
              <w:pStyle w:val="Tabletext"/>
              <w:rPr>
                <w:lang w:val="fr-CH" w:eastAsia="zh-CN"/>
              </w:rPr>
            </w:pPr>
            <w:r w:rsidRPr="009A734B">
              <w:rPr>
                <w:lang w:val="fr-CH" w:eastAsia="zh-CN"/>
              </w:rPr>
              <w:t xml:space="preserve">Résolution 1425 – </w:t>
            </w:r>
            <w:r w:rsidR="00B57655" w:rsidRPr="009A734B">
              <w:rPr>
                <w:lang w:val="fr-CH" w:eastAsia="zh-CN"/>
              </w:rPr>
              <w:t>Conditions d'emploi des fonctionnaires élus de l'UIT</w:t>
            </w:r>
          </w:p>
        </w:tc>
        <w:tc>
          <w:tcPr>
            <w:tcW w:w="1133" w:type="dxa"/>
            <w:shd w:val="clear" w:color="auto" w:fill="auto"/>
            <w:tcMar>
              <w:top w:w="0" w:type="dxa"/>
              <w:left w:w="57" w:type="dxa"/>
              <w:bottom w:w="0" w:type="dxa"/>
              <w:right w:w="57" w:type="dxa"/>
            </w:tcMar>
            <w:hideMark/>
          </w:tcPr>
          <w:p w14:paraId="4DAE24D8" w14:textId="7B09C2C4" w:rsidR="003D2618" w:rsidRPr="009A734B" w:rsidRDefault="003D2618" w:rsidP="009E2390">
            <w:pPr>
              <w:pStyle w:val="Tabletext"/>
              <w:jc w:val="center"/>
              <w:rPr>
                <w:rFonts w:cs="Arial"/>
                <w:b/>
                <w:bCs/>
                <w:color w:val="0000FF"/>
                <w:szCs w:val="22"/>
                <w:lang w:val="fr-CH" w:eastAsia="zh-CN"/>
              </w:rPr>
            </w:pPr>
            <w:hyperlink r:id="rId10" w:history="1">
              <w:r w:rsidRPr="009A734B">
                <w:rPr>
                  <w:rStyle w:val="Hyperlink"/>
                  <w:lang w:val="fr-CH"/>
                </w:rPr>
                <w:t>C24/128</w:t>
              </w:r>
            </w:hyperlink>
          </w:p>
        </w:tc>
      </w:tr>
      <w:tr w:rsidR="003D2618" w:rsidRPr="009A734B" w14:paraId="3E152F94"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1DB686C2" w14:textId="66A0AB90" w:rsidR="003D2618" w:rsidRPr="009A734B" w:rsidRDefault="00B95EA2" w:rsidP="009E2390">
            <w:pPr>
              <w:pStyle w:val="Tabletext"/>
              <w:rPr>
                <w:lang w:val="fr-CH" w:eastAsia="zh-CN"/>
              </w:rPr>
            </w:pPr>
            <w:r w:rsidRPr="009A734B">
              <w:rPr>
                <w:lang w:val="fr-CH" w:eastAsia="zh-CN"/>
              </w:rPr>
              <w:t xml:space="preserve">Résolution </w:t>
            </w:r>
            <w:r w:rsidR="003D2618" w:rsidRPr="009A734B">
              <w:rPr>
                <w:lang w:val="fr-CH" w:eastAsia="zh-CN"/>
              </w:rPr>
              <w:t xml:space="preserve">1426 – </w:t>
            </w:r>
            <w:r w:rsidR="005D530C" w:rsidRPr="009A734B">
              <w:rPr>
                <w:lang w:val="fr-CH" w:eastAsia="zh-CN"/>
              </w:rPr>
              <w:t>Rapport de gestion financière pour l'exercice 2022</w:t>
            </w:r>
          </w:p>
        </w:tc>
        <w:tc>
          <w:tcPr>
            <w:tcW w:w="1133" w:type="dxa"/>
            <w:shd w:val="clear" w:color="auto" w:fill="auto"/>
            <w:tcMar>
              <w:top w:w="0" w:type="dxa"/>
              <w:left w:w="57" w:type="dxa"/>
              <w:bottom w:w="0" w:type="dxa"/>
              <w:right w:w="57" w:type="dxa"/>
            </w:tcMar>
          </w:tcPr>
          <w:p w14:paraId="7E5C82DC" w14:textId="3C250D1B" w:rsidR="003D2618" w:rsidRPr="009A734B" w:rsidRDefault="003D2618" w:rsidP="009E2390">
            <w:pPr>
              <w:pStyle w:val="Tabletext"/>
              <w:jc w:val="center"/>
              <w:rPr>
                <w:b/>
                <w:bCs/>
                <w:szCs w:val="22"/>
                <w:lang w:val="fr-CH"/>
              </w:rPr>
            </w:pPr>
            <w:hyperlink r:id="rId11" w:history="1">
              <w:r w:rsidRPr="009A734B">
                <w:rPr>
                  <w:rStyle w:val="Hyperlink"/>
                  <w:lang w:val="fr-CH"/>
                </w:rPr>
                <w:t>C24/133</w:t>
              </w:r>
            </w:hyperlink>
          </w:p>
        </w:tc>
      </w:tr>
      <w:tr w:rsidR="003D2618" w:rsidRPr="009A734B" w14:paraId="6A43F938"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4DCF0BC5" w14:textId="2150F771" w:rsidR="003D2618" w:rsidRPr="009A734B" w:rsidRDefault="00B95EA2" w:rsidP="009E2390">
            <w:pPr>
              <w:pStyle w:val="Tabletext"/>
              <w:rPr>
                <w:lang w:val="fr-CH" w:eastAsia="zh-CN"/>
              </w:rPr>
            </w:pPr>
            <w:r w:rsidRPr="009A734B">
              <w:rPr>
                <w:lang w:val="fr-CH" w:eastAsia="zh-CN"/>
              </w:rPr>
              <w:t xml:space="preserve">Résolution </w:t>
            </w:r>
            <w:r w:rsidR="003D2618" w:rsidRPr="009A734B">
              <w:rPr>
                <w:lang w:val="fr-CH" w:eastAsia="zh-CN"/>
              </w:rPr>
              <w:t xml:space="preserve">1427 – </w:t>
            </w:r>
            <w:r w:rsidR="005D530C" w:rsidRPr="009A734B">
              <w:rPr>
                <w:lang w:val="fr-CH" w:eastAsia="zh-CN"/>
              </w:rPr>
              <w:t>Affectation des économies réalisées dans le cadre de l'exécution du budget 2023 et affectation du Fonds de roulement des expositions</w:t>
            </w:r>
          </w:p>
        </w:tc>
        <w:tc>
          <w:tcPr>
            <w:tcW w:w="1133" w:type="dxa"/>
            <w:shd w:val="clear" w:color="auto" w:fill="auto"/>
            <w:tcMar>
              <w:top w:w="0" w:type="dxa"/>
              <w:left w:w="57" w:type="dxa"/>
              <w:bottom w:w="0" w:type="dxa"/>
              <w:right w:w="57" w:type="dxa"/>
            </w:tcMar>
          </w:tcPr>
          <w:p w14:paraId="1B035797" w14:textId="4E85CFE8" w:rsidR="003D2618" w:rsidRPr="009A734B" w:rsidRDefault="003D2618" w:rsidP="009E2390">
            <w:pPr>
              <w:pStyle w:val="Tabletext"/>
              <w:jc w:val="center"/>
              <w:rPr>
                <w:rStyle w:val="Hyperlink"/>
                <w:lang w:val="fr-CH"/>
              </w:rPr>
            </w:pPr>
            <w:hyperlink r:id="rId12" w:history="1">
              <w:r w:rsidRPr="009A734B">
                <w:rPr>
                  <w:rStyle w:val="Hyperlink"/>
                  <w:lang w:val="fr-CH"/>
                </w:rPr>
                <w:t>C24/134</w:t>
              </w:r>
            </w:hyperlink>
          </w:p>
        </w:tc>
      </w:tr>
      <w:tr w:rsidR="003D2618" w:rsidRPr="009A734B" w14:paraId="6EE3AB06"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4CBCD07B" w14:textId="36DAF7C7" w:rsidR="003D2618" w:rsidRPr="009A734B" w:rsidRDefault="00B95EA2" w:rsidP="005D530C">
            <w:pPr>
              <w:pStyle w:val="Tabletext"/>
              <w:rPr>
                <w:lang w:val="fr-CH" w:eastAsia="zh-CN"/>
              </w:rPr>
            </w:pPr>
            <w:r w:rsidRPr="009A734B">
              <w:rPr>
                <w:lang w:val="fr-CH" w:eastAsia="zh-CN"/>
              </w:rPr>
              <w:t xml:space="preserve">Résolution </w:t>
            </w:r>
            <w:r w:rsidR="003D2618" w:rsidRPr="009A734B">
              <w:rPr>
                <w:lang w:val="fr-CH" w:eastAsia="zh-CN"/>
              </w:rPr>
              <w:t xml:space="preserve">1428 – </w:t>
            </w:r>
            <w:r w:rsidR="005D530C" w:rsidRPr="009A734B">
              <w:rPr>
                <w:lang w:val="fr-CH" w:eastAsia="zh-CN"/>
              </w:rPr>
              <w:t>Établissement du Groupe de travail du Conseil chargé d'élaborer le Plan stratégique et le Plan financier pour la période 2028-2031</w:t>
            </w:r>
          </w:p>
        </w:tc>
        <w:tc>
          <w:tcPr>
            <w:tcW w:w="1133" w:type="dxa"/>
            <w:shd w:val="clear" w:color="auto" w:fill="auto"/>
            <w:tcMar>
              <w:top w:w="0" w:type="dxa"/>
              <w:left w:w="57" w:type="dxa"/>
              <w:bottom w:w="0" w:type="dxa"/>
              <w:right w:w="57" w:type="dxa"/>
            </w:tcMar>
          </w:tcPr>
          <w:p w14:paraId="0296D12F" w14:textId="2F9266B7" w:rsidR="003D2618" w:rsidRPr="009A734B" w:rsidRDefault="003D2618" w:rsidP="009E2390">
            <w:pPr>
              <w:pStyle w:val="Tabletext"/>
              <w:jc w:val="center"/>
              <w:rPr>
                <w:rStyle w:val="Hyperlink"/>
                <w:lang w:val="fr-CH"/>
              </w:rPr>
            </w:pPr>
            <w:hyperlink r:id="rId13" w:history="1">
              <w:r w:rsidRPr="009A734B">
                <w:rPr>
                  <w:rStyle w:val="Hyperlink"/>
                  <w:lang w:val="fr-CH"/>
                </w:rPr>
                <w:t>C24/139</w:t>
              </w:r>
            </w:hyperlink>
          </w:p>
        </w:tc>
      </w:tr>
      <w:tr w:rsidR="003D2618" w:rsidRPr="009A734B" w14:paraId="4C39043B"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2F24F2CE" w14:textId="53F957E6" w:rsidR="003D2618" w:rsidRPr="009A734B" w:rsidRDefault="00B95EA2" w:rsidP="005D530C">
            <w:pPr>
              <w:pStyle w:val="Tabletext"/>
              <w:rPr>
                <w:spacing w:val="-2"/>
                <w:lang w:val="fr-CH" w:eastAsia="zh-CN"/>
              </w:rPr>
            </w:pPr>
            <w:r w:rsidRPr="009A734B">
              <w:rPr>
                <w:lang w:val="fr-CH" w:eastAsia="zh-CN"/>
              </w:rPr>
              <w:t xml:space="preserve">Résolution </w:t>
            </w:r>
            <w:r w:rsidR="003D2618" w:rsidRPr="009A734B">
              <w:rPr>
                <w:spacing w:val="-2"/>
                <w:lang w:val="fr-CH" w:eastAsia="zh-CN"/>
              </w:rPr>
              <w:t xml:space="preserve">1429 – </w:t>
            </w:r>
            <w:r w:rsidR="005D530C" w:rsidRPr="009A734B">
              <w:rPr>
                <w:spacing w:val="-2"/>
                <w:lang w:val="fr-CH" w:eastAsia="zh-CN"/>
              </w:rPr>
              <w:t>Rôle de l'UIT dans l'exploitation des technologies de l'information et de la communication au service de la durabilité environnementale et de l'action climatique</w:t>
            </w:r>
          </w:p>
        </w:tc>
        <w:tc>
          <w:tcPr>
            <w:tcW w:w="1133" w:type="dxa"/>
            <w:shd w:val="clear" w:color="auto" w:fill="auto"/>
            <w:tcMar>
              <w:top w:w="0" w:type="dxa"/>
              <w:left w:w="57" w:type="dxa"/>
              <w:bottom w:w="0" w:type="dxa"/>
              <w:right w:w="57" w:type="dxa"/>
            </w:tcMar>
          </w:tcPr>
          <w:p w14:paraId="3783895A" w14:textId="7D8831A8" w:rsidR="003D2618" w:rsidRPr="009A734B" w:rsidRDefault="003D2618" w:rsidP="009E2390">
            <w:pPr>
              <w:pStyle w:val="Tabletext"/>
              <w:jc w:val="center"/>
              <w:rPr>
                <w:rStyle w:val="Hyperlink"/>
                <w:lang w:val="fr-CH"/>
              </w:rPr>
            </w:pPr>
            <w:hyperlink r:id="rId14" w:history="1">
              <w:r w:rsidRPr="009A734B">
                <w:rPr>
                  <w:rStyle w:val="Hyperlink"/>
                  <w:lang w:val="fr-CH"/>
                </w:rPr>
                <w:t>C24/142</w:t>
              </w:r>
            </w:hyperlink>
          </w:p>
        </w:tc>
      </w:tr>
      <w:tr w:rsidR="001244D1" w:rsidRPr="009A734B" w14:paraId="720022D1"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6869728F" w14:textId="6C05335B" w:rsidR="001244D1" w:rsidRPr="009A734B" w:rsidRDefault="001244D1" w:rsidP="005D530C">
            <w:pPr>
              <w:pStyle w:val="Tabletext"/>
              <w:rPr>
                <w:lang w:val="fr-CH" w:eastAsia="zh-CN"/>
              </w:rPr>
            </w:pPr>
            <w:r>
              <w:rPr>
                <w:lang w:val="fr-CH" w:eastAsia="zh-CN"/>
              </w:rPr>
              <w:t xml:space="preserve">Résolution 1430 - </w:t>
            </w:r>
            <w:r w:rsidRPr="001244D1">
              <w:rPr>
                <w:lang w:val="fr-CH" w:eastAsia="zh-CN"/>
              </w:rPr>
              <w:t>Rapport de gestion financière pour l'exercice 2023 portant sur les comptes vérifiés de l'Union</w:t>
            </w:r>
          </w:p>
        </w:tc>
        <w:tc>
          <w:tcPr>
            <w:tcW w:w="1133" w:type="dxa"/>
            <w:shd w:val="clear" w:color="auto" w:fill="auto"/>
            <w:tcMar>
              <w:top w:w="0" w:type="dxa"/>
              <w:left w:w="57" w:type="dxa"/>
              <w:bottom w:w="0" w:type="dxa"/>
              <w:right w:w="57" w:type="dxa"/>
            </w:tcMar>
          </w:tcPr>
          <w:p w14:paraId="305CC50C" w14:textId="2B816ED2" w:rsidR="001244D1" w:rsidRDefault="001244D1" w:rsidP="009E2390">
            <w:pPr>
              <w:pStyle w:val="Tabletext"/>
              <w:jc w:val="center"/>
            </w:pPr>
            <w:hyperlink r:id="rId15" w:history="1">
              <w:r w:rsidRPr="001244D1">
                <w:rPr>
                  <w:rStyle w:val="Hyperlink"/>
                </w:rPr>
                <w:t>C24/145</w:t>
              </w:r>
            </w:hyperlink>
          </w:p>
        </w:tc>
      </w:tr>
    </w:tbl>
    <w:p w14:paraId="426430A9" w14:textId="77777777" w:rsidR="003D2618" w:rsidRPr="009A734B" w:rsidRDefault="003D2618" w:rsidP="003D2618">
      <w:pPr>
        <w:pStyle w:val="Tablefin"/>
        <w:rPr>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3D2618" w:rsidRPr="009A734B" w14:paraId="554244C9"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BAC72" w14:textId="366E723E" w:rsidR="003D2618" w:rsidRPr="009A734B" w:rsidRDefault="003D2618" w:rsidP="009A734B">
            <w:pPr>
              <w:pStyle w:val="Tablehead"/>
              <w:keepNext/>
              <w:keepLines/>
              <w:rPr>
                <w:lang w:val="fr-CH" w:eastAsia="zh-CN"/>
              </w:rPr>
            </w:pPr>
            <w:r w:rsidRPr="009A734B">
              <w:rPr>
                <w:lang w:val="fr-CH" w:eastAsia="zh-CN"/>
              </w:rPr>
              <w:lastRenderedPageBreak/>
              <w:t>Résolutions</w:t>
            </w:r>
            <w:r w:rsidRPr="009A734B">
              <w:rPr>
                <w:rFonts w:cs="Arial"/>
                <w:bCs/>
                <w:szCs w:val="22"/>
                <w:lang w:val="fr-CH" w:eastAsia="zh-CN"/>
              </w:rPr>
              <w:t xml:space="preserve"> modifiées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0D035E38" w14:textId="77777777" w:rsidR="003D2618" w:rsidRPr="009A734B" w:rsidRDefault="003D2618" w:rsidP="009A734B">
            <w:pPr>
              <w:pStyle w:val="Tablehead"/>
              <w:keepNext/>
              <w:keepLines/>
              <w:rPr>
                <w:lang w:val="fr-CH" w:eastAsia="zh-CN"/>
              </w:rPr>
            </w:pPr>
            <w:r w:rsidRPr="009A734B">
              <w:rPr>
                <w:lang w:val="fr-CH" w:eastAsia="zh-CN"/>
              </w:rPr>
              <w:t>C24/#</w:t>
            </w:r>
          </w:p>
        </w:tc>
      </w:tr>
      <w:tr w:rsidR="003D2618" w:rsidRPr="009A734B" w14:paraId="3F93A38F"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6A55C6EE" w14:textId="47992F29" w:rsidR="003D2618" w:rsidRPr="009A734B" w:rsidRDefault="00B95EA2" w:rsidP="009A734B">
            <w:pPr>
              <w:pStyle w:val="Tabletext"/>
              <w:keepNext/>
              <w:keepLines/>
              <w:rPr>
                <w:lang w:val="fr-CH" w:eastAsia="zh-CN"/>
              </w:rPr>
            </w:pPr>
            <w:r w:rsidRPr="009A734B">
              <w:rPr>
                <w:lang w:val="fr-CH" w:eastAsia="zh-CN"/>
              </w:rPr>
              <w:t xml:space="preserve">Résolution </w:t>
            </w:r>
            <w:r w:rsidR="003D2618" w:rsidRPr="009A734B">
              <w:rPr>
                <w:lang w:val="fr-CH" w:eastAsia="zh-CN"/>
              </w:rPr>
              <w:t>1338 (</w:t>
            </w:r>
            <w:r w:rsidR="00033F98" w:rsidRPr="009A734B">
              <w:rPr>
                <w:lang w:val="fr-CH" w:eastAsia="zh-CN"/>
              </w:rPr>
              <w:t>modifiée en 2024</w:t>
            </w:r>
            <w:r w:rsidR="003D2618" w:rsidRPr="009A734B">
              <w:rPr>
                <w:lang w:val="fr-CH" w:eastAsia="zh-CN"/>
              </w:rPr>
              <w:t xml:space="preserve">) – </w:t>
            </w:r>
            <w:r w:rsidR="00033F98" w:rsidRPr="009A734B">
              <w:rPr>
                <w:lang w:val="fr-CH" w:eastAsia="zh-CN"/>
              </w:rPr>
              <w:t>Fonds pour le développement des technologies de l'information et de la communication (FDTIC)</w:t>
            </w:r>
          </w:p>
        </w:tc>
        <w:tc>
          <w:tcPr>
            <w:tcW w:w="1133" w:type="dxa"/>
            <w:shd w:val="clear" w:color="auto" w:fill="auto"/>
            <w:tcMar>
              <w:top w:w="0" w:type="dxa"/>
              <w:left w:w="57" w:type="dxa"/>
              <w:bottom w:w="0" w:type="dxa"/>
              <w:right w:w="57" w:type="dxa"/>
            </w:tcMar>
            <w:hideMark/>
          </w:tcPr>
          <w:p w14:paraId="77BD9896" w14:textId="0E3BC04F" w:rsidR="003D2618" w:rsidRPr="009A734B" w:rsidRDefault="003D2618" w:rsidP="009A734B">
            <w:pPr>
              <w:pStyle w:val="Tabletext"/>
              <w:keepNext/>
              <w:keepLines/>
              <w:jc w:val="center"/>
              <w:rPr>
                <w:rStyle w:val="Hyperlink"/>
                <w:lang w:val="fr-CH"/>
              </w:rPr>
            </w:pPr>
            <w:hyperlink r:id="rId16" w:history="1">
              <w:r w:rsidRPr="009A734B">
                <w:rPr>
                  <w:rStyle w:val="Hyperlink"/>
                  <w:lang w:val="fr-CH"/>
                </w:rPr>
                <w:t>C24/131</w:t>
              </w:r>
            </w:hyperlink>
          </w:p>
        </w:tc>
      </w:tr>
      <w:tr w:rsidR="003D2618" w:rsidRPr="009A734B" w14:paraId="6C6FEA02"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1DF68289" w14:textId="384C51CE" w:rsidR="003D2618" w:rsidRPr="009A734B" w:rsidRDefault="00B95EA2" w:rsidP="009A734B">
            <w:pPr>
              <w:pStyle w:val="Tabletext"/>
              <w:keepNext/>
              <w:keepLines/>
              <w:rPr>
                <w:lang w:val="fr-CH" w:eastAsia="zh-CN"/>
              </w:rPr>
            </w:pPr>
            <w:r w:rsidRPr="009A734B">
              <w:rPr>
                <w:lang w:val="fr-CH" w:eastAsia="zh-CN"/>
              </w:rPr>
              <w:t xml:space="preserve">Résolution </w:t>
            </w:r>
            <w:r w:rsidR="003D2618" w:rsidRPr="009A734B">
              <w:rPr>
                <w:lang w:val="fr-CH" w:eastAsia="zh-CN"/>
              </w:rPr>
              <w:t>1386 (</w:t>
            </w:r>
            <w:r w:rsidR="00033F98" w:rsidRPr="009A734B">
              <w:rPr>
                <w:lang w:val="fr-CH" w:eastAsia="zh-CN"/>
              </w:rPr>
              <w:t>modifiée en 2024</w:t>
            </w:r>
            <w:r w:rsidR="003D2618" w:rsidRPr="009A734B">
              <w:rPr>
                <w:lang w:val="fr-CH" w:eastAsia="zh-CN"/>
              </w:rPr>
              <w:t xml:space="preserve">) – </w:t>
            </w:r>
            <w:r w:rsidR="00394FE1" w:rsidRPr="009A734B">
              <w:rPr>
                <w:lang w:val="fr-CH" w:eastAsia="zh-CN"/>
              </w:rPr>
              <w:t>Comité de coordination de l'UIT pour la terminologie (CCT de l'UIT)</w:t>
            </w:r>
          </w:p>
        </w:tc>
        <w:tc>
          <w:tcPr>
            <w:tcW w:w="1133" w:type="dxa"/>
            <w:shd w:val="clear" w:color="auto" w:fill="auto"/>
            <w:tcMar>
              <w:top w:w="0" w:type="dxa"/>
              <w:left w:w="57" w:type="dxa"/>
              <w:bottom w:w="0" w:type="dxa"/>
              <w:right w:w="57" w:type="dxa"/>
            </w:tcMar>
            <w:hideMark/>
          </w:tcPr>
          <w:p w14:paraId="14FA9697" w14:textId="06B92576" w:rsidR="003D2618" w:rsidRPr="009A734B" w:rsidRDefault="003D2618" w:rsidP="009A734B">
            <w:pPr>
              <w:pStyle w:val="Tabletext"/>
              <w:keepNext/>
              <w:keepLines/>
              <w:jc w:val="center"/>
              <w:rPr>
                <w:rFonts w:cs="Arial"/>
                <w:b/>
                <w:bCs/>
                <w:szCs w:val="22"/>
                <w:lang w:val="fr-CH" w:eastAsia="zh-CN"/>
              </w:rPr>
            </w:pPr>
            <w:hyperlink r:id="rId17" w:history="1">
              <w:r w:rsidRPr="009A734B">
                <w:rPr>
                  <w:rStyle w:val="Hyperlink"/>
                  <w:lang w:val="fr-CH"/>
                </w:rPr>
                <w:t>C24/137</w:t>
              </w:r>
            </w:hyperlink>
          </w:p>
        </w:tc>
      </w:tr>
      <w:tr w:rsidR="003D2618" w:rsidRPr="009A734B" w14:paraId="3AF67F14"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1C712FB0" w14:textId="150F4087" w:rsidR="003D2618" w:rsidRPr="009A734B" w:rsidRDefault="00B95EA2" w:rsidP="009E2390">
            <w:pPr>
              <w:pStyle w:val="Tabletext"/>
              <w:rPr>
                <w:lang w:val="fr-CH" w:eastAsia="zh-CN"/>
              </w:rPr>
            </w:pPr>
            <w:r w:rsidRPr="009A734B">
              <w:rPr>
                <w:lang w:val="fr-CH" w:eastAsia="zh-CN"/>
              </w:rPr>
              <w:t xml:space="preserve">Résolution </w:t>
            </w:r>
            <w:r w:rsidR="003D2618" w:rsidRPr="009A734B">
              <w:rPr>
                <w:lang w:val="fr-CH" w:eastAsia="zh-CN"/>
              </w:rPr>
              <w:t>1372 (</w:t>
            </w:r>
            <w:r w:rsidR="00033F98" w:rsidRPr="009A734B">
              <w:rPr>
                <w:lang w:val="fr-CH" w:eastAsia="zh-CN"/>
              </w:rPr>
              <w:t>modifiée en 2024</w:t>
            </w:r>
            <w:r w:rsidR="003D2618" w:rsidRPr="009A734B">
              <w:rPr>
                <w:lang w:val="fr-CH" w:eastAsia="zh-CN"/>
              </w:rPr>
              <w:t xml:space="preserve">) – </w:t>
            </w:r>
            <w:r w:rsidR="00122630" w:rsidRPr="009A734B">
              <w:rPr>
                <w:lang w:val="fr-CH" w:eastAsia="zh-CN"/>
              </w:rPr>
              <w:t>Groupe de travail du Conseil sur l'utilisation des langues (GTC-LANG)</w:t>
            </w:r>
          </w:p>
        </w:tc>
        <w:tc>
          <w:tcPr>
            <w:tcW w:w="1133" w:type="dxa"/>
            <w:shd w:val="clear" w:color="auto" w:fill="auto"/>
            <w:tcMar>
              <w:top w:w="0" w:type="dxa"/>
              <w:left w:w="57" w:type="dxa"/>
              <w:bottom w:w="0" w:type="dxa"/>
              <w:right w:w="57" w:type="dxa"/>
            </w:tcMar>
            <w:hideMark/>
          </w:tcPr>
          <w:p w14:paraId="3D3F2836" w14:textId="7AA75EAB" w:rsidR="003D2618" w:rsidRPr="009A734B" w:rsidRDefault="003D2618" w:rsidP="009E2390">
            <w:pPr>
              <w:pStyle w:val="Tabletext"/>
              <w:jc w:val="center"/>
              <w:rPr>
                <w:rFonts w:cs="Arial"/>
                <w:b/>
                <w:bCs/>
                <w:szCs w:val="22"/>
                <w:lang w:val="fr-CH" w:eastAsia="zh-CN"/>
              </w:rPr>
            </w:pPr>
            <w:hyperlink r:id="rId18" w:history="1">
              <w:r w:rsidRPr="009A734B">
                <w:rPr>
                  <w:rStyle w:val="Hyperlink"/>
                  <w:lang w:val="fr-CH"/>
                </w:rPr>
                <w:t>C24/138</w:t>
              </w:r>
            </w:hyperlink>
          </w:p>
        </w:tc>
      </w:tr>
      <w:tr w:rsidR="003D2618" w:rsidRPr="009A734B" w14:paraId="1AAB8218"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1D75E57B" w14:textId="543BDBF9" w:rsidR="003D2618" w:rsidRPr="009A734B" w:rsidRDefault="009A734B" w:rsidP="009E2390">
            <w:pPr>
              <w:pStyle w:val="Tabletext"/>
              <w:rPr>
                <w:lang w:val="fr-CH" w:eastAsia="zh-CN"/>
              </w:rPr>
            </w:pPr>
            <w:r w:rsidRPr="009A734B">
              <w:rPr>
                <w:lang w:val="fr-CH" w:eastAsia="zh-CN"/>
              </w:rPr>
              <w:t xml:space="preserve">Résolution </w:t>
            </w:r>
            <w:r w:rsidR="003D2618" w:rsidRPr="009A734B">
              <w:rPr>
                <w:lang w:val="fr-CH" w:eastAsia="zh-CN"/>
              </w:rPr>
              <w:t>1306 (</w:t>
            </w:r>
            <w:r w:rsidR="00033F98" w:rsidRPr="009A734B">
              <w:rPr>
                <w:lang w:val="fr-CH" w:eastAsia="zh-CN"/>
              </w:rPr>
              <w:t>modifiée en 2024</w:t>
            </w:r>
            <w:r w:rsidR="003D2618" w:rsidRPr="009A734B">
              <w:rPr>
                <w:lang w:val="fr-CH" w:eastAsia="zh-CN"/>
              </w:rPr>
              <w:t xml:space="preserve">) – </w:t>
            </w:r>
            <w:r w:rsidR="00122630" w:rsidRPr="009A734B">
              <w:rPr>
                <w:lang w:val="fr-CH" w:eastAsia="zh-CN"/>
              </w:rPr>
              <w:t>Groupe de travail du Conseil sur la protection en ligne des enfants</w:t>
            </w:r>
          </w:p>
        </w:tc>
        <w:tc>
          <w:tcPr>
            <w:tcW w:w="1133" w:type="dxa"/>
            <w:shd w:val="clear" w:color="auto" w:fill="auto"/>
            <w:tcMar>
              <w:top w:w="0" w:type="dxa"/>
              <w:left w:w="57" w:type="dxa"/>
              <w:bottom w:w="0" w:type="dxa"/>
              <w:right w:w="57" w:type="dxa"/>
            </w:tcMar>
          </w:tcPr>
          <w:p w14:paraId="4EF15089" w14:textId="5342C876" w:rsidR="003D2618" w:rsidRPr="009A734B" w:rsidRDefault="003D2618" w:rsidP="009E2390">
            <w:pPr>
              <w:pStyle w:val="Tabletext"/>
              <w:jc w:val="center"/>
              <w:rPr>
                <w:b/>
                <w:bCs/>
                <w:szCs w:val="22"/>
                <w:lang w:val="fr-CH"/>
              </w:rPr>
            </w:pPr>
            <w:hyperlink r:id="rId19" w:history="1">
              <w:r w:rsidRPr="009A734B">
                <w:rPr>
                  <w:rStyle w:val="Hyperlink"/>
                  <w:lang w:val="fr-CH"/>
                </w:rPr>
                <w:t>C24/140</w:t>
              </w:r>
            </w:hyperlink>
          </w:p>
        </w:tc>
      </w:tr>
      <w:tr w:rsidR="003D2618" w:rsidRPr="009A734B" w14:paraId="15714042"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40AAA2E4" w14:textId="10C0E54D" w:rsidR="003D2618" w:rsidRPr="009A734B" w:rsidRDefault="00B95EA2" w:rsidP="00122630">
            <w:pPr>
              <w:pStyle w:val="Tabletext"/>
              <w:rPr>
                <w:lang w:val="fr-CH" w:eastAsia="zh-CN"/>
              </w:rPr>
            </w:pPr>
            <w:r w:rsidRPr="009A734B">
              <w:rPr>
                <w:lang w:val="fr-CH" w:eastAsia="zh-CN"/>
              </w:rPr>
              <w:t xml:space="preserve">Résolution </w:t>
            </w:r>
            <w:r w:rsidR="003D2618" w:rsidRPr="009A734B">
              <w:rPr>
                <w:lang w:val="fr-CH" w:eastAsia="zh-CN"/>
              </w:rPr>
              <w:t>1332 (</w:t>
            </w:r>
            <w:r w:rsidR="00033F98" w:rsidRPr="009A734B">
              <w:rPr>
                <w:lang w:val="fr-CH" w:eastAsia="zh-CN"/>
              </w:rPr>
              <w:t>modifiée en 2024</w:t>
            </w:r>
            <w:r w:rsidR="003D2618" w:rsidRPr="009A734B">
              <w:rPr>
                <w:lang w:val="fr-CH" w:eastAsia="zh-CN"/>
              </w:rPr>
              <w:t xml:space="preserve">) – </w:t>
            </w:r>
            <w:r w:rsidR="00122630" w:rsidRPr="009A734B">
              <w:rPr>
                <w:lang w:val="fr-CH" w:eastAsia="zh-CN"/>
              </w:rPr>
              <w:t>Rôle de l'UIT dans la mise en œuvre des résultats du SMSI et du Programme de développement durable à l'horizon 2030</w:t>
            </w:r>
          </w:p>
        </w:tc>
        <w:tc>
          <w:tcPr>
            <w:tcW w:w="1133" w:type="dxa"/>
            <w:shd w:val="clear" w:color="auto" w:fill="auto"/>
            <w:tcMar>
              <w:top w:w="0" w:type="dxa"/>
              <w:left w:w="57" w:type="dxa"/>
              <w:bottom w:w="0" w:type="dxa"/>
              <w:right w:w="57" w:type="dxa"/>
            </w:tcMar>
            <w:hideMark/>
          </w:tcPr>
          <w:p w14:paraId="6D37EC4D" w14:textId="4E9FAA24" w:rsidR="003D2618" w:rsidRPr="009A734B" w:rsidRDefault="003D2618" w:rsidP="009E2390">
            <w:pPr>
              <w:pStyle w:val="Tabletext"/>
              <w:jc w:val="center"/>
              <w:rPr>
                <w:rFonts w:cs="Arial"/>
                <w:b/>
                <w:bCs/>
                <w:color w:val="0000FF"/>
                <w:szCs w:val="22"/>
                <w:lang w:val="fr-CH" w:eastAsia="zh-CN"/>
              </w:rPr>
            </w:pPr>
            <w:hyperlink r:id="rId20" w:history="1">
              <w:r w:rsidRPr="009A734B">
                <w:rPr>
                  <w:rStyle w:val="Hyperlink"/>
                  <w:lang w:val="fr-CH"/>
                </w:rPr>
                <w:t>C24/141</w:t>
              </w:r>
            </w:hyperlink>
          </w:p>
        </w:tc>
      </w:tr>
    </w:tbl>
    <w:p w14:paraId="34BAE83D" w14:textId="77777777" w:rsidR="003D2618" w:rsidRPr="009A734B" w:rsidRDefault="003D2618" w:rsidP="003D2618">
      <w:pPr>
        <w:pStyle w:val="Tablefin"/>
        <w:rPr>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3D2618" w:rsidRPr="009A734B" w14:paraId="3D883E49"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C31D9" w14:textId="42FC1DA6" w:rsidR="003D2618" w:rsidRPr="009A734B" w:rsidRDefault="003D2618" w:rsidP="009E2390">
            <w:pPr>
              <w:pStyle w:val="Tablehead"/>
              <w:keepNext/>
              <w:keepLines/>
              <w:rPr>
                <w:lang w:val="fr-CH" w:eastAsia="zh-CN"/>
              </w:rPr>
            </w:pPr>
            <w:r w:rsidRPr="009A734B">
              <w:rPr>
                <w:rFonts w:cs="Arial"/>
                <w:bCs/>
                <w:szCs w:val="22"/>
                <w:lang w:val="fr-CH" w:eastAsia="zh-CN"/>
              </w:rPr>
              <w:t>Décisions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2EC10276" w14:textId="77777777" w:rsidR="003D2618" w:rsidRPr="009A734B" w:rsidRDefault="003D2618" w:rsidP="009E2390">
            <w:pPr>
              <w:pStyle w:val="Tablehead"/>
              <w:keepNext/>
              <w:keepLines/>
              <w:rPr>
                <w:lang w:val="fr-CH" w:eastAsia="zh-CN"/>
              </w:rPr>
            </w:pPr>
            <w:r w:rsidRPr="009A734B">
              <w:rPr>
                <w:lang w:val="fr-CH" w:eastAsia="zh-CN"/>
              </w:rPr>
              <w:t>C24/#</w:t>
            </w:r>
          </w:p>
        </w:tc>
      </w:tr>
      <w:tr w:rsidR="003D2618" w:rsidRPr="009A734B" w14:paraId="51C66353"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2ECA5E8F" w14:textId="28C8F2DF" w:rsidR="003D2618" w:rsidRPr="009A734B" w:rsidRDefault="00122630" w:rsidP="009E2390">
            <w:pPr>
              <w:pStyle w:val="Tabletext"/>
              <w:keepNext/>
              <w:keepLines/>
              <w:rPr>
                <w:lang w:val="fr-CH" w:eastAsia="zh-CN"/>
              </w:rPr>
            </w:pPr>
            <w:r w:rsidRPr="009A734B">
              <w:rPr>
                <w:rFonts w:cs="Arial"/>
                <w:bCs/>
                <w:szCs w:val="22"/>
                <w:lang w:val="fr-CH" w:eastAsia="zh-CN"/>
              </w:rPr>
              <w:t>Décision</w:t>
            </w:r>
            <w:r w:rsidRPr="009A734B">
              <w:rPr>
                <w:lang w:val="fr-CH"/>
              </w:rPr>
              <w:t xml:space="preserve"> </w:t>
            </w:r>
            <w:r w:rsidR="003D2618" w:rsidRPr="009A734B">
              <w:rPr>
                <w:lang w:val="fr-CH"/>
              </w:rPr>
              <w:t xml:space="preserve">637 – </w:t>
            </w:r>
            <w:r w:rsidR="00F25DFB" w:rsidRPr="009A734B">
              <w:rPr>
                <w:lang w:val="fr-CH"/>
              </w:rPr>
              <w:t>Convocation de la Conférence mondiale de développement des télécommunications de 2025 (CMDT-25)</w:t>
            </w:r>
          </w:p>
        </w:tc>
        <w:tc>
          <w:tcPr>
            <w:tcW w:w="1133" w:type="dxa"/>
            <w:shd w:val="clear" w:color="auto" w:fill="auto"/>
            <w:tcMar>
              <w:top w:w="0" w:type="dxa"/>
              <w:left w:w="57" w:type="dxa"/>
              <w:bottom w:w="0" w:type="dxa"/>
              <w:right w:w="57" w:type="dxa"/>
            </w:tcMar>
            <w:hideMark/>
          </w:tcPr>
          <w:p w14:paraId="249A62A0" w14:textId="149B54D0" w:rsidR="003D2618" w:rsidRPr="009A734B" w:rsidRDefault="003D2618" w:rsidP="009E2390">
            <w:pPr>
              <w:pStyle w:val="Tabletext"/>
              <w:keepNext/>
              <w:keepLines/>
              <w:jc w:val="center"/>
              <w:rPr>
                <w:rStyle w:val="Hyperlink"/>
                <w:lang w:val="fr-CH"/>
              </w:rPr>
            </w:pPr>
            <w:hyperlink r:id="rId21" w:history="1">
              <w:r w:rsidRPr="009A734B">
                <w:rPr>
                  <w:rStyle w:val="Hyperlink"/>
                  <w:lang w:val="fr-CH"/>
                </w:rPr>
                <w:t>C24/124</w:t>
              </w:r>
            </w:hyperlink>
          </w:p>
        </w:tc>
      </w:tr>
      <w:tr w:rsidR="003D2618" w:rsidRPr="009A734B" w14:paraId="5736DCA1"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42DD40C4" w14:textId="14F92884" w:rsidR="003D2618" w:rsidRPr="009A734B" w:rsidRDefault="00122630" w:rsidP="009E2390">
            <w:pPr>
              <w:pStyle w:val="Tabletext"/>
              <w:keepNext/>
              <w:keepLines/>
              <w:rPr>
                <w:lang w:val="fr-CH" w:eastAsia="zh-CN"/>
              </w:rPr>
            </w:pPr>
            <w:r w:rsidRPr="009A734B">
              <w:rPr>
                <w:rFonts w:cs="Arial"/>
                <w:bCs/>
                <w:szCs w:val="22"/>
                <w:lang w:val="fr-CH" w:eastAsia="zh-CN"/>
              </w:rPr>
              <w:t>Décision</w:t>
            </w:r>
            <w:r w:rsidRPr="009A734B">
              <w:rPr>
                <w:lang w:val="fr-CH"/>
              </w:rPr>
              <w:t xml:space="preserve"> </w:t>
            </w:r>
            <w:r w:rsidR="003D2618" w:rsidRPr="009A734B">
              <w:rPr>
                <w:lang w:val="fr-CH"/>
              </w:rPr>
              <w:t xml:space="preserve">638 – </w:t>
            </w:r>
            <w:r w:rsidR="00F25DFB" w:rsidRPr="009A734B">
              <w:rPr>
                <w:lang w:val="fr-CH"/>
              </w:rPr>
              <w:t>Description du poste (grade D1) de Chef du Département de l'engagement stratégique du Bureau de la normalisation des télécommunications</w:t>
            </w:r>
          </w:p>
        </w:tc>
        <w:tc>
          <w:tcPr>
            <w:tcW w:w="1133" w:type="dxa"/>
            <w:shd w:val="clear" w:color="auto" w:fill="auto"/>
            <w:tcMar>
              <w:top w:w="0" w:type="dxa"/>
              <w:left w:w="57" w:type="dxa"/>
              <w:bottom w:w="0" w:type="dxa"/>
              <w:right w:w="57" w:type="dxa"/>
            </w:tcMar>
            <w:hideMark/>
          </w:tcPr>
          <w:p w14:paraId="3D0A8255" w14:textId="4A7794CE" w:rsidR="003D2618" w:rsidRPr="009A734B" w:rsidRDefault="003D2618" w:rsidP="009E2390">
            <w:pPr>
              <w:pStyle w:val="Tabletext"/>
              <w:keepNext/>
              <w:keepLines/>
              <w:jc w:val="center"/>
              <w:rPr>
                <w:rFonts w:cs="Arial"/>
                <w:b/>
                <w:bCs/>
                <w:szCs w:val="22"/>
                <w:lang w:val="fr-CH" w:eastAsia="zh-CN"/>
              </w:rPr>
            </w:pPr>
            <w:hyperlink r:id="rId22" w:history="1">
              <w:r w:rsidRPr="009A734B">
                <w:rPr>
                  <w:rStyle w:val="Hyperlink"/>
                  <w:lang w:val="fr-CH"/>
                </w:rPr>
                <w:t>C24/129</w:t>
              </w:r>
            </w:hyperlink>
          </w:p>
        </w:tc>
      </w:tr>
      <w:tr w:rsidR="003D2618" w:rsidRPr="009A734B" w14:paraId="115CDF70"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6EBAFFF3" w14:textId="574DBDC9" w:rsidR="003D2618" w:rsidRPr="009A734B" w:rsidRDefault="00122630" w:rsidP="009E2390">
            <w:pPr>
              <w:pStyle w:val="Tabletext"/>
              <w:keepNext/>
              <w:keepLines/>
              <w:rPr>
                <w:lang w:val="fr-CH" w:eastAsia="zh-CN"/>
              </w:rPr>
            </w:pPr>
            <w:r w:rsidRPr="009A734B">
              <w:rPr>
                <w:rFonts w:cs="Arial"/>
                <w:bCs/>
                <w:szCs w:val="22"/>
                <w:lang w:val="fr-CH" w:eastAsia="zh-CN"/>
              </w:rPr>
              <w:t>Décision</w:t>
            </w:r>
            <w:r w:rsidRPr="009A734B">
              <w:rPr>
                <w:lang w:val="fr-CH"/>
              </w:rPr>
              <w:t xml:space="preserve"> </w:t>
            </w:r>
            <w:r w:rsidR="003D2618" w:rsidRPr="009A734B">
              <w:rPr>
                <w:lang w:val="fr-CH"/>
              </w:rPr>
              <w:t xml:space="preserve">639 – </w:t>
            </w:r>
            <w:r w:rsidR="00F25DFB" w:rsidRPr="009A734B">
              <w:rPr>
                <w:rFonts w:asciiTheme="minorHAnsi" w:hAnsiTheme="minorHAnsi" w:cstheme="minorHAnsi"/>
                <w:lang w:val="fr-CH"/>
              </w:rPr>
              <w:t>Passation par pertes et profits d'intérêts moratoires et de créances irrécupérables</w:t>
            </w:r>
          </w:p>
        </w:tc>
        <w:tc>
          <w:tcPr>
            <w:tcW w:w="1133" w:type="dxa"/>
            <w:shd w:val="clear" w:color="auto" w:fill="auto"/>
            <w:tcMar>
              <w:top w:w="0" w:type="dxa"/>
              <w:left w:w="57" w:type="dxa"/>
              <w:bottom w:w="0" w:type="dxa"/>
              <w:right w:w="57" w:type="dxa"/>
            </w:tcMar>
            <w:hideMark/>
          </w:tcPr>
          <w:p w14:paraId="16FA09F6" w14:textId="25562168" w:rsidR="003D2618" w:rsidRPr="009A734B" w:rsidRDefault="003D2618" w:rsidP="009E2390">
            <w:pPr>
              <w:pStyle w:val="Tabletext"/>
              <w:keepNext/>
              <w:keepLines/>
              <w:jc w:val="center"/>
              <w:rPr>
                <w:rFonts w:cs="Arial"/>
                <w:b/>
                <w:bCs/>
                <w:szCs w:val="22"/>
                <w:lang w:val="fr-CH" w:eastAsia="zh-CN"/>
              </w:rPr>
            </w:pPr>
            <w:hyperlink r:id="rId23" w:history="1">
              <w:r w:rsidRPr="009A734B">
                <w:rPr>
                  <w:rStyle w:val="Hyperlink"/>
                  <w:lang w:val="fr-CH"/>
                </w:rPr>
                <w:t>C24/130</w:t>
              </w:r>
            </w:hyperlink>
          </w:p>
        </w:tc>
      </w:tr>
      <w:tr w:rsidR="003D2618" w:rsidRPr="009A734B" w14:paraId="3B3E42C6"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32F48097" w14:textId="3FDCA084" w:rsidR="003D2618" w:rsidRPr="009A734B" w:rsidRDefault="00122630" w:rsidP="009E2390">
            <w:pPr>
              <w:pStyle w:val="Tabletext"/>
              <w:keepNext/>
              <w:keepLines/>
              <w:rPr>
                <w:lang w:val="fr-CH" w:eastAsia="zh-CN"/>
              </w:rPr>
            </w:pPr>
            <w:r w:rsidRPr="009A734B">
              <w:rPr>
                <w:rFonts w:cs="Arial"/>
                <w:bCs/>
                <w:szCs w:val="22"/>
                <w:lang w:val="fr-CH" w:eastAsia="zh-CN"/>
              </w:rPr>
              <w:t>Décision</w:t>
            </w:r>
            <w:r w:rsidRPr="009A734B">
              <w:rPr>
                <w:lang w:val="fr-CH"/>
              </w:rPr>
              <w:t xml:space="preserve"> </w:t>
            </w:r>
            <w:r w:rsidR="003D2618" w:rsidRPr="009A734B">
              <w:rPr>
                <w:lang w:val="fr-CH"/>
              </w:rPr>
              <w:t xml:space="preserve">640 – </w:t>
            </w:r>
            <w:r w:rsidR="00F25DFB" w:rsidRPr="009A734B">
              <w:rPr>
                <w:lang w:val="fr-CH"/>
              </w:rPr>
              <w:t>Nouveau projet réévalué pour les locaux du siège de l'UIT</w:t>
            </w:r>
          </w:p>
        </w:tc>
        <w:tc>
          <w:tcPr>
            <w:tcW w:w="1133" w:type="dxa"/>
            <w:shd w:val="clear" w:color="auto" w:fill="auto"/>
            <w:tcMar>
              <w:top w:w="0" w:type="dxa"/>
              <w:left w:w="57" w:type="dxa"/>
              <w:bottom w:w="0" w:type="dxa"/>
              <w:right w:w="57" w:type="dxa"/>
            </w:tcMar>
          </w:tcPr>
          <w:p w14:paraId="68F5DD78" w14:textId="7A742BA8" w:rsidR="003D2618" w:rsidRPr="009A734B" w:rsidRDefault="003D2618" w:rsidP="009E2390">
            <w:pPr>
              <w:pStyle w:val="Tabletext"/>
              <w:keepNext/>
              <w:keepLines/>
              <w:jc w:val="center"/>
              <w:rPr>
                <w:b/>
                <w:bCs/>
                <w:szCs w:val="22"/>
                <w:lang w:val="fr-CH"/>
              </w:rPr>
            </w:pPr>
            <w:hyperlink r:id="rId24" w:history="1">
              <w:r w:rsidRPr="009A734B">
                <w:rPr>
                  <w:rStyle w:val="Hyperlink"/>
                  <w:lang w:val="fr-CH"/>
                </w:rPr>
                <w:t>C24/132</w:t>
              </w:r>
            </w:hyperlink>
          </w:p>
        </w:tc>
      </w:tr>
      <w:tr w:rsidR="003D2618" w:rsidRPr="009A734B" w14:paraId="61527842"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7861D648" w14:textId="40617ACE" w:rsidR="003D2618" w:rsidRPr="009A734B" w:rsidRDefault="00122630" w:rsidP="009E2390">
            <w:pPr>
              <w:pStyle w:val="Tabletext"/>
              <w:keepNext/>
              <w:keepLines/>
              <w:rPr>
                <w:lang w:val="fr-CH" w:eastAsia="zh-CN"/>
              </w:rPr>
            </w:pPr>
            <w:r w:rsidRPr="009A734B">
              <w:rPr>
                <w:rFonts w:cs="Arial"/>
                <w:bCs/>
                <w:szCs w:val="22"/>
                <w:lang w:val="fr-CH" w:eastAsia="zh-CN"/>
              </w:rPr>
              <w:t>Décision</w:t>
            </w:r>
            <w:r w:rsidRPr="009A734B">
              <w:rPr>
                <w:lang w:val="fr-CH"/>
              </w:rPr>
              <w:t xml:space="preserve"> </w:t>
            </w:r>
            <w:r w:rsidR="003D2618" w:rsidRPr="009A734B">
              <w:rPr>
                <w:lang w:val="fr-CH"/>
              </w:rPr>
              <w:t xml:space="preserve">641 – </w:t>
            </w:r>
            <w:r w:rsidR="00176316" w:rsidRPr="009A734B">
              <w:rPr>
                <w:lang w:val="fr-CH"/>
              </w:rPr>
              <w:t>Septième Forum mondial des politiques de télécommunication/technologies de l'information et de la communication</w:t>
            </w:r>
          </w:p>
        </w:tc>
        <w:tc>
          <w:tcPr>
            <w:tcW w:w="1133" w:type="dxa"/>
            <w:shd w:val="clear" w:color="auto" w:fill="auto"/>
            <w:tcMar>
              <w:top w:w="0" w:type="dxa"/>
              <w:left w:w="57" w:type="dxa"/>
              <w:bottom w:w="0" w:type="dxa"/>
              <w:right w:w="57" w:type="dxa"/>
            </w:tcMar>
          </w:tcPr>
          <w:p w14:paraId="5C6672E4" w14:textId="36F275E8" w:rsidR="003D2618" w:rsidRPr="009A734B" w:rsidRDefault="003D2618" w:rsidP="009E2390">
            <w:pPr>
              <w:pStyle w:val="Tabletext"/>
              <w:keepNext/>
              <w:keepLines/>
              <w:jc w:val="center"/>
              <w:rPr>
                <w:b/>
                <w:bCs/>
                <w:szCs w:val="22"/>
                <w:lang w:val="fr-CH"/>
              </w:rPr>
            </w:pPr>
            <w:hyperlink r:id="rId25" w:history="1">
              <w:r w:rsidRPr="009A734B">
                <w:rPr>
                  <w:rStyle w:val="Hyperlink"/>
                  <w:lang w:val="fr-CH"/>
                </w:rPr>
                <w:t>C24/136</w:t>
              </w:r>
            </w:hyperlink>
          </w:p>
        </w:tc>
      </w:tr>
      <w:tr w:rsidR="003D2618" w:rsidRPr="009A734B" w14:paraId="045816E6"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tcPr>
          <w:p w14:paraId="33DC573E" w14:textId="41E46309" w:rsidR="003D2618" w:rsidRPr="009A734B" w:rsidRDefault="00122630" w:rsidP="009E2390">
            <w:pPr>
              <w:pStyle w:val="Tabletext"/>
              <w:keepNext/>
              <w:keepLines/>
              <w:rPr>
                <w:lang w:val="fr-CH"/>
              </w:rPr>
            </w:pPr>
            <w:r w:rsidRPr="009A734B">
              <w:rPr>
                <w:rFonts w:cs="Arial"/>
                <w:bCs/>
                <w:szCs w:val="22"/>
                <w:lang w:val="fr-CH" w:eastAsia="zh-CN"/>
              </w:rPr>
              <w:t>Décision</w:t>
            </w:r>
            <w:r w:rsidRPr="009A734B">
              <w:rPr>
                <w:lang w:val="fr-CH"/>
              </w:rPr>
              <w:t xml:space="preserve"> </w:t>
            </w:r>
            <w:r w:rsidR="003D2618" w:rsidRPr="009A734B">
              <w:rPr>
                <w:lang w:val="fr-CH"/>
              </w:rPr>
              <w:t xml:space="preserve">642 – </w:t>
            </w:r>
            <w:r w:rsidR="00627061" w:rsidRPr="009A734B">
              <w:rPr>
                <w:lang w:val="fr-CH"/>
              </w:rPr>
              <w:t>Dates et durée des sessions de 2025, 2026 et 2027 du Conseil et des séries de réunions des Groupes de travail du Conseil et des Groupes d'experts de 2025, 2026 et 2027</w:t>
            </w:r>
          </w:p>
        </w:tc>
        <w:tc>
          <w:tcPr>
            <w:tcW w:w="1133" w:type="dxa"/>
            <w:shd w:val="clear" w:color="auto" w:fill="auto"/>
            <w:tcMar>
              <w:top w:w="0" w:type="dxa"/>
              <w:left w:w="57" w:type="dxa"/>
              <w:bottom w:w="0" w:type="dxa"/>
              <w:right w:w="57" w:type="dxa"/>
            </w:tcMar>
          </w:tcPr>
          <w:p w14:paraId="270BA224" w14:textId="7DC3B0C3" w:rsidR="003D2618" w:rsidRPr="009A734B" w:rsidRDefault="003D2618" w:rsidP="009E2390">
            <w:pPr>
              <w:pStyle w:val="Tabletext"/>
              <w:keepNext/>
              <w:keepLines/>
              <w:jc w:val="center"/>
              <w:rPr>
                <w:rStyle w:val="Hyperlink"/>
                <w:lang w:val="fr-CH"/>
              </w:rPr>
            </w:pPr>
            <w:hyperlink r:id="rId26" w:history="1">
              <w:r w:rsidRPr="009A734B">
                <w:rPr>
                  <w:rStyle w:val="Hyperlink"/>
                  <w:lang w:val="fr-CH"/>
                </w:rPr>
                <w:t>C24/143</w:t>
              </w:r>
            </w:hyperlink>
          </w:p>
        </w:tc>
      </w:tr>
    </w:tbl>
    <w:p w14:paraId="42732489" w14:textId="77777777" w:rsidR="003D2618" w:rsidRPr="009A734B" w:rsidRDefault="003D2618" w:rsidP="003D2618">
      <w:pPr>
        <w:pStyle w:val="Tablefin"/>
        <w:rPr>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3D2618" w:rsidRPr="009A734B" w14:paraId="06307C98"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D7156" w14:textId="46184C77" w:rsidR="003D2618" w:rsidRPr="009A734B" w:rsidRDefault="003D2618" w:rsidP="009E2390">
            <w:pPr>
              <w:pStyle w:val="Tablehead"/>
              <w:rPr>
                <w:lang w:val="fr-CH" w:eastAsia="zh-CN"/>
              </w:rPr>
            </w:pPr>
            <w:r w:rsidRPr="009A734B">
              <w:rPr>
                <w:rFonts w:cs="Arial"/>
                <w:bCs/>
                <w:szCs w:val="22"/>
                <w:lang w:val="fr-CH" w:eastAsia="zh-CN"/>
              </w:rPr>
              <w:t>Décisions modifiées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7401DAB6" w14:textId="77777777" w:rsidR="003D2618" w:rsidRPr="009A734B" w:rsidRDefault="003D2618" w:rsidP="009E2390">
            <w:pPr>
              <w:pStyle w:val="Tablehead"/>
              <w:rPr>
                <w:lang w:val="fr-CH" w:eastAsia="zh-CN"/>
              </w:rPr>
            </w:pPr>
            <w:r w:rsidRPr="009A734B">
              <w:rPr>
                <w:lang w:val="fr-CH" w:eastAsia="zh-CN"/>
              </w:rPr>
              <w:t>C24/#</w:t>
            </w:r>
          </w:p>
        </w:tc>
      </w:tr>
      <w:tr w:rsidR="003D2618" w:rsidRPr="009A734B" w14:paraId="12B380C3" w14:textId="77777777" w:rsidTr="009E2390">
        <w:trPr>
          <w:jc w:val="center"/>
        </w:trPr>
        <w:tc>
          <w:tcPr>
            <w:tcW w:w="8506" w:type="dxa"/>
            <w:tcBorders>
              <w:top w:val="single" w:sz="4" w:space="0" w:color="auto"/>
              <w:left w:val="single" w:sz="4" w:space="0" w:color="auto"/>
              <w:bottom w:val="single" w:sz="4" w:space="0" w:color="auto"/>
              <w:right w:val="single" w:sz="4" w:space="0" w:color="auto"/>
            </w:tcBorders>
            <w:hideMark/>
          </w:tcPr>
          <w:p w14:paraId="0D288C18" w14:textId="13C20D59" w:rsidR="003D2618" w:rsidRPr="009A734B" w:rsidRDefault="00122630" w:rsidP="009E2390">
            <w:pPr>
              <w:pStyle w:val="Tabletext"/>
              <w:rPr>
                <w:lang w:val="fr-CH" w:eastAsia="zh-CN"/>
              </w:rPr>
            </w:pPr>
            <w:r w:rsidRPr="009A734B">
              <w:rPr>
                <w:rFonts w:cs="Arial"/>
                <w:bCs/>
                <w:szCs w:val="22"/>
                <w:lang w:val="fr-CH" w:eastAsia="zh-CN"/>
              </w:rPr>
              <w:t>Décision</w:t>
            </w:r>
            <w:r w:rsidRPr="009A734B">
              <w:rPr>
                <w:lang w:val="fr-CH"/>
              </w:rPr>
              <w:t xml:space="preserve"> </w:t>
            </w:r>
            <w:r w:rsidR="003D2618" w:rsidRPr="009A734B">
              <w:rPr>
                <w:lang w:val="fr-CH"/>
              </w:rPr>
              <w:t>482 (</w:t>
            </w:r>
            <w:r w:rsidR="00033F98" w:rsidRPr="009A734B">
              <w:rPr>
                <w:lang w:val="fr-CH" w:eastAsia="zh-CN"/>
              </w:rPr>
              <w:t>modifiée en 2024</w:t>
            </w:r>
            <w:r w:rsidR="003D2618" w:rsidRPr="009A734B">
              <w:rPr>
                <w:lang w:val="fr-CH"/>
              </w:rPr>
              <w:t xml:space="preserve">) – </w:t>
            </w:r>
            <w:r w:rsidR="00FB34FD" w:rsidRPr="009A734B">
              <w:rPr>
                <w:lang w:val="fr-CH"/>
              </w:rPr>
              <w:t>Mise en œuvre du recouvrement des coûts pour le traitement des fiches de notification des réseaux à satellite</w:t>
            </w:r>
          </w:p>
        </w:tc>
        <w:tc>
          <w:tcPr>
            <w:tcW w:w="1133" w:type="dxa"/>
            <w:shd w:val="clear" w:color="auto" w:fill="auto"/>
            <w:tcMar>
              <w:top w:w="0" w:type="dxa"/>
              <w:left w:w="57" w:type="dxa"/>
              <w:bottom w:w="0" w:type="dxa"/>
              <w:right w:w="57" w:type="dxa"/>
            </w:tcMar>
            <w:hideMark/>
          </w:tcPr>
          <w:p w14:paraId="67932306" w14:textId="3F84E99D" w:rsidR="003D2618" w:rsidRPr="009A734B" w:rsidRDefault="003D2618" w:rsidP="009E2390">
            <w:pPr>
              <w:pStyle w:val="Tabletext"/>
              <w:jc w:val="center"/>
              <w:rPr>
                <w:rStyle w:val="Hyperlink"/>
                <w:lang w:val="fr-CH"/>
              </w:rPr>
            </w:pPr>
            <w:hyperlink r:id="rId27" w:history="1">
              <w:r w:rsidRPr="009A734B">
                <w:rPr>
                  <w:rStyle w:val="Hyperlink"/>
                  <w:lang w:val="fr-CH"/>
                </w:rPr>
                <w:t>C24/135</w:t>
              </w:r>
            </w:hyperlink>
          </w:p>
        </w:tc>
      </w:tr>
    </w:tbl>
    <w:p w14:paraId="0B5F7BAE" w14:textId="77777777" w:rsidR="003D2618" w:rsidRPr="009A734B" w:rsidRDefault="003D2618" w:rsidP="003D2618">
      <w:pPr>
        <w:pStyle w:val="Tablefin"/>
        <w:rPr>
          <w:lang w:val="fr-CH"/>
        </w:rPr>
      </w:pPr>
    </w:p>
    <w:p w14:paraId="234FEAEA" w14:textId="77777777" w:rsidR="006A11AE" w:rsidRPr="009A734B" w:rsidRDefault="006A11AE" w:rsidP="00411C49">
      <w:pPr>
        <w:pStyle w:val="Reasons"/>
        <w:rPr>
          <w:lang w:val="fr-CH"/>
        </w:rPr>
      </w:pPr>
    </w:p>
    <w:p w14:paraId="05309BCC" w14:textId="4BF3C5BC" w:rsidR="00897553" w:rsidRPr="009A734B" w:rsidRDefault="006A11AE" w:rsidP="006A11AE">
      <w:pPr>
        <w:jc w:val="center"/>
        <w:rPr>
          <w:lang w:val="fr-CH"/>
        </w:rPr>
      </w:pPr>
      <w:r w:rsidRPr="009A734B">
        <w:rPr>
          <w:lang w:val="fr-CH"/>
        </w:rPr>
        <w:t>______________</w:t>
      </w:r>
    </w:p>
    <w:sectPr w:rsidR="00897553" w:rsidRPr="009A734B" w:rsidSect="00D72F49">
      <w:headerReference w:type="even" r:id="rId28"/>
      <w:footerReference w:type="even" r:id="rId29"/>
      <w:footerReference w:type="default" r:id="rId30"/>
      <w:headerReference w:type="first" r:id="rId31"/>
      <w:footerReference w:type="first" r:id="rId3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0A98" w14:textId="1BD8F395" w:rsidR="00732045" w:rsidRDefault="00E4428F">
    <w:pPr>
      <w:pStyle w:val="Footer"/>
    </w:pPr>
    <w:fldSimple w:instr=" FILENAME \p \* MERGEFORMAT ">
      <w:r>
        <w:t>Document4</w:t>
      </w:r>
    </w:fldSimple>
    <w:r w:rsidR="00732045">
      <w:tab/>
    </w:r>
    <w:r w:rsidR="002F1B76">
      <w:fldChar w:fldCharType="begin"/>
    </w:r>
    <w:r w:rsidR="00732045">
      <w:instrText xml:space="preserve"> savedate \@ dd.MM.yy </w:instrText>
    </w:r>
    <w:r w:rsidR="002F1B76">
      <w:fldChar w:fldCharType="separate"/>
    </w:r>
    <w:r w:rsidR="001244D1">
      <w:t>10.09.24</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9E95931" w:rsidR="00A51849" w:rsidRDefault="00A51849" w:rsidP="00A51849">
          <w:pPr>
            <w:pStyle w:val="Header"/>
            <w:jc w:val="left"/>
            <w:rPr>
              <w:noProof/>
            </w:rPr>
          </w:pPr>
        </w:p>
      </w:tc>
      <w:tc>
        <w:tcPr>
          <w:tcW w:w="8261" w:type="dxa"/>
        </w:tcPr>
        <w:p w14:paraId="0DB0A3C6" w14:textId="1B6FBFBE" w:rsidR="00A51849" w:rsidRPr="00E06FD5" w:rsidRDefault="00A51849" w:rsidP="007D2966">
          <w:pPr>
            <w:pStyle w:val="Header"/>
            <w:tabs>
              <w:tab w:val="left" w:pos="6878"/>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13B78">
            <w:rPr>
              <w:bCs/>
            </w:rPr>
            <w:t>14</w:t>
          </w:r>
          <w:r w:rsidR="001244D1">
            <w:rPr>
              <w:bCs/>
            </w:rPr>
            <w:t>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C5C59E9" w:rsidR="00732045" w:rsidRPr="00A51849" w:rsidRDefault="00732045" w:rsidP="00115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A51849" w:rsidP="00A51849">
          <w:pPr>
            <w:pStyle w:val="Header"/>
            <w:jc w:val="left"/>
            <w:rPr>
              <w:noProof/>
              <w:color w:val="0563C1"/>
            </w:rPr>
          </w:pPr>
          <w:hyperlink r:id="rId1" w:history="1">
            <w:r w:rsidRPr="0082299A">
              <w:rPr>
                <w:rStyle w:val="Hyperlink"/>
                <w:szCs w:val="14"/>
              </w:rPr>
              <w:t>www.itu.int/council</w:t>
            </w:r>
          </w:hyperlink>
        </w:p>
      </w:tc>
      <w:tc>
        <w:tcPr>
          <w:tcW w:w="8261" w:type="dxa"/>
        </w:tcPr>
        <w:p w14:paraId="4C3D0956" w14:textId="32CCD259" w:rsidR="00A51849" w:rsidRPr="00E06FD5" w:rsidRDefault="00A51849" w:rsidP="007D2966">
          <w:pPr>
            <w:pStyle w:val="Header"/>
            <w:tabs>
              <w:tab w:val="left" w:pos="6878"/>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13B78">
            <w:rPr>
              <w:bCs/>
            </w:rPr>
            <w:t>14</w:t>
          </w:r>
          <w:r w:rsidR="001244D1">
            <w:rPr>
              <w:bCs/>
            </w:rPr>
            <w:t>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0DE547F" w:rsidR="00732045" w:rsidRPr="00A51849" w:rsidRDefault="00732045" w:rsidP="0011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3F98"/>
    <w:rsid w:val="00076A2C"/>
    <w:rsid w:val="000D0D0A"/>
    <w:rsid w:val="00103163"/>
    <w:rsid w:val="00106B19"/>
    <w:rsid w:val="001133EF"/>
    <w:rsid w:val="001155C7"/>
    <w:rsid w:val="00115D93"/>
    <w:rsid w:val="00122630"/>
    <w:rsid w:val="001244D1"/>
    <w:rsid w:val="001247A8"/>
    <w:rsid w:val="001378C0"/>
    <w:rsid w:val="00176316"/>
    <w:rsid w:val="0018694A"/>
    <w:rsid w:val="001A3287"/>
    <w:rsid w:val="001A5454"/>
    <w:rsid w:val="001A6508"/>
    <w:rsid w:val="001D4C31"/>
    <w:rsid w:val="001D6AB5"/>
    <w:rsid w:val="001E4D21"/>
    <w:rsid w:val="00207CD1"/>
    <w:rsid w:val="00226657"/>
    <w:rsid w:val="0023511B"/>
    <w:rsid w:val="002477A2"/>
    <w:rsid w:val="00263A51"/>
    <w:rsid w:val="00267E02"/>
    <w:rsid w:val="002A5D44"/>
    <w:rsid w:val="002E0BC4"/>
    <w:rsid w:val="002F1B76"/>
    <w:rsid w:val="002F7B25"/>
    <w:rsid w:val="0033568E"/>
    <w:rsid w:val="00355FF5"/>
    <w:rsid w:val="00361350"/>
    <w:rsid w:val="00394FE1"/>
    <w:rsid w:val="003C3FAE"/>
    <w:rsid w:val="003C6FDA"/>
    <w:rsid w:val="003D2618"/>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D530C"/>
    <w:rsid w:val="005F7BFE"/>
    <w:rsid w:val="00600017"/>
    <w:rsid w:val="006235CA"/>
    <w:rsid w:val="00627061"/>
    <w:rsid w:val="006643AB"/>
    <w:rsid w:val="00676D88"/>
    <w:rsid w:val="006A11AE"/>
    <w:rsid w:val="006F0A53"/>
    <w:rsid w:val="00715CE3"/>
    <w:rsid w:val="007210CD"/>
    <w:rsid w:val="00732045"/>
    <w:rsid w:val="0073275D"/>
    <w:rsid w:val="007369DB"/>
    <w:rsid w:val="007956C2"/>
    <w:rsid w:val="007A187E"/>
    <w:rsid w:val="007C72C2"/>
    <w:rsid w:val="007D2966"/>
    <w:rsid w:val="007D4436"/>
    <w:rsid w:val="007F257A"/>
    <w:rsid w:val="007F3665"/>
    <w:rsid w:val="00800037"/>
    <w:rsid w:val="0082299A"/>
    <w:rsid w:val="0083391C"/>
    <w:rsid w:val="00861D73"/>
    <w:rsid w:val="00897553"/>
    <w:rsid w:val="008A4E87"/>
    <w:rsid w:val="008D76E6"/>
    <w:rsid w:val="0092392D"/>
    <w:rsid w:val="0093234A"/>
    <w:rsid w:val="00933B4C"/>
    <w:rsid w:val="00956A78"/>
    <w:rsid w:val="0097363B"/>
    <w:rsid w:val="00973F53"/>
    <w:rsid w:val="009A6BAA"/>
    <w:rsid w:val="009A734B"/>
    <w:rsid w:val="009A76A9"/>
    <w:rsid w:val="009C307F"/>
    <w:rsid w:val="009C353C"/>
    <w:rsid w:val="00A1132F"/>
    <w:rsid w:val="00A2113E"/>
    <w:rsid w:val="00A23A51"/>
    <w:rsid w:val="00A24607"/>
    <w:rsid w:val="00A25CD3"/>
    <w:rsid w:val="00A51849"/>
    <w:rsid w:val="00A709FE"/>
    <w:rsid w:val="00A73C60"/>
    <w:rsid w:val="00A82767"/>
    <w:rsid w:val="00AA332F"/>
    <w:rsid w:val="00AA7BBB"/>
    <w:rsid w:val="00AB64A8"/>
    <w:rsid w:val="00AC0266"/>
    <w:rsid w:val="00AD24EC"/>
    <w:rsid w:val="00B01CA9"/>
    <w:rsid w:val="00B309F9"/>
    <w:rsid w:val="00B32B60"/>
    <w:rsid w:val="00B53E3E"/>
    <w:rsid w:val="00B57655"/>
    <w:rsid w:val="00B61619"/>
    <w:rsid w:val="00B95EA2"/>
    <w:rsid w:val="00BB4545"/>
    <w:rsid w:val="00BD5873"/>
    <w:rsid w:val="00BF4B60"/>
    <w:rsid w:val="00C04BE3"/>
    <w:rsid w:val="00C25D29"/>
    <w:rsid w:val="00C27A7C"/>
    <w:rsid w:val="00C42437"/>
    <w:rsid w:val="00CA08ED"/>
    <w:rsid w:val="00CF183B"/>
    <w:rsid w:val="00D13B78"/>
    <w:rsid w:val="00D375CD"/>
    <w:rsid w:val="00D553A2"/>
    <w:rsid w:val="00D72F49"/>
    <w:rsid w:val="00D774D3"/>
    <w:rsid w:val="00D904E8"/>
    <w:rsid w:val="00DA08C3"/>
    <w:rsid w:val="00DB5A3E"/>
    <w:rsid w:val="00DC22AA"/>
    <w:rsid w:val="00DF74DD"/>
    <w:rsid w:val="00E13BE8"/>
    <w:rsid w:val="00E25AD0"/>
    <w:rsid w:val="00E4428F"/>
    <w:rsid w:val="00E93668"/>
    <w:rsid w:val="00E95647"/>
    <w:rsid w:val="00EB6350"/>
    <w:rsid w:val="00F15B57"/>
    <w:rsid w:val="00F25DFB"/>
    <w:rsid w:val="00F35EF4"/>
    <w:rsid w:val="00F37FE5"/>
    <w:rsid w:val="00F427DB"/>
    <w:rsid w:val="00F449D5"/>
    <w:rsid w:val="00F934AE"/>
    <w:rsid w:val="00FA5EB1"/>
    <w:rsid w:val="00FA7439"/>
    <w:rsid w:val="00FB34FD"/>
    <w:rsid w:val="00FC4EC0"/>
    <w:rsid w:val="00FD42E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934AE"/>
    <w:rPr>
      <w:color w:val="0563C1"/>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customStyle="1" w:styleId="Tablefin">
    <w:name w:val="Table_fin"/>
    <w:basedOn w:val="Tabletext"/>
    <w:rsid w:val="001155C7"/>
    <w:pPr>
      <w:spacing w:before="0" w:after="0"/>
    </w:pPr>
  </w:style>
  <w:style w:type="character" w:styleId="UnresolvedMention">
    <w:name w:val="Unresolved Mention"/>
    <w:basedOn w:val="DefaultParagraphFont"/>
    <w:uiPriority w:val="99"/>
    <w:semiHidden/>
    <w:unhideWhenUsed/>
    <w:rsid w:val="0012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39/fr" TargetMode="External"/><Relationship Id="rId18" Type="http://schemas.openxmlformats.org/officeDocument/2006/relationships/hyperlink" Target="https://www.itu.int/md/S24-CL-C-0138/fr" TargetMode="External"/><Relationship Id="rId26" Type="http://schemas.openxmlformats.org/officeDocument/2006/relationships/hyperlink" Target="https://www.itu.int/md/S24-CL-C-0143/fr" TargetMode="External"/><Relationship Id="rId3" Type="http://schemas.openxmlformats.org/officeDocument/2006/relationships/webSettings" Target="webSettings.xml"/><Relationship Id="rId21" Type="http://schemas.openxmlformats.org/officeDocument/2006/relationships/hyperlink" Target="https://www.itu.int/md/S24-CL-C-0124/fr" TargetMode="External"/><Relationship Id="rId34" Type="http://schemas.openxmlformats.org/officeDocument/2006/relationships/theme" Target="theme/theme1.xml"/><Relationship Id="rId7" Type="http://schemas.openxmlformats.org/officeDocument/2006/relationships/hyperlink" Target="https://www.itu.int/md/S24-CL-C-0125/fr" TargetMode="External"/><Relationship Id="rId12" Type="http://schemas.openxmlformats.org/officeDocument/2006/relationships/hyperlink" Target="https://www.itu.int/md/S24-CL-C-0134/fr" TargetMode="External"/><Relationship Id="rId17" Type="http://schemas.openxmlformats.org/officeDocument/2006/relationships/hyperlink" Target="https://www.itu.int/md/S24-CL-C-0137/fr" TargetMode="External"/><Relationship Id="rId25" Type="http://schemas.openxmlformats.org/officeDocument/2006/relationships/hyperlink" Target="https://www.itu.int/md/S24-CL-C-0136/fr"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4-CL-C-0131/fr" TargetMode="External"/><Relationship Id="rId20" Type="http://schemas.openxmlformats.org/officeDocument/2006/relationships/hyperlink" Target="https://www.itu.int/md/S24-CL-C-0141/fr"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tu.int/md/S24-CL-C-0123/fr" TargetMode="External"/><Relationship Id="rId11" Type="http://schemas.openxmlformats.org/officeDocument/2006/relationships/hyperlink" Target="https://www.itu.int/md/S24-CL-C-0133/fr" TargetMode="External"/><Relationship Id="rId24" Type="http://schemas.openxmlformats.org/officeDocument/2006/relationships/hyperlink" Target="https://www.itu.int/md/S24-CL-C-0132/fr"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4-CL-C-0145/en" TargetMode="External"/><Relationship Id="rId23" Type="http://schemas.openxmlformats.org/officeDocument/2006/relationships/hyperlink" Target="https://www.itu.int/md/S24-CL-C-0130/fr" TargetMode="External"/><Relationship Id="rId28" Type="http://schemas.openxmlformats.org/officeDocument/2006/relationships/header" Target="header1.xml"/><Relationship Id="rId10" Type="http://schemas.openxmlformats.org/officeDocument/2006/relationships/hyperlink" Target="https://www.itu.int/md/S24-CL-C-0128/fr" TargetMode="External"/><Relationship Id="rId19" Type="http://schemas.openxmlformats.org/officeDocument/2006/relationships/hyperlink" Target="https://www.itu.int/md/S24-CL-C-0140/fr"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S24-CL-C-0127/fr" TargetMode="External"/><Relationship Id="rId14" Type="http://schemas.openxmlformats.org/officeDocument/2006/relationships/hyperlink" Target="https://www.itu.int/md/S24-CL-C-0142/fr" TargetMode="External"/><Relationship Id="rId22" Type="http://schemas.openxmlformats.org/officeDocument/2006/relationships/hyperlink" Target="https://www.itu.int/md/S24-CL-C-0129/fr" TargetMode="External"/><Relationship Id="rId27" Type="http://schemas.openxmlformats.org/officeDocument/2006/relationships/hyperlink" Target="https://www.itu.int/md/S24-CL-C-0135/fr" TargetMode="External"/><Relationship Id="rId30" Type="http://schemas.openxmlformats.org/officeDocument/2006/relationships/footer" Target="footer2.xml"/><Relationship Id="rId8" Type="http://schemas.openxmlformats.org/officeDocument/2006/relationships/hyperlink" Target="https://www.itu.int/md/S24-CL-C-0126/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491</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4588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GBS</cp:lastModifiedBy>
  <cp:revision>12</cp:revision>
  <cp:lastPrinted>2000-07-18T08:55:00Z</cp:lastPrinted>
  <dcterms:created xsi:type="dcterms:W3CDTF">2024-06-14T09:21:00Z</dcterms:created>
  <dcterms:modified xsi:type="dcterms:W3CDTF">2025-02-25T13:15:00Z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