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1D3F7C8" w14:textId="77777777" w:rsidTr="00C538FC">
        <w:trPr>
          <w:cantSplit/>
          <w:trHeight w:val="23"/>
        </w:trPr>
        <w:tc>
          <w:tcPr>
            <w:tcW w:w="3969" w:type="dxa"/>
            <w:vMerge w:val="restart"/>
            <w:tcMar>
              <w:left w:w="0" w:type="dxa"/>
            </w:tcMar>
          </w:tcPr>
          <w:p w14:paraId="22562606" w14:textId="6D88F196" w:rsidR="00FE57F6" w:rsidRPr="00E85629" w:rsidRDefault="00FE57F6" w:rsidP="00D43B85">
            <w:pPr>
              <w:tabs>
                <w:tab w:val="left" w:pos="851"/>
              </w:tabs>
              <w:spacing w:before="0" w:line="240" w:lineRule="atLeast"/>
              <w:rPr>
                <w:b/>
              </w:rPr>
            </w:pPr>
            <w:bookmarkStart w:id="0" w:name="_Hlk133421839"/>
          </w:p>
        </w:tc>
        <w:tc>
          <w:tcPr>
            <w:tcW w:w="5245" w:type="dxa"/>
          </w:tcPr>
          <w:p w14:paraId="5DFD8494" w14:textId="68F39D2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07310A">
              <w:rPr>
                <w:b/>
              </w:rPr>
              <w:t>143</w:t>
            </w:r>
            <w:r>
              <w:rPr>
                <w:b/>
              </w:rPr>
              <w:t>-</w:t>
            </w:r>
            <w:r w:rsidR="00F24B71">
              <w:rPr>
                <w:b/>
              </w:rPr>
              <w:t>S</w:t>
            </w:r>
          </w:p>
        </w:tc>
      </w:tr>
      <w:tr w:rsidR="00FE57F6" w:rsidRPr="00813E5E" w14:paraId="586F4349" w14:textId="77777777" w:rsidTr="00C538FC">
        <w:trPr>
          <w:cantSplit/>
        </w:trPr>
        <w:tc>
          <w:tcPr>
            <w:tcW w:w="3969" w:type="dxa"/>
            <w:vMerge/>
          </w:tcPr>
          <w:p w14:paraId="1BD5A194" w14:textId="77777777" w:rsidR="00FE57F6" w:rsidRPr="00813E5E" w:rsidRDefault="00FE57F6" w:rsidP="00C538FC">
            <w:pPr>
              <w:tabs>
                <w:tab w:val="left" w:pos="851"/>
              </w:tabs>
              <w:spacing w:line="240" w:lineRule="atLeast"/>
              <w:rPr>
                <w:b/>
              </w:rPr>
            </w:pPr>
          </w:p>
        </w:tc>
        <w:tc>
          <w:tcPr>
            <w:tcW w:w="5245" w:type="dxa"/>
          </w:tcPr>
          <w:p w14:paraId="6DA47026" w14:textId="5387250F" w:rsidR="00FE57F6" w:rsidRPr="00E85629" w:rsidRDefault="00ED7226" w:rsidP="00C538FC">
            <w:pPr>
              <w:tabs>
                <w:tab w:val="left" w:pos="851"/>
              </w:tabs>
              <w:spacing w:before="0"/>
              <w:jc w:val="right"/>
              <w:rPr>
                <w:b/>
              </w:rPr>
            </w:pPr>
            <w:r>
              <w:rPr>
                <w:b/>
              </w:rPr>
              <w:t>14 de junio de</w:t>
            </w:r>
            <w:r w:rsidR="00FE57F6">
              <w:rPr>
                <w:b/>
              </w:rPr>
              <w:t xml:space="preserve"> 202</w:t>
            </w:r>
            <w:r w:rsidR="0064481D">
              <w:rPr>
                <w:b/>
              </w:rPr>
              <w:t>4</w:t>
            </w:r>
          </w:p>
        </w:tc>
      </w:tr>
      <w:tr w:rsidR="00FE57F6" w:rsidRPr="00F24B71" w14:paraId="1A9FAC66" w14:textId="77777777" w:rsidTr="00C538FC">
        <w:trPr>
          <w:cantSplit/>
          <w:trHeight w:val="23"/>
        </w:trPr>
        <w:tc>
          <w:tcPr>
            <w:tcW w:w="3969" w:type="dxa"/>
            <w:vMerge/>
          </w:tcPr>
          <w:p w14:paraId="3F752D7F" w14:textId="77777777" w:rsidR="00FE57F6" w:rsidRPr="00813E5E" w:rsidRDefault="00FE57F6" w:rsidP="00C538FC">
            <w:pPr>
              <w:tabs>
                <w:tab w:val="left" w:pos="851"/>
              </w:tabs>
              <w:spacing w:line="240" w:lineRule="atLeast"/>
              <w:rPr>
                <w:b/>
              </w:rPr>
            </w:pPr>
          </w:p>
        </w:tc>
        <w:tc>
          <w:tcPr>
            <w:tcW w:w="5245" w:type="dxa"/>
          </w:tcPr>
          <w:p w14:paraId="0D5F4325"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7A89BE17" w14:textId="77777777" w:rsidTr="00C538FC">
        <w:trPr>
          <w:cantSplit/>
          <w:trHeight w:val="23"/>
        </w:trPr>
        <w:tc>
          <w:tcPr>
            <w:tcW w:w="3969" w:type="dxa"/>
          </w:tcPr>
          <w:p w14:paraId="7AA5833E" w14:textId="77777777" w:rsidR="00FE57F6" w:rsidRPr="00813E5E" w:rsidRDefault="00FE57F6" w:rsidP="00C538FC">
            <w:pPr>
              <w:tabs>
                <w:tab w:val="left" w:pos="851"/>
              </w:tabs>
              <w:spacing w:line="240" w:lineRule="atLeast"/>
              <w:rPr>
                <w:b/>
              </w:rPr>
            </w:pPr>
          </w:p>
        </w:tc>
        <w:tc>
          <w:tcPr>
            <w:tcW w:w="5245" w:type="dxa"/>
          </w:tcPr>
          <w:p w14:paraId="3AA8D896" w14:textId="77777777" w:rsidR="00FE57F6" w:rsidRDefault="00FE57F6" w:rsidP="00C538FC">
            <w:pPr>
              <w:tabs>
                <w:tab w:val="left" w:pos="851"/>
              </w:tabs>
              <w:spacing w:before="0" w:line="240" w:lineRule="atLeast"/>
              <w:jc w:val="right"/>
              <w:rPr>
                <w:b/>
              </w:rPr>
            </w:pPr>
          </w:p>
        </w:tc>
      </w:tr>
    </w:tbl>
    <w:p w14:paraId="79989B32" w14:textId="5A259F27" w:rsidR="00ED7226" w:rsidRPr="007A2ED7" w:rsidRDefault="00ED7226" w:rsidP="00ED7226">
      <w:pPr>
        <w:pStyle w:val="RecNo"/>
      </w:pPr>
      <w:bookmarkStart w:id="1" w:name="_Hlk37226918"/>
      <w:bookmarkEnd w:id="0"/>
      <w:r w:rsidRPr="007A2ED7">
        <w:t xml:space="preserve">acuerdo </w:t>
      </w:r>
      <w:r w:rsidR="0007310A">
        <w:t>642</w:t>
      </w:r>
    </w:p>
    <w:p w14:paraId="12399368" w14:textId="4542EC39" w:rsidR="006471DA" w:rsidRDefault="006471DA" w:rsidP="006471DA">
      <w:pPr>
        <w:pStyle w:val="Resref"/>
        <w:rPr>
          <w:lang w:val="es-ES"/>
        </w:rPr>
      </w:pPr>
      <w:r>
        <w:t xml:space="preserve">(adoptado </w:t>
      </w:r>
      <w:r w:rsidRPr="006471DA">
        <w:t>en</w:t>
      </w:r>
      <w:r>
        <w:t xml:space="preserve"> la duodécima Sesión Plenaria)</w:t>
      </w:r>
    </w:p>
    <w:p w14:paraId="6E86BCBB" w14:textId="77777777" w:rsidR="00ED7226" w:rsidRPr="007A2ED7" w:rsidRDefault="00ED7226" w:rsidP="00ED7226">
      <w:pPr>
        <w:pStyle w:val="Rectitle"/>
      </w:pPr>
      <w:bookmarkStart w:id="2" w:name="_Hlk171521470"/>
      <w:r w:rsidRPr="007A2ED7">
        <w:t>Fechas y duración propuestas para las reuniones de 202</w:t>
      </w:r>
      <w:r>
        <w:t>4</w:t>
      </w:r>
      <w:r w:rsidRPr="007A2ED7">
        <w:t>, 202</w:t>
      </w:r>
      <w:r>
        <w:t>5</w:t>
      </w:r>
      <w:r w:rsidRPr="007A2ED7">
        <w:t xml:space="preserve"> y 202</w:t>
      </w:r>
      <w:r>
        <w:t>6</w:t>
      </w:r>
      <w:r w:rsidRPr="007A2ED7">
        <w:t xml:space="preserve"> </w:t>
      </w:r>
      <w:r>
        <w:br/>
      </w:r>
      <w:r w:rsidRPr="007A2ED7">
        <w:t>del Consejo y fechas propuestas para las series de reuniones</w:t>
      </w:r>
      <w:r w:rsidRPr="007A2ED7">
        <w:br/>
        <w:t>de los Grupos de Trabajo y Grupos de Expertos</w:t>
      </w:r>
      <w:r w:rsidRPr="007A2ED7">
        <w:br/>
        <w:t>del Consejo para 202</w:t>
      </w:r>
      <w:r>
        <w:t>4</w:t>
      </w:r>
      <w:r w:rsidRPr="007A2ED7">
        <w:t>, 202</w:t>
      </w:r>
      <w:r>
        <w:t>5</w:t>
      </w:r>
      <w:r w:rsidRPr="007A2ED7">
        <w:t xml:space="preserve"> y 202</w:t>
      </w:r>
      <w:r>
        <w:t>6</w:t>
      </w:r>
      <w:bookmarkEnd w:id="2"/>
    </w:p>
    <w:bookmarkEnd w:id="1"/>
    <w:p w14:paraId="42033D9B" w14:textId="77777777" w:rsidR="00ED7226" w:rsidRPr="007A2ED7" w:rsidRDefault="00ED7226" w:rsidP="00ED7226">
      <w:pPr>
        <w:pStyle w:val="Normalaftertitle"/>
      </w:pPr>
      <w:r w:rsidRPr="007A2ED7">
        <w:t>El Consejo de la UIT,</w:t>
      </w:r>
    </w:p>
    <w:p w14:paraId="115F3DE6" w14:textId="77777777" w:rsidR="00ED7226" w:rsidRPr="007A2ED7" w:rsidRDefault="00ED7226" w:rsidP="00ED7226">
      <w:pPr>
        <w:pStyle w:val="Call"/>
      </w:pPr>
      <w:r w:rsidRPr="007A2ED7">
        <w:t>teniendo presente</w:t>
      </w:r>
    </w:p>
    <w:p w14:paraId="0DD66B30" w14:textId="77777777" w:rsidR="00ED7226" w:rsidRPr="007A2ED7" w:rsidRDefault="00ED7226" w:rsidP="00ED7226">
      <w:r w:rsidRPr="007A2ED7">
        <w:rPr>
          <w:i/>
          <w:iCs/>
        </w:rPr>
        <w:t>a)</w:t>
      </w:r>
      <w:r w:rsidRPr="007A2ED7">
        <w:tab/>
        <w:t>la Resolución</w:t>
      </w:r>
      <w:r>
        <w:t> </w:t>
      </w:r>
      <w:r w:rsidRPr="007A2ED7">
        <w:t>77 (Rev. Bucarest, 2022) de la Conferencia de Plenipotenciarios, en la que se encarga al Consejo "que, en cada reunión ordinaria, planifique sus próximas tres reuniones ordinarias para el periodo junio-julio y examine dicha planificación de manera continua";</w:t>
      </w:r>
    </w:p>
    <w:p w14:paraId="75DAC09D" w14:textId="77777777" w:rsidR="00ED7226" w:rsidRPr="007A2ED7" w:rsidRDefault="00ED7226" w:rsidP="00ED7226">
      <w:r w:rsidRPr="007A2ED7">
        <w:rPr>
          <w:i/>
          <w:iCs/>
        </w:rPr>
        <w:t>b)</w:t>
      </w:r>
      <w:r w:rsidRPr="007A2ED7">
        <w:rPr>
          <w:i/>
          <w:iCs/>
        </w:rPr>
        <w:tab/>
      </w:r>
      <w:r w:rsidRPr="007A2ED7">
        <w:t>la Resolución</w:t>
      </w:r>
      <w:r>
        <w:t> </w:t>
      </w:r>
      <w:r w:rsidRPr="007A2ED7">
        <w:t xml:space="preserve">111 (Rev. </w:t>
      </w:r>
      <w:proofErr w:type="spellStart"/>
      <w:r w:rsidRPr="007A2ED7">
        <w:t>Busán</w:t>
      </w:r>
      <w:proofErr w:type="spellEnd"/>
      <w:r w:rsidRPr="007A2ED7">
        <w:t>,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641C3F5E" w14:textId="77777777" w:rsidR="00ED7226" w:rsidRPr="007A2ED7" w:rsidRDefault="00ED7226" w:rsidP="00ED7226">
      <w:r w:rsidRPr="007A2ED7">
        <w:rPr>
          <w:i/>
        </w:rPr>
        <w:t>c)</w:t>
      </w:r>
      <w:r w:rsidRPr="007A2ED7">
        <w:tab/>
        <w:t>el Acuerdo</w:t>
      </w:r>
      <w:r>
        <w:t> </w:t>
      </w:r>
      <w:r w:rsidRPr="007A2ED7">
        <w:t>619 sobre el Edificio de la Sede adoptado en la reunión adicional del Consejo de 2019,</w:t>
      </w:r>
    </w:p>
    <w:p w14:paraId="2AB7EE90" w14:textId="77777777" w:rsidR="00ED7226" w:rsidRPr="007A2ED7" w:rsidRDefault="00ED7226" w:rsidP="00ED7226">
      <w:pPr>
        <w:pStyle w:val="Call"/>
      </w:pPr>
      <w:r w:rsidRPr="007A2ED7">
        <w:t>recordando</w:t>
      </w:r>
    </w:p>
    <w:p w14:paraId="6D47D5FD" w14:textId="77777777" w:rsidR="00ED7226" w:rsidRPr="007A2ED7" w:rsidRDefault="00ED7226" w:rsidP="00ED7226">
      <w:r w:rsidRPr="007A2ED7">
        <w:t>que, en el Acuerdo</w:t>
      </w:r>
      <w:r>
        <w:t> </w:t>
      </w:r>
      <w:r w:rsidRPr="007A2ED7">
        <w:t>6</w:t>
      </w:r>
      <w:r>
        <w:t>35</w:t>
      </w:r>
      <w:r w:rsidRPr="007A2ED7">
        <w:t xml:space="preserve"> (C2</w:t>
      </w:r>
      <w:r>
        <w:t>3</w:t>
      </w:r>
      <w:r w:rsidRPr="007A2ED7">
        <w:t xml:space="preserve">) del Consejo, se confirman las fechas y duración de las reuniones de 2024, 2025 y 2026 del Consejo, y de las series de reuniones de los Grupos de Trabajo y Grupos de Expertos del Consejo para </w:t>
      </w:r>
      <w:r>
        <w:t>el mismo periodo</w:t>
      </w:r>
      <w:r w:rsidRPr="007A2ED7">
        <w:t>,</w:t>
      </w:r>
    </w:p>
    <w:p w14:paraId="77E93648" w14:textId="77777777" w:rsidR="00ED7226" w:rsidRPr="007A2ED7" w:rsidRDefault="00ED7226" w:rsidP="00ED7226">
      <w:pPr>
        <w:pStyle w:val="Call"/>
      </w:pPr>
      <w:r w:rsidRPr="007A2ED7">
        <w:t>considerando</w:t>
      </w:r>
    </w:p>
    <w:p w14:paraId="48D44D3C" w14:textId="77777777" w:rsidR="00ED7226" w:rsidRPr="007A2ED7" w:rsidRDefault="00ED7226" w:rsidP="00ED7226">
      <w:r w:rsidRPr="007A2ED7">
        <w:t>la necesidad de programar las reuniones ordinarias del Consejo, dentro de lo posible, en la misma época del año para facilitar la disposición de los demás eventos de la UIT,</w:t>
      </w:r>
    </w:p>
    <w:p w14:paraId="13A3D1FD" w14:textId="77777777" w:rsidR="00ED7226" w:rsidRPr="007A2ED7" w:rsidRDefault="00ED7226" w:rsidP="00ED7226">
      <w:pPr>
        <w:pStyle w:val="Call"/>
      </w:pPr>
      <w:proofErr w:type="gramStart"/>
      <w:r w:rsidRPr="007A2ED7">
        <w:t>considerando</w:t>
      </w:r>
      <w:proofErr w:type="gramEnd"/>
      <w:r w:rsidRPr="007A2ED7">
        <w:t xml:space="preserve"> además</w:t>
      </w:r>
    </w:p>
    <w:p w14:paraId="0EBB8C90" w14:textId="77777777" w:rsidR="00ED7226" w:rsidRPr="007A2ED7" w:rsidRDefault="00ED7226" w:rsidP="00ED7226">
      <w:r w:rsidRPr="007A2ED7">
        <w:t>la necesidad de organizar la reunión ordinaria del Consejo del año en que se celebra la Conferencia de Plenipotenciarios (PP) con suficiente antelación para permitir que los informes del Consejo que deban ser objeto de examen la PP se publiquen con un margen de tiempo razonable,</w:t>
      </w:r>
    </w:p>
    <w:p w14:paraId="4C0C25E3" w14:textId="77777777" w:rsidR="00ED7226" w:rsidRPr="007A2ED7" w:rsidRDefault="00ED7226" w:rsidP="00ED7226">
      <w:pPr>
        <w:pStyle w:val="Call"/>
      </w:pPr>
      <w:r w:rsidRPr="007A2ED7">
        <w:lastRenderedPageBreak/>
        <w:t>destacando</w:t>
      </w:r>
    </w:p>
    <w:p w14:paraId="09164A70" w14:textId="77777777" w:rsidR="00ED7226" w:rsidRPr="007A2ED7" w:rsidRDefault="00ED7226" w:rsidP="00ED7226">
      <w:r w:rsidRPr="007A2ED7">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37325D6A" w14:textId="77777777" w:rsidR="00ED7226" w:rsidRPr="007A2ED7" w:rsidRDefault="00ED7226" w:rsidP="00ED7226">
      <w:pPr>
        <w:pStyle w:val="Call"/>
      </w:pPr>
      <w:bookmarkStart w:id="3" w:name="_Hlk70323209"/>
      <w:r w:rsidRPr="007A2ED7">
        <w:t>consciente</w:t>
      </w:r>
    </w:p>
    <w:p w14:paraId="2236843A" w14:textId="77777777" w:rsidR="00ED7226" w:rsidRPr="007A2ED7" w:rsidRDefault="00ED7226" w:rsidP="00ED7226">
      <w:r w:rsidRPr="007A2ED7">
        <w:t>de la Decisión</w:t>
      </w:r>
      <w:r>
        <w:t> </w:t>
      </w:r>
      <w:r w:rsidRPr="007A2ED7">
        <w:t>11 (Rev. Bucarest, 2022) de la Conferencia de Plenipotenciarios, relativa a la creación y gestión de los Grupos de Trabajo del Consejo, que remite al Anexo</w:t>
      </w:r>
      <w:r>
        <w:t> </w:t>
      </w:r>
      <w:r w:rsidRPr="007A2ED7">
        <w:t>2 a la Decisión</w:t>
      </w:r>
      <w:r>
        <w:t> </w:t>
      </w:r>
      <w:r w:rsidRPr="007A2ED7">
        <w:t>5 (Rev. Bucarest, 2022) de la misma Conferencia, sobre medidas destinadas a reducir gastos,</w:t>
      </w:r>
    </w:p>
    <w:p w14:paraId="207B5AF2" w14:textId="77777777" w:rsidR="00ED7226" w:rsidRPr="007A2ED7" w:rsidRDefault="00ED7226" w:rsidP="00ED7226">
      <w:pPr>
        <w:pStyle w:val="Call"/>
      </w:pPr>
      <w:r w:rsidRPr="007A2ED7">
        <w:t>acuerda</w:t>
      </w:r>
    </w:p>
    <w:bookmarkEnd w:id="3"/>
    <w:p w14:paraId="375CC065" w14:textId="77777777" w:rsidR="00ED7226" w:rsidRPr="007A2ED7" w:rsidRDefault="00ED7226" w:rsidP="00ED7226">
      <w:r w:rsidRPr="007A2ED7">
        <w:t>1</w:t>
      </w:r>
      <w:r w:rsidRPr="007A2ED7">
        <w:tab/>
        <w:t>que la reunión de 202</w:t>
      </w:r>
      <w:r>
        <w:t>5</w:t>
      </w:r>
      <w:r w:rsidRPr="007A2ED7">
        <w:t xml:space="preserve"> del Consejo se celebre en Ginebra durante un periodo de </w:t>
      </w:r>
      <w:r>
        <w:t>nueve</w:t>
      </w:r>
      <w:r w:rsidRPr="007A2ED7">
        <w:t> días laborables y que las series de reuniones de los GTC y GE se celebren en las fechas siguientes:</w:t>
      </w:r>
    </w:p>
    <w:p w14:paraId="7C4DAB4B" w14:textId="77777777" w:rsidR="00ED7226" w:rsidRPr="007A2ED7" w:rsidRDefault="00ED7226" w:rsidP="00ED7226">
      <w:pPr>
        <w:pStyle w:val="enumlev1"/>
      </w:pPr>
      <w:r>
        <w:t>–</w:t>
      </w:r>
      <w:r>
        <w:tab/>
      </w:r>
      <w:r w:rsidRPr="007A2ED7">
        <w:t xml:space="preserve">primera serie de reuniones: del lunes </w:t>
      </w:r>
      <w:r>
        <w:t>10 de febrero</w:t>
      </w:r>
      <w:r w:rsidRPr="007A2ED7">
        <w:t xml:space="preserve"> al viernes 2</w:t>
      </w:r>
      <w:r>
        <w:t>1</w:t>
      </w:r>
      <w:r w:rsidRPr="007A2ED7">
        <w:t xml:space="preserve"> de febrero </w:t>
      </w:r>
      <w:r>
        <w:t>de 2025;</w:t>
      </w:r>
    </w:p>
    <w:p w14:paraId="4AB15CD3" w14:textId="61B73589" w:rsidR="00ED7226" w:rsidRPr="007A2ED7" w:rsidRDefault="00ED7226" w:rsidP="00ED7226">
      <w:pPr>
        <w:pStyle w:val="enumlev1"/>
      </w:pPr>
      <w:r>
        <w:t>–</w:t>
      </w:r>
      <w:r>
        <w:tab/>
      </w:r>
      <w:r w:rsidRPr="007A2ED7">
        <w:rPr>
          <w:b/>
          <w:bCs/>
        </w:rPr>
        <w:t>reunión de 202</w:t>
      </w:r>
      <w:r>
        <w:rPr>
          <w:b/>
          <w:bCs/>
        </w:rPr>
        <w:t>5</w:t>
      </w:r>
      <w:r w:rsidRPr="007A2ED7">
        <w:rPr>
          <w:b/>
          <w:bCs/>
        </w:rPr>
        <w:t xml:space="preserve"> del Consejo: del martes </w:t>
      </w:r>
      <w:r>
        <w:rPr>
          <w:b/>
          <w:bCs/>
        </w:rPr>
        <w:t>17 de junio</w:t>
      </w:r>
      <w:r w:rsidRPr="007A2ED7">
        <w:rPr>
          <w:b/>
          <w:bCs/>
        </w:rPr>
        <w:t xml:space="preserve"> al </w:t>
      </w:r>
      <w:r>
        <w:rPr>
          <w:b/>
          <w:bCs/>
        </w:rPr>
        <w:t>viernes 27 de junio de 2025</w:t>
      </w:r>
      <w:r>
        <w:t>;</w:t>
      </w:r>
    </w:p>
    <w:p w14:paraId="1142D8CE" w14:textId="62A7A0BA" w:rsidR="00ED7226" w:rsidRPr="007A2ED7" w:rsidRDefault="00ED7226" w:rsidP="00ED7226">
      <w:pPr>
        <w:pStyle w:val="enumlev1"/>
      </w:pPr>
      <w:r>
        <w:t>–</w:t>
      </w:r>
      <w:r>
        <w:tab/>
      </w:r>
      <w:r w:rsidRPr="007A2ED7">
        <w:t xml:space="preserve">segunda serie de reuniones: del lunes </w:t>
      </w:r>
      <w:r>
        <w:t>8</w:t>
      </w:r>
      <w:r w:rsidRPr="007A2ED7">
        <w:t xml:space="preserve"> de septiembre al viernes 1</w:t>
      </w:r>
      <w:r>
        <w:t>9</w:t>
      </w:r>
      <w:r w:rsidRPr="007A2ED7">
        <w:t xml:space="preserve"> de </w:t>
      </w:r>
      <w:r>
        <w:t>septiembre de 2025</w:t>
      </w:r>
      <w:r w:rsidR="00232488">
        <w:t>;</w:t>
      </w:r>
    </w:p>
    <w:p w14:paraId="4C841B9F" w14:textId="77777777" w:rsidR="00ED7226" w:rsidRPr="007A2ED7" w:rsidRDefault="00ED7226" w:rsidP="00ED7226">
      <w:r w:rsidRPr="007A2ED7">
        <w:t>2</w:t>
      </w:r>
      <w:r w:rsidRPr="007A2ED7">
        <w:tab/>
        <w:t>que la reunión ordinaria del Consejo de 202</w:t>
      </w:r>
      <w:r>
        <w:t>6</w:t>
      </w:r>
      <w:r w:rsidRPr="007A2ED7">
        <w:t xml:space="preserve"> se celebre en Ginebra durante un periodo de </w:t>
      </w:r>
      <w:r>
        <w:t>nueve</w:t>
      </w:r>
      <w:r w:rsidRPr="007A2ED7">
        <w:t> días laborables y que las series de reuniones de los GTC y GE se celebren en las fechas siguientes:</w:t>
      </w:r>
    </w:p>
    <w:p w14:paraId="032472DD" w14:textId="77777777" w:rsidR="00ED7226" w:rsidRPr="007A2ED7" w:rsidRDefault="00ED7226" w:rsidP="00ED7226">
      <w:pPr>
        <w:pStyle w:val="enumlev1"/>
      </w:pPr>
      <w:r>
        <w:t>–</w:t>
      </w:r>
      <w:r>
        <w:tab/>
      </w:r>
      <w:r w:rsidRPr="007A2ED7">
        <w:t>primera serie de reuniones: del lunes 1</w:t>
      </w:r>
      <w:r>
        <w:t>2 de enero</w:t>
      </w:r>
      <w:r w:rsidRPr="007A2ED7">
        <w:t xml:space="preserve"> al viernes 2</w:t>
      </w:r>
      <w:r>
        <w:t>3 de enero de 2026;</w:t>
      </w:r>
    </w:p>
    <w:p w14:paraId="2857426E" w14:textId="1F7E5041" w:rsidR="00ED7226" w:rsidRPr="007A2ED7" w:rsidRDefault="00ED7226" w:rsidP="00ED7226">
      <w:pPr>
        <w:pStyle w:val="enumlev1"/>
      </w:pPr>
      <w:r>
        <w:t>–</w:t>
      </w:r>
      <w:r>
        <w:tab/>
      </w:r>
      <w:r w:rsidRPr="007A2ED7">
        <w:rPr>
          <w:b/>
          <w:bCs/>
        </w:rPr>
        <w:t>reunión de 202</w:t>
      </w:r>
      <w:r>
        <w:rPr>
          <w:b/>
          <w:bCs/>
        </w:rPr>
        <w:t>6</w:t>
      </w:r>
      <w:r w:rsidRPr="007A2ED7">
        <w:rPr>
          <w:b/>
          <w:bCs/>
        </w:rPr>
        <w:t xml:space="preserve"> del Consejo: del martes </w:t>
      </w:r>
      <w:r>
        <w:rPr>
          <w:b/>
          <w:bCs/>
        </w:rPr>
        <w:t>28 de abril al viernes 8 de mayo de 2026</w:t>
      </w:r>
      <w:r>
        <w:t xml:space="preserve">, cuya última sesión se celebrará el sábado 7 de noviembre de </w:t>
      </w:r>
      <w:r w:rsidRPr="007F3FDB">
        <w:t>2026</w:t>
      </w:r>
      <w:r>
        <w:t>, víspera del inicio de la Conferencia de Plenipotenciarios de 2026</w:t>
      </w:r>
      <w:r w:rsidR="00232488">
        <w:t>;</w:t>
      </w:r>
    </w:p>
    <w:p w14:paraId="369C4E01" w14:textId="77777777" w:rsidR="00ED7226" w:rsidRPr="007A2ED7" w:rsidRDefault="00ED7226" w:rsidP="00ED7226">
      <w:r w:rsidRPr="007A2ED7">
        <w:t>3</w:t>
      </w:r>
      <w:r w:rsidRPr="007A2ED7">
        <w:tab/>
        <w:t>que la reunión ordinaria del Consejo de 202</w:t>
      </w:r>
      <w:r>
        <w:t>7</w:t>
      </w:r>
      <w:r w:rsidRPr="007A2ED7">
        <w:t xml:space="preserve"> se celebre en Ginebra durante un periodo de </w:t>
      </w:r>
      <w:r>
        <w:t>nueve</w:t>
      </w:r>
      <w:r w:rsidRPr="007A2ED7">
        <w:t> días laborables y que las series de reuniones de los GTC y GE se celebren en las fechas siguientes:</w:t>
      </w:r>
    </w:p>
    <w:p w14:paraId="25695741" w14:textId="50840273" w:rsidR="00ED7226" w:rsidRPr="007A2ED7" w:rsidRDefault="00ED7226" w:rsidP="00ED7226">
      <w:pPr>
        <w:pStyle w:val="enumlev1"/>
      </w:pPr>
      <w:r>
        <w:t>–</w:t>
      </w:r>
      <w:r>
        <w:tab/>
        <w:t>primera</w:t>
      </w:r>
      <w:r w:rsidRPr="007A2ED7">
        <w:t xml:space="preserve"> serie de reuniones: del lunes </w:t>
      </w:r>
      <w:r>
        <w:t>18</w:t>
      </w:r>
      <w:r w:rsidRPr="007A2ED7">
        <w:t xml:space="preserve"> de enero al viernes </w:t>
      </w:r>
      <w:r w:rsidR="00383D40">
        <w:t>29</w:t>
      </w:r>
      <w:r>
        <w:t xml:space="preserve"> de enero de 2027;</w:t>
      </w:r>
    </w:p>
    <w:p w14:paraId="554518C0" w14:textId="77777777" w:rsidR="00ED7226" w:rsidRDefault="00ED7226" w:rsidP="00ED7226">
      <w:pPr>
        <w:pStyle w:val="enumlev1"/>
      </w:pPr>
      <w:r>
        <w:t>–</w:t>
      </w:r>
      <w:r>
        <w:tab/>
      </w:r>
      <w:r w:rsidRPr="007A2ED7">
        <w:rPr>
          <w:b/>
          <w:bCs/>
        </w:rPr>
        <w:t>reunión de 202</w:t>
      </w:r>
      <w:r>
        <w:rPr>
          <w:b/>
          <w:bCs/>
        </w:rPr>
        <w:t>7</w:t>
      </w:r>
      <w:r w:rsidRPr="007A2ED7">
        <w:rPr>
          <w:b/>
          <w:bCs/>
        </w:rPr>
        <w:t xml:space="preserve"> del Consejo: del martes 8 de </w:t>
      </w:r>
      <w:r>
        <w:rPr>
          <w:b/>
          <w:bCs/>
        </w:rPr>
        <w:t>junio</w:t>
      </w:r>
      <w:r w:rsidRPr="007A2ED7">
        <w:rPr>
          <w:b/>
          <w:bCs/>
        </w:rPr>
        <w:t xml:space="preserve"> al </w:t>
      </w:r>
      <w:r>
        <w:rPr>
          <w:b/>
          <w:bCs/>
        </w:rPr>
        <w:t>viernes 18 de junio de 2027</w:t>
      </w:r>
      <w:r w:rsidRPr="004960B1">
        <w:t>;</w:t>
      </w:r>
    </w:p>
    <w:p w14:paraId="2BB91019" w14:textId="6423C10B" w:rsidR="00ED7226" w:rsidRDefault="00ED7226" w:rsidP="007C3C3B">
      <w:pPr>
        <w:pStyle w:val="enumlev1"/>
      </w:pPr>
      <w:r>
        <w:t>–</w:t>
      </w:r>
      <w:r>
        <w:tab/>
      </w:r>
      <w:r w:rsidR="007C3C3B">
        <w:t xml:space="preserve">segunda </w:t>
      </w:r>
      <w:r>
        <w:t>serie de reuniones: del lunes 30 de agosto al viernes 10 de septiembre de 2027.</w:t>
      </w:r>
    </w:p>
    <w:p w14:paraId="100D91BE" w14:textId="77777777" w:rsidR="007C3C3B" w:rsidRDefault="007C3C3B" w:rsidP="00ED7226"/>
    <w:p w14:paraId="46F31980" w14:textId="77777777" w:rsidR="007C3C3B" w:rsidRDefault="007C3C3B" w:rsidP="0032202E">
      <w:pPr>
        <w:pStyle w:val="Reasons"/>
      </w:pPr>
    </w:p>
    <w:p w14:paraId="77262CC5" w14:textId="77777777" w:rsidR="007C3C3B" w:rsidRDefault="007C3C3B">
      <w:pPr>
        <w:jc w:val="center"/>
      </w:pPr>
      <w:r>
        <w:t>______________</w:t>
      </w:r>
    </w:p>
    <w:sectPr w:rsidR="007C3C3B"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61F" w14:textId="77777777" w:rsidR="00ED7226" w:rsidRDefault="00ED7226">
      <w:r>
        <w:separator/>
      </w:r>
    </w:p>
  </w:endnote>
  <w:endnote w:type="continuationSeparator" w:id="0">
    <w:p w14:paraId="5890F09D" w14:textId="77777777" w:rsidR="00ED7226" w:rsidRDefault="00ED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B859C2A" w14:textId="77777777" w:rsidTr="00E31DCE">
      <w:trPr>
        <w:jc w:val="center"/>
      </w:trPr>
      <w:tc>
        <w:tcPr>
          <w:tcW w:w="1803" w:type="dxa"/>
          <w:vAlign w:val="center"/>
        </w:tcPr>
        <w:p w14:paraId="7A314111" w14:textId="22E2B6E4" w:rsidR="003273A4" w:rsidRDefault="00BB5FDF" w:rsidP="003273A4">
          <w:pPr>
            <w:pStyle w:val="Header"/>
            <w:jc w:val="left"/>
            <w:rPr>
              <w:noProof/>
            </w:rPr>
          </w:pPr>
          <w:r w:rsidRPr="00BB5FDF">
            <w:rPr>
              <w:noProof/>
            </w:rPr>
            <w:t>R2401125</w:t>
          </w:r>
        </w:p>
      </w:tc>
      <w:tc>
        <w:tcPr>
          <w:tcW w:w="8261" w:type="dxa"/>
        </w:tcPr>
        <w:p w14:paraId="4E9A2B8D" w14:textId="7529F8E3" w:rsidR="003273A4" w:rsidRPr="00E06FD5" w:rsidRDefault="003273A4" w:rsidP="006471DA">
          <w:pPr>
            <w:pStyle w:val="Header"/>
            <w:tabs>
              <w:tab w:val="left" w:pos="6877"/>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7310A">
            <w:rPr>
              <w:bCs/>
            </w:rPr>
            <w:t>143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FC4A5D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F5DCEE6" w14:textId="77777777" w:rsidTr="00E31DCE">
      <w:trPr>
        <w:jc w:val="center"/>
      </w:trPr>
      <w:tc>
        <w:tcPr>
          <w:tcW w:w="1803" w:type="dxa"/>
          <w:vAlign w:val="center"/>
        </w:tcPr>
        <w:p w14:paraId="1ACA6793" w14:textId="77777777" w:rsidR="00F24B71" w:rsidRDefault="00F24B71" w:rsidP="00F24B71">
          <w:pPr>
            <w:pStyle w:val="Header"/>
            <w:jc w:val="left"/>
            <w:rPr>
              <w:noProof/>
            </w:rPr>
          </w:pPr>
          <w:r w:rsidRPr="0064481D">
            <w:rPr>
              <w:color w:val="0563C1"/>
              <w:szCs w:val="14"/>
            </w:rPr>
            <w:t>www.itu.int/council</w:t>
          </w:r>
        </w:p>
      </w:tc>
      <w:tc>
        <w:tcPr>
          <w:tcW w:w="8261" w:type="dxa"/>
        </w:tcPr>
        <w:p w14:paraId="61F42C8C" w14:textId="041650AC" w:rsidR="00F24B71" w:rsidRPr="00E06FD5" w:rsidRDefault="00F24B71" w:rsidP="006471DA">
          <w:pPr>
            <w:pStyle w:val="Header"/>
            <w:tabs>
              <w:tab w:val="left" w:pos="6877"/>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7310A">
            <w:rPr>
              <w:bCs/>
            </w:rPr>
            <w:t>143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CD737C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BBA8" w14:textId="77777777" w:rsidR="00ED7226" w:rsidRDefault="00ED7226">
      <w:r>
        <w:t>____________________</w:t>
      </w:r>
    </w:p>
  </w:footnote>
  <w:footnote w:type="continuationSeparator" w:id="0">
    <w:p w14:paraId="720E303B" w14:textId="77777777" w:rsidR="00ED7226" w:rsidRDefault="00ED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427AA90" w14:textId="77777777" w:rsidTr="00E31DCE">
      <w:trPr>
        <w:trHeight w:val="1104"/>
        <w:jc w:val="center"/>
      </w:trPr>
      <w:tc>
        <w:tcPr>
          <w:tcW w:w="4390" w:type="dxa"/>
          <w:vAlign w:val="center"/>
        </w:tcPr>
        <w:p w14:paraId="07AE8398" w14:textId="77777777" w:rsidR="001559F5" w:rsidRPr="009621F8" w:rsidRDefault="0064481D" w:rsidP="001559F5">
          <w:pPr>
            <w:pStyle w:val="Header"/>
            <w:jc w:val="left"/>
            <w:rPr>
              <w:rFonts w:ascii="Arial" w:hAnsi="Arial" w:cs="Arial"/>
              <w:b/>
              <w:bCs/>
              <w:color w:val="009CD6"/>
              <w:sz w:val="36"/>
              <w:szCs w:val="36"/>
            </w:rPr>
          </w:pPr>
          <w:bookmarkStart w:id="4" w:name="_Hlk133422111"/>
          <w:r>
            <w:rPr>
              <w:noProof/>
            </w:rPr>
            <w:drawing>
              <wp:inline distT="0" distB="0" distL="0" distR="0" wp14:anchorId="403F38A2" wp14:editId="546C6343">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4CFB1417" w14:textId="77777777" w:rsidR="001559F5" w:rsidRDefault="001559F5" w:rsidP="001559F5">
          <w:pPr>
            <w:pStyle w:val="Header"/>
            <w:jc w:val="right"/>
            <w:rPr>
              <w:rFonts w:ascii="Arial" w:hAnsi="Arial" w:cs="Arial"/>
              <w:b/>
              <w:bCs/>
              <w:color w:val="009CD6"/>
              <w:szCs w:val="18"/>
            </w:rPr>
          </w:pPr>
        </w:p>
        <w:p w14:paraId="573EA732" w14:textId="77777777" w:rsidR="001559F5" w:rsidRDefault="001559F5" w:rsidP="001559F5">
          <w:pPr>
            <w:pStyle w:val="Header"/>
            <w:jc w:val="right"/>
            <w:rPr>
              <w:rFonts w:ascii="Arial" w:hAnsi="Arial" w:cs="Arial"/>
              <w:b/>
              <w:bCs/>
              <w:color w:val="009CD6"/>
              <w:szCs w:val="18"/>
            </w:rPr>
          </w:pPr>
        </w:p>
        <w:p w14:paraId="19A11823"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10C74AD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D28D4F5" wp14:editId="027EB01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206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7310A"/>
    <w:rsid w:val="00093EEB"/>
    <w:rsid w:val="000B0D00"/>
    <w:rsid w:val="000B7C15"/>
    <w:rsid w:val="000D1D0F"/>
    <w:rsid w:val="000F5290"/>
    <w:rsid w:val="0010165C"/>
    <w:rsid w:val="00104B24"/>
    <w:rsid w:val="00146BFB"/>
    <w:rsid w:val="001559F5"/>
    <w:rsid w:val="001F14A2"/>
    <w:rsid w:val="00232488"/>
    <w:rsid w:val="002801AA"/>
    <w:rsid w:val="002C4676"/>
    <w:rsid w:val="002C70B0"/>
    <w:rsid w:val="002F3CC4"/>
    <w:rsid w:val="003273A4"/>
    <w:rsid w:val="00383D40"/>
    <w:rsid w:val="00416CA5"/>
    <w:rsid w:val="00416EF4"/>
    <w:rsid w:val="00433558"/>
    <w:rsid w:val="00473962"/>
    <w:rsid w:val="004B5D49"/>
    <w:rsid w:val="004E5DC0"/>
    <w:rsid w:val="00513630"/>
    <w:rsid w:val="00560125"/>
    <w:rsid w:val="0056556C"/>
    <w:rsid w:val="00585553"/>
    <w:rsid w:val="005B34D9"/>
    <w:rsid w:val="005D0CCF"/>
    <w:rsid w:val="005F3BCB"/>
    <w:rsid w:val="005F410F"/>
    <w:rsid w:val="0060149A"/>
    <w:rsid w:val="00601924"/>
    <w:rsid w:val="006447EA"/>
    <w:rsid w:val="0064481D"/>
    <w:rsid w:val="006471DA"/>
    <w:rsid w:val="0064731F"/>
    <w:rsid w:val="00664572"/>
    <w:rsid w:val="006710F6"/>
    <w:rsid w:val="00677A97"/>
    <w:rsid w:val="006C1B56"/>
    <w:rsid w:val="006D4761"/>
    <w:rsid w:val="00726872"/>
    <w:rsid w:val="00760F1C"/>
    <w:rsid w:val="007657F0"/>
    <w:rsid w:val="0077252D"/>
    <w:rsid w:val="007955DA"/>
    <w:rsid w:val="007C3C3B"/>
    <w:rsid w:val="007E5DD3"/>
    <w:rsid w:val="007F350B"/>
    <w:rsid w:val="00820BE4"/>
    <w:rsid w:val="008451E8"/>
    <w:rsid w:val="00893BAB"/>
    <w:rsid w:val="00913B9C"/>
    <w:rsid w:val="00927F93"/>
    <w:rsid w:val="00956E77"/>
    <w:rsid w:val="009C5361"/>
    <w:rsid w:val="009D4C75"/>
    <w:rsid w:val="009F4811"/>
    <w:rsid w:val="00AA390C"/>
    <w:rsid w:val="00B0200A"/>
    <w:rsid w:val="00B358B4"/>
    <w:rsid w:val="00B574DB"/>
    <w:rsid w:val="00B826C2"/>
    <w:rsid w:val="00B8298E"/>
    <w:rsid w:val="00BB4F4A"/>
    <w:rsid w:val="00BB5FDF"/>
    <w:rsid w:val="00BD0723"/>
    <w:rsid w:val="00BD2518"/>
    <w:rsid w:val="00BE64F6"/>
    <w:rsid w:val="00BF1D1C"/>
    <w:rsid w:val="00C17A1A"/>
    <w:rsid w:val="00C20C59"/>
    <w:rsid w:val="00C2727F"/>
    <w:rsid w:val="00C538FC"/>
    <w:rsid w:val="00C55B1F"/>
    <w:rsid w:val="00C938A7"/>
    <w:rsid w:val="00CB421D"/>
    <w:rsid w:val="00CC7EF1"/>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ED7226"/>
    <w:rsid w:val="00F12850"/>
    <w:rsid w:val="00F24B71"/>
    <w:rsid w:val="00F33BF4"/>
    <w:rsid w:val="00F7105E"/>
    <w:rsid w:val="00F75F57"/>
    <w:rsid w:val="00F82FEE"/>
    <w:rsid w:val="00F86AC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172A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471DA"/>
    <w:rPr>
      <w:rFonts w:asciiTheme="minorHAnsi" w:hAnsiTheme="minorHAnsi" w:cstheme="minorHAnsi"/>
    </w:rPr>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923730">
      <w:bodyDiv w:val="1"/>
      <w:marLeft w:val="0"/>
      <w:marRight w:val="0"/>
      <w:marTop w:val="0"/>
      <w:marBottom w:val="0"/>
      <w:divBdr>
        <w:top w:val="none" w:sz="0" w:space="0" w:color="auto"/>
        <w:left w:val="none" w:sz="0" w:space="0" w:color="auto"/>
        <w:bottom w:val="none" w:sz="0" w:space="0" w:color="auto"/>
        <w:right w:val="none" w:sz="0" w:space="0" w:color="auto"/>
      </w:divBdr>
    </w:div>
    <w:div w:id="14537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Company>International Telecommunication Union</Company>
  <LinksUpToDate>false</LinksUpToDate>
  <CharactersWithSpaces>3820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642 - Fechas y duración propuestas para las reuniones de 2024, 2025 y 2026 del Consejo y fechas propuestas para las series de reuniones de los Grupos de Trabajo y Grupos de Expertos del Consejo para 2024, 2025 y 2026</dc:title>
  <dc:subject>2024 session of the Council</dc:subject>
  <dc:creator>Brouard, Ricarda</dc:creator>
  <cp:keywords>C2024, C24, Council-24</cp:keywords>
  <dc:description/>
  <cp:lastModifiedBy>Brouard, Ricarda</cp:lastModifiedBy>
  <cp:revision>2</cp:revision>
  <cp:lastPrinted>2006-03-24T09:51:00Z</cp:lastPrinted>
  <dcterms:created xsi:type="dcterms:W3CDTF">2024-08-13T12:38:00Z</dcterms:created>
  <dcterms:modified xsi:type="dcterms:W3CDTF">2024-08-13T12:38:00Z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