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E4656" w14:paraId="2592CC74" w14:textId="77777777" w:rsidTr="00D72F49">
        <w:trPr>
          <w:cantSplit/>
          <w:trHeight w:val="23"/>
        </w:trPr>
        <w:tc>
          <w:tcPr>
            <w:tcW w:w="3969" w:type="dxa"/>
            <w:vMerge w:val="restart"/>
            <w:tcMar>
              <w:left w:w="0" w:type="dxa"/>
            </w:tcMar>
          </w:tcPr>
          <w:p w14:paraId="27E56DEB" w14:textId="3A86CCC5" w:rsidR="00D72F49" w:rsidRPr="00CE4656" w:rsidRDefault="00D72F49" w:rsidP="008B6DEA">
            <w:pPr>
              <w:tabs>
                <w:tab w:val="left" w:pos="851"/>
              </w:tabs>
              <w:spacing w:before="0"/>
              <w:rPr>
                <w:b/>
              </w:rPr>
            </w:pPr>
          </w:p>
        </w:tc>
        <w:tc>
          <w:tcPr>
            <w:tcW w:w="5245" w:type="dxa"/>
          </w:tcPr>
          <w:p w14:paraId="27B6A98A" w14:textId="46164628" w:rsidR="00D72F49" w:rsidRPr="00CE4656" w:rsidRDefault="00D72F49" w:rsidP="008B6DEA">
            <w:pPr>
              <w:tabs>
                <w:tab w:val="left" w:pos="851"/>
              </w:tabs>
              <w:spacing w:before="0"/>
              <w:jc w:val="right"/>
              <w:rPr>
                <w:b/>
              </w:rPr>
            </w:pPr>
            <w:r w:rsidRPr="00CE4656">
              <w:rPr>
                <w:b/>
              </w:rPr>
              <w:t>Document C2</w:t>
            </w:r>
            <w:r w:rsidR="0073275D" w:rsidRPr="00CE4656">
              <w:rPr>
                <w:b/>
              </w:rPr>
              <w:t>4</w:t>
            </w:r>
            <w:r w:rsidRPr="00CE4656">
              <w:rPr>
                <w:b/>
              </w:rPr>
              <w:t>/</w:t>
            </w:r>
            <w:r w:rsidR="007F0C75">
              <w:rPr>
                <w:b/>
              </w:rPr>
              <w:t>139</w:t>
            </w:r>
            <w:r w:rsidRPr="00CE4656">
              <w:rPr>
                <w:b/>
              </w:rPr>
              <w:t>-F</w:t>
            </w:r>
          </w:p>
        </w:tc>
      </w:tr>
      <w:tr w:rsidR="00D72F49" w:rsidRPr="00CE4656" w14:paraId="41096C77" w14:textId="77777777" w:rsidTr="00D72F49">
        <w:trPr>
          <w:cantSplit/>
        </w:trPr>
        <w:tc>
          <w:tcPr>
            <w:tcW w:w="3969" w:type="dxa"/>
            <w:vMerge/>
          </w:tcPr>
          <w:p w14:paraId="0BBA5643" w14:textId="77777777" w:rsidR="00D72F49" w:rsidRPr="00CE4656" w:rsidRDefault="00D72F49" w:rsidP="008B6DEA">
            <w:pPr>
              <w:tabs>
                <w:tab w:val="left" w:pos="851"/>
              </w:tabs>
              <w:rPr>
                <w:b/>
              </w:rPr>
            </w:pPr>
          </w:p>
        </w:tc>
        <w:tc>
          <w:tcPr>
            <w:tcW w:w="5245" w:type="dxa"/>
          </w:tcPr>
          <w:p w14:paraId="068BECD5" w14:textId="4EA02B3D" w:rsidR="00D72F49" w:rsidRPr="00CE4656" w:rsidRDefault="00961B89" w:rsidP="008B6DEA">
            <w:pPr>
              <w:tabs>
                <w:tab w:val="left" w:pos="851"/>
              </w:tabs>
              <w:spacing w:before="0"/>
              <w:jc w:val="right"/>
              <w:rPr>
                <w:b/>
              </w:rPr>
            </w:pPr>
            <w:r w:rsidRPr="00CE4656">
              <w:rPr>
                <w:b/>
              </w:rPr>
              <w:t>1</w:t>
            </w:r>
            <w:r w:rsidR="0075390B">
              <w:rPr>
                <w:b/>
              </w:rPr>
              <w:t>4</w:t>
            </w:r>
            <w:r w:rsidRPr="00CE4656">
              <w:rPr>
                <w:b/>
              </w:rPr>
              <w:t xml:space="preserve"> juin</w:t>
            </w:r>
            <w:r w:rsidR="00D72F49" w:rsidRPr="00CE4656">
              <w:rPr>
                <w:b/>
              </w:rPr>
              <w:t xml:space="preserve"> 202</w:t>
            </w:r>
            <w:r w:rsidR="0073275D" w:rsidRPr="00CE4656">
              <w:rPr>
                <w:b/>
              </w:rPr>
              <w:t>4</w:t>
            </w:r>
          </w:p>
        </w:tc>
      </w:tr>
      <w:tr w:rsidR="00D72F49" w:rsidRPr="00CE4656" w14:paraId="17E5B988" w14:textId="77777777" w:rsidTr="00D72F49">
        <w:trPr>
          <w:cantSplit/>
          <w:trHeight w:val="23"/>
        </w:trPr>
        <w:tc>
          <w:tcPr>
            <w:tcW w:w="3969" w:type="dxa"/>
            <w:vMerge/>
          </w:tcPr>
          <w:p w14:paraId="2192D6D7" w14:textId="77777777" w:rsidR="00D72F49" w:rsidRPr="00CE4656" w:rsidRDefault="00D72F49" w:rsidP="008B6DEA">
            <w:pPr>
              <w:tabs>
                <w:tab w:val="left" w:pos="851"/>
              </w:tabs>
              <w:rPr>
                <w:b/>
              </w:rPr>
            </w:pPr>
          </w:p>
        </w:tc>
        <w:tc>
          <w:tcPr>
            <w:tcW w:w="5245" w:type="dxa"/>
          </w:tcPr>
          <w:p w14:paraId="1948C622" w14:textId="77777777" w:rsidR="00D72F49" w:rsidRPr="00CE4656" w:rsidRDefault="00D72F49" w:rsidP="008B6DEA">
            <w:pPr>
              <w:tabs>
                <w:tab w:val="left" w:pos="851"/>
              </w:tabs>
              <w:spacing w:before="0"/>
              <w:jc w:val="right"/>
              <w:rPr>
                <w:b/>
              </w:rPr>
            </w:pPr>
            <w:r w:rsidRPr="00CE4656">
              <w:rPr>
                <w:b/>
              </w:rPr>
              <w:t>Original: anglais</w:t>
            </w:r>
          </w:p>
        </w:tc>
      </w:tr>
      <w:tr w:rsidR="00D72F49" w:rsidRPr="00CE4656" w14:paraId="53623BEE" w14:textId="77777777" w:rsidTr="00D72F49">
        <w:trPr>
          <w:cantSplit/>
          <w:trHeight w:val="23"/>
        </w:trPr>
        <w:tc>
          <w:tcPr>
            <w:tcW w:w="3969" w:type="dxa"/>
          </w:tcPr>
          <w:p w14:paraId="630B4C34" w14:textId="77777777" w:rsidR="00D72F49" w:rsidRPr="00CE4656" w:rsidRDefault="00D72F49" w:rsidP="008B6DEA">
            <w:pPr>
              <w:tabs>
                <w:tab w:val="left" w:pos="851"/>
              </w:tabs>
              <w:rPr>
                <w:b/>
              </w:rPr>
            </w:pPr>
          </w:p>
        </w:tc>
        <w:tc>
          <w:tcPr>
            <w:tcW w:w="5245" w:type="dxa"/>
          </w:tcPr>
          <w:p w14:paraId="437750C4" w14:textId="77777777" w:rsidR="00D72F49" w:rsidRPr="00CE4656" w:rsidRDefault="00D72F49" w:rsidP="008B6DEA">
            <w:pPr>
              <w:tabs>
                <w:tab w:val="left" w:pos="851"/>
              </w:tabs>
              <w:spacing w:before="0"/>
              <w:jc w:val="right"/>
              <w:rPr>
                <w:b/>
              </w:rPr>
            </w:pPr>
          </w:p>
        </w:tc>
      </w:tr>
    </w:tbl>
    <w:p w14:paraId="54A363C6" w14:textId="234D0480" w:rsidR="00010451" w:rsidRDefault="00512CBC" w:rsidP="00944D99">
      <w:pPr>
        <w:pStyle w:val="ResNo"/>
      </w:pPr>
      <w:r w:rsidRPr="00CE4656">
        <w:t>rÉsolution</w:t>
      </w:r>
      <w:r w:rsidR="00010451" w:rsidRPr="00CE4656">
        <w:t xml:space="preserve"> </w:t>
      </w:r>
      <w:r w:rsidR="007F0C75">
        <w:t>1428</w:t>
      </w:r>
    </w:p>
    <w:p w14:paraId="595A4C5F" w14:textId="47103404" w:rsidR="0075390B" w:rsidRPr="0075390B" w:rsidRDefault="0075390B" w:rsidP="0075390B">
      <w:pPr>
        <w:pStyle w:val="Resref"/>
      </w:pPr>
      <w:r w:rsidRPr="0075390B">
        <w:t>(adoptée à la dixième séance plénière)</w:t>
      </w:r>
    </w:p>
    <w:p w14:paraId="1B3785C3" w14:textId="4EF30734" w:rsidR="00010451" w:rsidRPr="00CE4656" w:rsidRDefault="00512CBC" w:rsidP="00944D99">
      <w:pPr>
        <w:pStyle w:val="Restitle"/>
      </w:pPr>
      <w:r w:rsidRPr="00CE4656">
        <w:t>Établissement du Groupe de travail du Conseil chargé d'élaborer le</w:t>
      </w:r>
      <w:r w:rsidR="008B6DEA" w:rsidRPr="00CE4656">
        <w:br/>
      </w:r>
      <w:r w:rsidRPr="00CE4656">
        <w:t>Plan stratégique et le Plan financier pour la période 2028-2031</w:t>
      </w:r>
    </w:p>
    <w:p w14:paraId="3C1353B8" w14:textId="2F7E8065" w:rsidR="00010451" w:rsidRPr="00CE4656" w:rsidRDefault="00920495" w:rsidP="008B6DEA">
      <w:pPr>
        <w:pStyle w:val="Normalaftertitle"/>
        <w:rPr>
          <w:rFonts w:eastAsia="MS Mincho"/>
        </w:rPr>
      </w:pPr>
      <w:r w:rsidRPr="00CE4656">
        <w:t>Le Conseil de l'UIT</w:t>
      </w:r>
      <w:r w:rsidR="00010451" w:rsidRPr="00CE4656">
        <w:rPr>
          <w:rFonts w:eastAsia="MS Mincho"/>
        </w:rPr>
        <w:t>,</w:t>
      </w:r>
    </w:p>
    <w:p w14:paraId="768FF9CE" w14:textId="77777777" w:rsidR="00920495" w:rsidRPr="00CE4656" w:rsidRDefault="00920495" w:rsidP="008B6DEA">
      <w:pPr>
        <w:pStyle w:val="Call"/>
      </w:pPr>
      <w:r w:rsidRPr="00CE4656">
        <w:t>considérant</w:t>
      </w:r>
    </w:p>
    <w:p w14:paraId="55E12BC7" w14:textId="0D690DEA" w:rsidR="00010451" w:rsidRPr="00CE4656" w:rsidRDefault="00920495" w:rsidP="008B6DEA">
      <w:r w:rsidRPr="00CE4656">
        <w:t>que, en vertu du numéro 74A de la Constitution, le Secrétaire général est chargé de fournir les données nécessaires à l'élaboration d'un Plan stratégique,</w:t>
      </w:r>
    </w:p>
    <w:p w14:paraId="15D7B89D" w14:textId="77777777" w:rsidR="00920495" w:rsidRPr="00CE4656" w:rsidRDefault="00920495" w:rsidP="008B6DEA">
      <w:pPr>
        <w:pStyle w:val="Call"/>
      </w:pPr>
      <w:r w:rsidRPr="00CE4656">
        <w:t>considérant en outre</w:t>
      </w:r>
    </w:p>
    <w:p w14:paraId="12308029" w14:textId="559BCA35" w:rsidR="00010451" w:rsidRPr="00CE4656" w:rsidRDefault="00010451" w:rsidP="008B6DEA">
      <w:pPr>
        <w:rPr>
          <w:rFonts w:cstheme="minorHAnsi"/>
          <w:szCs w:val="24"/>
        </w:rPr>
      </w:pPr>
      <w:r w:rsidRPr="00CE4656">
        <w:rPr>
          <w:rFonts w:cstheme="minorHAnsi"/>
          <w:i/>
          <w:iCs/>
          <w:szCs w:val="24"/>
        </w:rPr>
        <w:t>a)</w:t>
      </w:r>
      <w:r w:rsidRPr="00CE4656">
        <w:rPr>
          <w:rFonts w:cstheme="minorHAnsi"/>
          <w:szCs w:val="24"/>
        </w:rPr>
        <w:tab/>
      </w:r>
      <w:r w:rsidR="00920495" w:rsidRPr="00CE4656">
        <w:t>que, conformément au numéro 62A de la Convention, le Conseil est chargé de recevoir et d'examiner les données concrètes pour la planification stratégique qui sont fournies par le Secrétaire</w:t>
      </w:r>
      <w:r w:rsidR="00F54655" w:rsidRPr="00CE4656">
        <w:t> </w:t>
      </w:r>
      <w:r w:rsidR="00920495" w:rsidRPr="00CE4656">
        <w:t>général comme indiqué au numéro 74A de la Constitution et, au cours de l'avant</w:t>
      </w:r>
      <w:r w:rsidR="00920495" w:rsidRPr="00CE4656">
        <w:noBreakHyphen/>
        <w:t xml:space="preserve">dernière session ordinaire du Conseil avant la Conférence de plénipotentiaires suivante, de commencer l'élaboration d'un projet de nouveau </w:t>
      </w:r>
      <w:r w:rsidR="00F54655" w:rsidRPr="00CE4656">
        <w:t>P</w:t>
      </w:r>
      <w:r w:rsidR="00920495" w:rsidRPr="00CE4656">
        <w:t xml:space="preserve">lan stratégique pour l'Union, en s'appuyant sur les contributions des États Membres et des Membres des Secteurs, ainsi que celles des groupes consultatifs des Secteurs, et d'établir un projet de nouveau </w:t>
      </w:r>
      <w:r w:rsidR="00F54655" w:rsidRPr="00CE4656">
        <w:t>P</w:t>
      </w:r>
      <w:r w:rsidR="00920495" w:rsidRPr="00CE4656">
        <w:t xml:space="preserve">lan stratégique coordonné quatre mois au plus tard avant la </w:t>
      </w:r>
      <w:r w:rsidR="008500CB" w:rsidRPr="00CE4656">
        <w:t xml:space="preserve">conférence </w:t>
      </w:r>
      <w:r w:rsidR="00920495" w:rsidRPr="00CE4656">
        <w:t>de plénipotentiaires</w:t>
      </w:r>
      <w:r w:rsidRPr="00CE4656">
        <w:rPr>
          <w:rFonts w:cstheme="minorHAnsi"/>
          <w:szCs w:val="24"/>
        </w:rPr>
        <w:t>;</w:t>
      </w:r>
    </w:p>
    <w:p w14:paraId="5AAFDE28" w14:textId="406C39F1" w:rsidR="00080DF4" w:rsidRPr="00CE4656" w:rsidRDefault="00010451" w:rsidP="008B6DEA">
      <w:pPr>
        <w:snapToGrid w:val="0"/>
        <w:rPr>
          <w:rFonts w:cstheme="minorHAnsi"/>
          <w:szCs w:val="24"/>
        </w:rPr>
      </w:pPr>
      <w:r w:rsidRPr="00CE4656">
        <w:rPr>
          <w:rFonts w:cstheme="minorHAnsi"/>
          <w:i/>
          <w:iCs/>
          <w:szCs w:val="24"/>
        </w:rPr>
        <w:t>b)</w:t>
      </w:r>
      <w:r w:rsidRPr="00CE4656">
        <w:rPr>
          <w:rFonts w:cstheme="minorHAnsi"/>
          <w:szCs w:val="24"/>
        </w:rPr>
        <w:tab/>
      </w:r>
      <w:r w:rsidR="00080DF4" w:rsidRPr="00CE4656">
        <w:rPr>
          <w:rFonts w:cstheme="minorHAnsi"/>
          <w:szCs w:val="24"/>
        </w:rPr>
        <w:t>les dispositions de la</w:t>
      </w:r>
      <w:r w:rsidR="00A36CCB">
        <w:rPr>
          <w:rFonts w:cstheme="minorHAnsi"/>
          <w:szCs w:val="24"/>
        </w:rPr>
        <w:t xml:space="preserve"> </w:t>
      </w:r>
      <w:r w:rsidR="00A36CCB" w:rsidRPr="00A36CCB">
        <w:rPr>
          <w:rFonts w:cstheme="minorHAnsi"/>
          <w:szCs w:val="24"/>
        </w:rPr>
        <w:t xml:space="preserve">Décision </w:t>
      </w:r>
      <w:hyperlink r:id="rId8" w:history="1">
        <w:r w:rsidR="00080DF4" w:rsidRPr="00CE4656">
          <w:rPr>
            <w:rStyle w:val="Hyperlink"/>
            <w:rFonts w:cstheme="minorHAnsi"/>
            <w:szCs w:val="24"/>
          </w:rPr>
          <w:t>5 (Rév. Bucarest, 2022)</w:t>
        </w:r>
      </w:hyperlink>
      <w:r w:rsidR="00080DF4" w:rsidRPr="00CE4656">
        <w:rPr>
          <w:rFonts w:cstheme="minorHAnsi"/>
          <w:szCs w:val="24"/>
        </w:rPr>
        <w:t xml:space="preserve"> de la Conférence de plénipotentiaires, relative aux </w:t>
      </w:r>
      <w:r w:rsidR="000C7B96" w:rsidRPr="00CE4656">
        <w:rPr>
          <w:rFonts w:cstheme="minorHAnsi"/>
          <w:szCs w:val="24"/>
        </w:rPr>
        <w:t>produits et charges</w:t>
      </w:r>
      <w:r w:rsidR="00080DF4" w:rsidRPr="00CE4656">
        <w:rPr>
          <w:rFonts w:cstheme="minorHAnsi"/>
          <w:szCs w:val="24"/>
        </w:rPr>
        <w:t xml:space="preserve"> de l'Union pour la période 2024-2027 et dont le </w:t>
      </w:r>
      <w:r w:rsidR="00080DF4" w:rsidRPr="00CE4656">
        <w:rPr>
          <w:rFonts w:cstheme="minorHAnsi"/>
          <w:i/>
          <w:szCs w:val="24"/>
        </w:rPr>
        <w:t>considérant en outre</w:t>
      </w:r>
      <w:r w:rsidR="00080DF4" w:rsidRPr="00CE4656">
        <w:rPr>
          <w:rFonts w:cstheme="minorHAnsi"/>
          <w:szCs w:val="24"/>
        </w:rPr>
        <w:t xml:space="preserve"> souligne la nécessité d'assurer la coordination des planifications stratégique, financière et opérationnelle à l'UIT;</w:t>
      </w:r>
    </w:p>
    <w:p w14:paraId="575D12C6" w14:textId="3EEB4E91" w:rsidR="00080DF4" w:rsidRPr="00CE4656" w:rsidRDefault="00010451" w:rsidP="008B6DEA">
      <w:pPr>
        <w:snapToGrid w:val="0"/>
        <w:rPr>
          <w:iCs/>
        </w:rPr>
      </w:pPr>
      <w:r w:rsidRPr="00CE4656">
        <w:rPr>
          <w:rFonts w:cstheme="minorBidi"/>
          <w:i/>
        </w:rPr>
        <w:t>c)</w:t>
      </w:r>
      <w:r w:rsidRPr="00CE4656">
        <w:tab/>
      </w:r>
      <w:r w:rsidR="00080DF4" w:rsidRPr="00CE4656">
        <w:t>les principes directeurs régissant la création, la gestion et la cessation des activités des groupes de travail du Conseil énoncés dans la</w:t>
      </w:r>
      <w:r w:rsidR="00A36CCB" w:rsidRPr="00A36CCB">
        <w:t xml:space="preserve"> Décision </w:t>
      </w:r>
      <w:hyperlink r:id="rId9" w:history="1">
        <w:r w:rsidR="00080DF4" w:rsidRPr="00CE4656">
          <w:rPr>
            <w:rStyle w:val="Hyperlink"/>
          </w:rPr>
          <w:t>11 (Rév. Bucarest, 2022)</w:t>
        </w:r>
      </w:hyperlink>
      <w:r w:rsidR="00080DF4" w:rsidRPr="00CE4656">
        <w:t xml:space="preserve"> de la Conférence de plénipotentiaires;</w:t>
      </w:r>
    </w:p>
    <w:p w14:paraId="157B0D96" w14:textId="3F49E1F1" w:rsidR="00EF13F8" w:rsidRPr="00CE4656" w:rsidRDefault="00010451" w:rsidP="00F566C6">
      <w:r w:rsidRPr="00CE4656">
        <w:rPr>
          <w:i/>
        </w:rPr>
        <w:t>d)</w:t>
      </w:r>
      <w:r w:rsidRPr="00CE4656">
        <w:tab/>
      </w:r>
      <w:r w:rsidR="006E3D9F" w:rsidRPr="00CE4656">
        <w:t>qu'</w:t>
      </w:r>
      <w:r w:rsidR="00EF13F8" w:rsidRPr="00CE4656">
        <w:t xml:space="preserve">à sa session de 2023 (voir le Document </w:t>
      </w:r>
      <w:hyperlink r:id="rId10" w:history="1">
        <w:r w:rsidR="00EF13F8" w:rsidRPr="00CE4656">
          <w:rPr>
            <w:rStyle w:val="Hyperlink"/>
          </w:rPr>
          <w:t>C23/112</w:t>
        </w:r>
      </w:hyperlink>
      <w:r w:rsidR="00EF13F8" w:rsidRPr="00CE4656">
        <w:t xml:space="preserve">), </w:t>
      </w:r>
      <w:r w:rsidR="006E3D9F" w:rsidRPr="00CE4656">
        <w:t xml:space="preserve">le Conseil a décidé </w:t>
      </w:r>
      <w:r w:rsidR="00AD2DFE" w:rsidRPr="00CE4656">
        <w:t>d'établir</w:t>
      </w:r>
      <w:r w:rsidR="006E3D9F" w:rsidRPr="00CE4656">
        <w:t>, en</w:t>
      </w:r>
      <w:r w:rsidR="00F566C6" w:rsidRPr="00CE4656">
        <w:t> </w:t>
      </w:r>
      <w:r w:rsidR="006E3D9F" w:rsidRPr="00CE4656">
        <w:t>2024,</w:t>
      </w:r>
      <w:r w:rsidR="00EF13F8" w:rsidRPr="00CE4656">
        <w:t xml:space="preserve"> le Groupe de travail du Conseil chargé d'élaborer le Plan stratégique et le</w:t>
      </w:r>
      <w:r w:rsidR="00F566C6" w:rsidRPr="00CE4656">
        <w:t xml:space="preserve"> </w:t>
      </w:r>
      <w:r w:rsidR="00EF13F8" w:rsidRPr="00CE4656">
        <w:t>Plan</w:t>
      </w:r>
      <w:r w:rsidR="00F566C6" w:rsidRPr="00CE4656">
        <w:t> </w:t>
      </w:r>
      <w:r w:rsidR="00EF13F8" w:rsidRPr="00CE4656">
        <w:t>financier (GTC-SFP),</w:t>
      </w:r>
    </w:p>
    <w:p w14:paraId="068A11EC" w14:textId="04D684D5" w:rsidR="00010451" w:rsidRPr="00CE4656" w:rsidRDefault="00AD2DFE" w:rsidP="00BD521E">
      <w:pPr>
        <w:pStyle w:val="Call"/>
      </w:pPr>
      <w:r w:rsidRPr="00CE4656">
        <w:lastRenderedPageBreak/>
        <w:t>décide</w:t>
      </w:r>
    </w:p>
    <w:p w14:paraId="0D64F6AC" w14:textId="0B330920" w:rsidR="00AD2DFE" w:rsidRPr="00CE4656" w:rsidRDefault="00AD2DFE" w:rsidP="00BD521E">
      <w:pPr>
        <w:keepNext/>
        <w:keepLines/>
      </w:pPr>
      <w:r w:rsidRPr="00CE4656">
        <w:t xml:space="preserve">d'établir un groupe de travail du Conseil chargé d'élaborer le projet de Plan stratégique et le projet de Plan financier, qui seront examinés par le Conseil à sa session de 2026 et présentés par ce dernier à la Conférence de plénipotentiaires </w:t>
      </w:r>
      <w:r w:rsidR="000C7B96" w:rsidRPr="00CE4656">
        <w:t xml:space="preserve">qui se tiendra en </w:t>
      </w:r>
      <w:r w:rsidRPr="00CE4656">
        <w:t xml:space="preserve">2026 (PP-26). </w:t>
      </w:r>
      <w:r w:rsidR="005A423E" w:rsidRPr="00CE4656">
        <w:t>Ce Groupe de travail (GTC-SFP), ouvert à la participation des États Membres et des Membres des Secteurs, aura le mandat suivant:</w:t>
      </w:r>
    </w:p>
    <w:p w14:paraId="73B4316B" w14:textId="44702EAD" w:rsidR="005A423E" w:rsidRPr="00CE4656" w:rsidRDefault="008B6DEA" w:rsidP="008B6DEA">
      <w:pPr>
        <w:pStyle w:val="enumlev1"/>
      </w:pPr>
      <w:r w:rsidRPr="00CE4656">
        <w:t>a</w:t>
      </w:r>
      <w:r w:rsidR="00A36CCB">
        <w:t>.</w:t>
      </w:r>
      <w:r w:rsidRPr="00CE4656">
        <w:tab/>
      </w:r>
      <w:r w:rsidR="005A423E" w:rsidRPr="00CE4656">
        <w:t>identifier, avec l'aide du Secrétaire général, du Vice-Secrétaire général et des Directeurs des Bureaux, les sources d'information à utiliser dans l'élaboration des projets de Plan;</w:t>
      </w:r>
    </w:p>
    <w:p w14:paraId="6AA98187" w14:textId="1AC21111" w:rsidR="00961B89" w:rsidRPr="00CE4656" w:rsidRDefault="00961B89" w:rsidP="008B6DEA">
      <w:pPr>
        <w:pStyle w:val="enumlev1"/>
      </w:pPr>
      <w:r w:rsidRPr="00CE4656">
        <w:t>b</w:t>
      </w:r>
      <w:r w:rsidR="00A36CCB">
        <w:t>.</w:t>
      </w:r>
      <w:r w:rsidRPr="00CE4656">
        <w:tab/>
        <w:t xml:space="preserve">examiner le rapport </w:t>
      </w:r>
      <w:r w:rsidR="00484343" w:rsidRPr="00CE4656">
        <w:t>sur la mise en œuvre du concept d'une UIT unie dans l'action</w:t>
      </w:r>
      <w:r w:rsidR="00BE669F" w:rsidRPr="00CE4656">
        <w:t xml:space="preserve"> (voir</w:t>
      </w:r>
      <w:r w:rsidR="00F54655" w:rsidRPr="00CE4656">
        <w:t> </w:t>
      </w:r>
      <w:r w:rsidR="00BE669F" w:rsidRPr="00CE4656">
        <w:t xml:space="preserve">le Document </w:t>
      </w:r>
      <w:hyperlink r:id="rId11" w:history="1">
        <w:r w:rsidR="00BE669F" w:rsidRPr="00CE4656">
          <w:rPr>
            <w:rStyle w:val="Hyperlink"/>
          </w:rPr>
          <w:t>C24/17</w:t>
        </w:r>
      </w:hyperlink>
      <w:r w:rsidR="00BE669F" w:rsidRPr="00CE4656">
        <w:t>), ainsi que les contributions reçues pendant la session</w:t>
      </w:r>
      <w:r w:rsidR="00F54655" w:rsidRPr="00CE4656">
        <w:t> </w:t>
      </w:r>
      <w:r w:rsidR="00BE669F" w:rsidRPr="00CE4656">
        <w:t>2024 du Conseil, afin d'élaborer le projet de Plan stratégique et en faire rapport à la Conférence de plénipotentiaires de 2026 (PP-26);</w:t>
      </w:r>
    </w:p>
    <w:p w14:paraId="42CC5261" w14:textId="2E3A8EB5" w:rsidR="005A423E" w:rsidRPr="00CE4656" w:rsidRDefault="00961B89" w:rsidP="008B6DEA">
      <w:pPr>
        <w:pStyle w:val="enumlev1"/>
      </w:pPr>
      <w:r w:rsidRPr="00CE4656">
        <w:t>c</w:t>
      </w:r>
      <w:r w:rsidR="00A36CCB">
        <w:t>.</w:t>
      </w:r>
      <w:r w:rsidR="008B6DEA" w:rsidRPr="00CE4656">
        <w:tab/>
      </w:r>
      <w:r w:rsidR="005A423E" w:rsidRPr="00CE4656">
        <w:t>élaborer le projet de Plan stratégique et le projet de Plan financier, en vue de les présenter au Conseil à sa session de 2026;</w:t>
      </w:r>
    </w:p>
    <w:p w14:paraId="7E143EAA" w14:textId="5EDEFDDE" w:rsidR="00A12465" w:rsidRPr="00CE4656" w:rsidRDefault="00961B89" w:rsidP="008B6DEA">
      <w:pPr>
        <w:pStyle w:val="enumlev1"/>
      </w:pPr>
      <w:r w:rsidRPr="00CE4656">
        <w:t>d</w:t>
      </w:r>
      <w:r w:rsidR="00A36CCB">
        <w:t>.</w:t>
      </w:r>
      <w:r w:rsidR="008B6DEA" w:rsidRPr="00CE4656">
        <w:tab/>
      </w:r>
      <w:r w:rsidR="004E1114" w:rsidRPr="00CE4656">
        <w:t xml:space="preserve">formuler </w:t>
      </w:r>
      <w:r w:rsidR="006A0A07" w:rsidRPr="00CE4656">
        <w:t xml:space="preserve">une recommandation à l'intention du Conseil, à sa session de </w:t>
      </w:r>
      <w:r w:rsidR="00BE669F" w:rsidRPr="00CE4656">
        <w:t>2025</w:t>
      </w:r>
      <w:r w:rsidR="006A0A07" w:rsidRPr="00CE4656">
        <w:t xml:space="preserve">, au sujet du montant </w:t>
      </w:r>
      <w:r w:rsidR="00BE669F" w:rsidRPr="00CE4656">
        <w:t xml:space="preserve">préliminaire </w:t>
      </w:r>
      <w:r w:rsidR="006A0A07" w:rsidRPr="00CE4656">
        <w:t>de l'unité contributive;</w:t>
      </w:r>
    </w:p>
    <w:p w14:paraId="6F8F24FE" w14:textId="33BC3D63" w:rsidR="00E73969" w:rsidRPr="00CE4656" w:rsidRDefault="00E73969" w:rsidP="008B6DEA">
      <w:pPr>
        <w:pStyle w:val="enumlev1"/>
      </w:pPr>
      <w:r w:rsidRPr="00CE4656">
        <w:t>e</w:t>
      </w:r>
      <w:r w:rsidR="00A36CCB">
        <w:t>.</w:t>
      </w:r>
      <w:r w:rsidRPr="00CE4656">
        <w:tab/>
        <w:t xml:space="preserve">poursuivre le travail </w:t>
      </w:r>
      <w:r w:rsidR="00A94859" w:rsidRPr="00CE4656">
        <w:t>d</w:t>
      </w:r>
      <w:r w:rsidR="005B38C2" w:rsidRPr="00CE4656">
        <w:t>e mise en correspondance</w:t>
      </w:r>
      <w:r w:rsidRPr="00CE4656">
        <w:t xml:space="preserve"> des </w:t>
      </w:r>
      <w:r w:rsidR="00F54655" w:rsidRPr="00CE4656">
        <w:t>R</w:t>
      </w:r>
      <w:r w:rsidRPr="00CE4656">
        <w:t xml:space="preserve">ésolutions et des </w:t>
      </w:r>
      <w:r w:rsidR="00F54655" w:rsidRPr="00CE4656">
        <w:t>D</w:t>
      </w:r>
      <w:r w:rsidRPr="00CE4656">
        <w:t>écisions en vue d'harmoniser les résultats de la Conférence de plénipotentiaires;</w:t>
      </w:r>
    </w:p>
    <w:p w14:paraId="68B03569" w14:textId="278B30BB" w:rsidR="00F87887" w:rsidRPr="00CE4656" w:rsidRDefault="00E73969" w:rsidP="008B6DEA">
      <w:pPr>
        <w:pStyle w:val="enumlev1"/>
        <w:rPr>
          <w:szCs w:val="24"/>
        </w:rPr>
      </w:pPr>
      <w:r w:rsidRPr="00CE4656">
        <w:rPr>
          <w:szCs w:val="24"/>
        </w:rPr>
        <w:t>f</w:t>
      </w:r>
      <w:r w:rsidR="00A36CCB">
        <w:rPr>
          <w:szCs w:val="24"/>
        </w:rPr>
        <w:t>.</w:t>
      </w:r>
      <w:r w:rsidR="008B6DEA" w:rsidRPr="00CE4656">
        <w:rPr>
          <w:szCs w:val="24"/>
        </w:rPr>
        <w:tab/>
      </w:r>
      <w:r w:rsidR="00F87887" w:rsidRPr="00CE4656">
        <w:rPr>
          <w:szCs w:val="24"/>
        </w:rPr>
        <w:t>poster sur le site web de la PP-26 un projet de nouveau Plan stratégique coordonné quatre mois avant la Conférence de plénipotentiaires;</w:t>
      </w:r>
    </w:p>
    <w:p w14:paraId="5505D8F4" w14:textId="255DF891" w:rsidR="00F87887" w:rsidRPr="00CE4656" w:rsidRDefault="00E73969" w:rsidP="008B6DEA">
      <w:pPr>
        <w:pStyle w:val="enumlev1"/>
        <w:rPr>
          <w:rFonts w:cstheme="minorBidi"/>
        </w:rPr>
      </w:pPr>
      <w:r w:rsidRPr="00CE4656">
        <w:rPr>
          <w:rFonts w:cstheme="minorBidi"/>
        </w:rPr>
        <w:t>g</w:t>
      </w:r>
      <w:r w:rsidR="00A36CCB">
        <w:rPr>
          <w:rFonts w:cstheme="minorBidi"/>
        </w:rPr>
        <w:t>.</w:t>
      </w:r>
      <w:r w:rsidR="008B6DEA" w:rsidRPr="00CE4656">
        <w:rPr>
          <w:rFonts w:cstheme="minorBidi"/>
        </w:rPr>
        <w:tab/>
      </w:r>
      <w:r w:rsidR="00F87887" w:rsidRPr="00CE4656">
        <w:rPr>
          <w:rFonts w:cstheme="minorBidi"/>
        </w:rPr>
        <w:t>poursuivre, si nécessaire, ses discussions sur le Plan financier jusqu'à la session extraordinaire du Conseil qui se tiendra avant la PP-26;</w:t>
      </w:r>
    </w:p>
    <w:p w14:paraId="3E600326" w14:textId="52D3ABD0" w:rsidR="007F127A" w:rsidRPr="00CE4656" w:rsidRDefault="00E73969" w:rsidP="008B6DEA">
      <w:pPr>
        <w:pStyle w:val="enumlev1"/>
        <w:rPr>
          <w:rFonts w:asciiTheme="minorHAnsi" w:hAnsiTheme="minorHAnsi" w:cstheme="minorHAnsi"/>
          <w:szCs w:val="24"/>
        </w:rPr>
      </w:pPr>
      <w:r w:rsidRPr="00CE4656">
        <w:rPr>
          <w:rFonts w:asciiTheme="minorHAnsi" w:hAnsiTheme="minorHAnsi" w:cstheme="minorHAnsi"/>
          <w:szCs w:val="24"/>
        </w:rPr>
        <w:t>h</w:t>
      </w:r>
      <w:r w:rsidR="00A36CCB">
        <w:rPr>
          <w:rFonts w:asciiTheme="minorHAnsi" w:hAnsiTheme="minorHAnsi" w:cstheme="minorHAnsi"/>
          <w:szCs w:val="24"/>
        </w:rPr>
        <w:t>.</w:t>
      </w:r>
      <w:r w:rsidR="008B6DEA" w:rsidRPr="00CE4656">
        <w:rPr>
          <w:rFonts w:asciiTheme="minorHAnsi" w:hAnsiTheme="minorHAnsi" w:cstheme="minorHAnsi"/>
          <w:szCs w:val="24"/>
        </w:rPr>
        <w:tab/>
      </w:r>
      <w:r w:rsidR="007F127A" w:rsidRPr="00CE4656">
        <w:rPr>
          <w:rFonts w:asciiTheme="minorHAnsi" w:hAnsiTheme="minorHAnsi" w:cstheme="minorHAnsi"/>
          <w:szCs w:val="24"/>
        </w:rPr>
        <w:t>proposer des solutions pour</w:t>
      </w:r>
      <w:r w:rsidR="007F127A" w:rsidRPr="00CE4656">
        <w:rPr>
          <w:rFonts w:cstheme="minorHAnsi"/>
          <w:szCs w:val="24"/>
        </w:rPr>
        <w:t xml:space="preserve"> </w:t>
      </w:r>
      <w:r w:rsidR="004E1114" w:rsidRPr="00CE4656">
        <w:rPr>
          <w:rFonts w:cstheme="minorHAnsi"/>
          <w:szCs w:val="24"/>
        </w:rPr>
        <w:t xml:space="preserve">établir un lien entre </w:t>
      </w:r>
      <w:r w:rsidR="007F127A" w:rsidRPr="00CE4656">
        <w:rPr>
          <w:rFonts w:cstheme="minorHAnsi"/>
          <w:szCs w:val="24"/>
        </w:rPr>
        <w:t>les projets de Plans stratégique et financier</w:t>
      </w:r>
      <w:r w:rsidR="004E1114" w:rsidRPr="00CE4656">
        <w:rPr>
          <w:rFonts w:cstheme="minorHAnsi"/>
          <w:szCs w:val="24"/>
        </w:rPr>
        <w:t xml:space="preserve"> d'une part</w:t>
      </w:r>
      <w:r w:rsidR="007F127A" w:rsidRPr="00CE4656">
        <w:rPr>
          <w:rFonts w:cstheme="minorHAnsi"/>
          <w:szCs w:val="24"/>
        </w:rPr>
        <w:t xml:space="preserve"> </w:t>
      </w:r>
      <w:r w:rsidR="004E1114" w:rsidRPr="00CE4656">
        <w:rPr>
          <w:rFonts w:cstheme="minorHAnsi"/>
          <w:szCs w:val="24"/>
        </w:rPr>
        <w:t xml:space="preserve">et </w:t>
      </w:r>
      <w:r w:rsidR="007F127A" w:rsidRPr="00CE4656">
        <w:rPr>
          <w:rFonts w:cstheme="minorHAnsi"/>
          <w:szCs w:val="24"/>
        </w:rPr>
        <w:t xml:space="preserve">les plans opérationnels et les budgets </w:t>
      </w:r>
      <w:r w:rsidR="000E4D4A" w:rsidRPr="00CE4656">
        <w:rPr>
          <w:rFonts w:cstheme="minorHAnsi"/>
          <w:szCs w:val="24"/>
        </w:rPr>
        <w:t>biennaux</w:t>
      </w:r>
      <w:r w:rsidR="004E1114" w:rsidRPr="00CE4656">
        <w:rPr>
          <w:rFonts w:cstheme="minorHAnsi"/>
          <w:szCs w:val="24"/>
        </w:rPr>
        <w:t xml:space="preserve"> d'autre part</w:t>
      </w:r>
      <w:r w:rsidR="000E4D4A" w:rsidRPr="00CE4656">
        <w:rPr>
          <w:rFonts w:cstheme="minorHAnsi"/>
          <w:szCs w:val="24"/>
        </w:rPr>
        <w:t>, conformément a</w:t>
      </w:r>
      <w:r w:rsidR="00581B6B" w:rsidRPr="00CE4656">
        <w:rPr>
          <w:rFonts w:cstheme="minorHAnsi"/>
          <w:szCs w:val="24"/>
        </w:rPr>
        <w:t xml:space="preserve">ux principes </w:t>
      </w:r>
      <w:r w:rsidR="00857403" w:rsidRPr="00CE4656">
        <w:rPr>
          <w:rFonts w:cstheme="minorHAnsi"/>
          <w:szCs w:val="24"/>
        </w:rPr>
        <w:t xml:space="preserve">de la gestion </w:t>
      </w:r>
      <w:r w:rsidR="00890C2D" w:rsidRPr="00CE4656">
        <w:rPr>
          <w:rFonts w:cstheme="minorHAnsi"/>
          <w:szCs w:val="24"/>
        </w:rPr>
        <w:t xml:space="preserve">et de la budgétisation </w:t>
      </w:r>
      <w:r w:rsidR="00857403" w:rsidRPr="00CE4656">
        <w:rPr>
          <w:rFonts w:cstheme="minorHAnsi"/>
          <w:szCs w:val="24"/>
        </w:rPr>
        <w:t>axée</w:t>
      </w:r>
      <w:r w:rsidR="00890C2D" w:rsidRPr="00CE4656">
        <w:rPr>
          <w:rFonts w:cstheme="minorHAnsi"/>
          <w:szCs w:val="24"/>
        </w:rPr>
        <w:t>s</w:t>
      </w:r>
      <w:r w:rsidR="00857403" w:rsidRPr="00CE4656">
        <w:rPr>
          <w:rFonts w:cstheme="minorHAnsi"/>
          <w:szCs w:val="24"/>
        </w:rPr>
        <w:t xml:space="preserve"> sur les résultats</w:t>
      </w:r>
      <w:r w:rsidR="00890C2D" w:rsidRPr="00CE4656">
        <w:rPr>
          <w:rFonts w:cstheme="minorHAnsi"/>
          <w:szCs w:val="24"/>
        </w:rPr>
        <w:t xml:space="preserve"> et aux dispositions de la Résolution 151 (Rév. Bucarest, 2022) de la Conférence de plénipotentiaires </w:t>
      </w:r>
      <w:r w:rsidR="00F3193A" w:rsidRPr="00CE4656">
        <w:rPr>
          <w:rFonts w:cstheme="minorHAnsi"/>
          <w:szCs w:val="24"/>
        </w:rPr>
        <w:t>intitulée "Amélioration de la gestion axée sur les résultats à l'UIT";</w:t>
      </w:r>
    </w:p>
    <w:p w14:paraId="213E3310" w14:textId="65457538" w:rsidR="00010451" w:rsidRPr="00CE4656" w:rsidRDefault="00E73969" w:rsidP="008B6DEA">
      <w:pPr>
        <w:pStyle w:val="enumlev1"/>
      </w:pPr>
      <w:r w:rsidRPr="00CE4656">
        <w:t>i</w:t>
      </w:r>
      <w:r w:rsidR="00A36CCB">
        <w:t>.</w:t>
      </w:r>
      <w:r w:rsidR="008B6DEA" w:rsidRPr="00CE4656">
        <w:tab/>
      </w:r>
      <w:r w:rsidR="004549F7" w:rsidRPr="00CE4656">
        <w:t xml:space="preserve">travailler en coordination étroite avec les autres </w:t>
      </w:r>
      <w:r w:rsidR="00F54655" w:rsidRPr="00CE4656">
        <w:t>g</w:t>
      </w:r>
      <w:r w:rsidR="004549F7" w:rsidRPr="00CE4656">
        <w:t>roupes de travail du Conseil et les groupes consultatifs des Secteurs qui pourront examiner des questions relatives au projet de Plan stratégique et au projet de Plan financier</w:t>
      </w:r>
      <w:r w:rsidR="00010451" w:rsidRPr="00CE4656">
        <w:t>,</w:t>
      </w:r>
    </w:p>
    <w:p w14:paraId="6A39B86A" w14:textId="715EDECB" w:rsidR="00010451" w:rsidRPr="00CE4656" w:rsidRDefault="004549F7" w:rsidP="008B6DEA">
      <w:pPr>
        <w:pStyle w:val="Call"/>
      </w:pPr>
      <w:r w:rsidRPr="00CE4656">
        <w:t>charge le Secrétaire général, avec l'appui du Vice-Secrétaire général et des Directeur</w:t>
      </w:r>
      <w:r w:rsidR="00FE6F2C" w:rsidRPr="00CE4656">
        <w:t>s</w:t>
      </w:r>
      <w:r w:rsidRPr="00CE4656">
        <w:t xml:space="preserve"> des Bureaux</w:t>
      </w:r>
      <w:r w:rsidR="00EB178B">
        <w:t>,</w:t>
      </w:r>
    </w:p>
    <w:p w14:paraId="13B8D564" w14:textId="77777777" w:rsidR="004549F7" w:rsidRPr="00CE4656" w:rsidRDefault="004549F7" w:rsidP="008B6DEA">
      <w:r w:rsidRPr="00CE4656">
        <w:t>de fournir l'appui et la documentation nécessaires pour le fonctionnement du GTC-SFP,</w:t>
      </w:r>
    </w:p>
    <w:p w14:paraId="34DF1706" w14:textId="77777777" w:rsidR="004549F7" w:rsidRPr="00CE4656" w:rsidRDefault="004549F7" w:rsidP="008B6DEA">
      <w:pPr>
        <w:pStyle w:val="Call"/>
      </w:pPr>
      <w:r w:rsidRPr="00CE4656">
        <w:t>invite les membres, les Groupes de travail du Conseil, les fonctionnaires élus et les groupes consultatifs des Secteurs</w:t>
      </w:r>
    </w:p>
    <w:p w14:paraId="234FEAEA" w14:textId="4D9CCE1C" w:rsidR="006A11AE" w:rsidRPr="00CE4656" w:rsidRDefault="004549F7" w:rsidP="008B6DEA">
      <w:r w:rsidRPr="00CE4656">
        <w:t>à fournir toutes les contributions et toute l'assistance nécessaires à l'élaboration du projet de Plan stratégique et du projet de Plan financier et à utiliser pleinement les moyens électroniques.</w:t>
      </w:r>
    </w:p>
    <w:p w14:paraId="15C5767F" w14:textId="77777777" w:rsidR="00A36CCB" w:rsidRDefault="00A36CCB" w:rsidP="00A36CCB">
      <w:pPr>
        <w:pStyle w:val="Reasons"/>
        <w:spacing w:before="0"/>
      </w:pPr>
    </w:p>
    <w:p w14:paraId="535FA513" w14:textId="77777777" w:rsidR="00A36CCB" w:rsidRDefault="00A36CCB" w:rsidP="00A36CCB">
      <w:pPr>
        <w:spacing w:before="0"/>
        <w:jc w:val="center"/>
      </w:pPr>
      <w:r>
        <w:t>______________</w:t>
      </w:r>
    </w:p>
    <w:sectPr w:rsidR="00A36CCB"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F49B" w14:textId="77777777" w:rsidR="00685DE1" w:rsidRDefault="00685DE1">
      <w:r>
        <w:separator/>
      </w:r>
    </w:p>
  </w:endnote>
  <w:endnote w:type="continuationSeparator" w:id="0">
    <w:p w14:paraId="642D268A" w14:textId="77777777" w:rsidR="00685DE1" w:rsidRDefault="0068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4F33A44D" w:rsidR="00732045" w:rsidRDefault="00BD521E">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27.06.24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FE1E8BB" w:rsidR="00A51849" w:rsidRDefault="00F120B2" w:rsidP="00A51849">
          <w:pPr>
            <w:pStyle w:val="Header"/>
            <w:jc w:val="left"/>
            <w:rPr>
              <w:noProof/>
            </w:rPr>
          </w:pPr>
          <w:r w:rsidRPr="00F120B2">
            <w:rPr>
              <w:noProof/>
            </w:rPr>
            <w:t>R2401109</w:t>
          </w:r>
        </w:p>
      </w:tc>
      <w:tc>
        <w:tcPr>
          <w:tcW w:w="8261" w:type="dxa"/>
        </w:tcPr>
        <w:p w14:paraId="0DB0A3C6" w14:textId="497D3713" w:rsidR="00A51849" w:rsidRPr="00E06FD5" w:rsidRDefault="00A51849" w:rsidP="006F14BB">
          <w:pPr>
            <w:pStyle w:val="Header"/>
            <w:tabs>
              <w:tab w:val="left" w:pos="6874"/>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F0C75">
            <w:rPr>
              <w:bCs/>
            </w:rPr>
            <w:t>139</w:t>
          </w:r>
          <w:r w:rsidRPr="00623AE3">
            <w:rPr>
              <w:bCs/>
            </w:rPr>
            <w:t>-</w:t>
          </w:r>
          <w:r w:rsidR="00973F53">
            <w:rPr>
              <w:bCs/>
            </w:rPr>
            <w:t>F</w:t>
          </w:r>
          <w:r>
            <w:rPr>
              <w:bCs/>
            </w:rPr>
            <w:tab/>
          </w:r>
          <w:r>
            <w:fldChar w:fldCharType="begin"/>
          </w:r>
          <w:r>
            <w:instrText>PAGE</w:instrText>
          </w:r>
          <w:r>
            <w:fldChar w:fldCharType="separate"/>
          </w:r>
          <w:r w:rsidR="00DA310D">
            <w:rPr>
              <w:noProof/>
            </w:rPr>
            <w:t>3</w:t>
          </w:r>
          <w:r>
            <w:rPr>
              <w:noProof/>
            </w:rPr>
            <w:fldChar w:fldCharType="end"/>
          </w:r>
        </w:p>
      </w:tc>
    </w:tr>
  </w:tbl>
  <w:p w14:paraId="0BA722AB" w14:textId="0A64A7D4"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BD521E"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368B3312" w:rsidR="00A51849" w:rsidRPr="00E06FD5" w:rsidRDefault="00A51849" w:rsidP="006F14BB">
          <w:pPr>
            <w:pStyle w:val="Header"/>
            <w:tabs>
              <w:tab w:val="left" w:pos="6874"/>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F0C75">
            <w:rPr>
              <w:bCs/>
            </w:rPr>
            <w:t>139</w:t>
          </w:r>
          <w:r w:rsidRPr="00623AE3">
            <w:rPr>
              <w:bCs/>
            </w:rPr>
            <w:t>-</w:t>
          </w:r>
          <w:r w:rsidR="00D72F49">
            <w:rPr>
              <w:bCs/>
            </w:rPr>
            <w:t>F</w:t>
          </w:r>
          <w:r>
            <w:rPr>
              <w:bCs/>
            </w:rPr>
            <w:tab/>
          </w:r>
          <w:r>
            <w:fldChar w:fldCharType="begin"/>
          </w:r>
          <w:r>
            <w:instrText>PAGE</w:instrText>
          </w:r>
          <w:r>
            <w:fldChar w:fldCharType="separate"/>
          </w:r>
          <w:r w:rsidR="004108F4">
            <w:rPr>
              <w:noProof/>
            </w:rPr>
            <w:t>1</w:t>
          </w:r>
          <w:r>
            <w:rPr>
              <w:noProof/>
            </w:rPr>
            <w:fldChar w:fldCharType="end"/>
          </w:r>
        </w:p>
      </w:tc>
    </w:tr>
  </w:tbl>
  <w:p w14:paraId="67CF33E3" w14:textId="5C5CF21E"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F22B" w14:textId="77777777" w:rsidR="00685DE1" w:rsidRDefault="00685DE1">
      <w:r>
        <w:t>____________________</w:t>
      </w:r>
    </w:p>
  </w:footnote>
  <w:footnote w:type="continuationSeparator" w:id="0">
    <w:p w14:paraId="79202D4E" w14:textId="77777777" w:rsidR="00685DE1" w:rsidRDefault="0068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lang w:val="fr-CH" w:eastAsia="fr-CH"/>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81B21F4" w14:textId="19682548" w:rsidR="00A51849" w:rsidRPr="00784011" w:rsidRDefault="00A51849" w:rsidP="00A51849">
          <w:pPr>
            <w:pStyle w:val="Header"/>
            <w:jc w:val="right"/>
            <w:rPr>
              <w:rFonts w:ascii="Arial" w:hAnsi="Arial" w:cs="Arial"/>
              <w:color w:val="009CD6"/>
              <w:szCs w:val="18"/>
            </w:rPr>
          </w:pP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5AD7"/>
    <w:multiLevelType w:val="hybridMultilevel"/>
    <w:tmpl w:val="6D66535C"/>
    <w:lvl w:ilvl="0" w:tplc="D81419D6">
      <w:start w:val="1"/>
      <w:numFmt w:val="low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num w:numId="1" w16cid:durableId="30940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2972"/>
    <w:rsid w:val="00005D30"/>
    <w:rsid w:val="00010451"/>
    <w:rsid w:val="000369A9"/>
    <w:rsid w:val="00076A2C"/>
    <w:rsid w:val="00080DF4"/>
    <w:rsid w:val="000C7B96"/>
    <w:rsid w:val="000D0D0A"/>
    <w:rsid w:val="000E4D4A"/>
    <w:rsid w:val="00103163"/>
    <w:rsid w:val="00103CD6"/>
    <w:rsid w:val="00106B19"/>
    <w:rsid w:val="001133EF"/>
    <w:rsid w:val="00115D93"/>
    <w:rsid w:val="001247A8"/>
    <w:rsid w:val="00136E86"/>
    <w:rsid w:val="001378C0"/>
    <w:rsid w:val="001639D1"/>
    <w:rsid w:val="00170D46"/>
    <w:rsid w:val="0018694A"/>
    <w:rsid w:val="001A1303"/>
    <w:rsid w:val="001A3287"/>
    <w:rsid w:val="001A6363"/>
    <w:rsid w:val="001A6508"/>
    <w:rsid w:val="001D4C31"/>
    <w:rsid w:val="001E16BA"/>
    <w:rsid w:val="001E4D21"/>
    <w:rsid w:val="00207CD1"/>
    <w:rsid w:val="00226657"/>
    <w:rsid w:val="00227F2D"/>
    <w:rsid w:val="002477A2"/>
    <w:rsid w:val="002617B4"/>
    <w:rsid w:val="00263A51"/>
    <w:rsid w:val="00267E02"/>
    <w:rsid w:val="00286BD3"/>
    <w:rsid w:val="002A5D44"/>
    <w:rsid w:val="002E0BC4"/>
    <w:rsid w:val="002F1B76"/>
    <w:rsid w:val="0033568E"/>
    <w:rsid w:val="00355FF5"/>
    <w:rsid w:val="00361350"/>
    <w:rsid w:val="00371C40"/>
    <w:rsid w:val="003A4F64"/>
    <w:rsid w:val="003B2B21"/>
    <w:rsid w:val="003C300A"/>
    <w:rsid w:val="003C3FAE"/>
    <w:rsid w:val="003F1AD1"/>
    <w:rsid w:val="004038CB"/>
    <w:rsid w:val="0040546F"/>
    <w:rsid w:val="004054EE"/>
    <w:rsid w:val="004108F4"/>
    <w:rsid w:val="0042404A"/>
    <w:rsid w:val="0044618F"/>
    <w:rsid w:val="004549F7"/>
    <w:rsid w:val="0046769A"/>
    <w:rsid w:val="00475FB3"/>
    <w:rsid w:val="00484343"/>
    <w:rsid w:val="004C37A9"/>
    <w:rsid w:val="004D1D50"/>
    <w:rsid w:val="004E1114"/>
    <w:rsid w:val="004F259E"/>
    <w:rsid w:val="004F4F3D"/>
    <w:rsid w:val="00511F1D"/>
    <w:rsid w:val="00512CBC"/>
    <w:rsid w:val="00520F36"/>
    <w:rsid w:val="00532FE5"/>
    <w:rsid w:val="00534E13"/>
    <w:rsid w:val="00540615"/>
    <w:rsid w:val="00540A6D"/>
    <w:rsid w:val="00566679"/>
    <w:rsid w:val="00571EEA"/>
    <w:rsid w:val="00575417"/>
    <w:rsid w:val="005768E1"/>
    <w:rsid w:val="00581B6B"/>
    <w:rsid w:val="005A2A78"/>
    <w:rsid w:val="005A423E"/>
    <w:rsid w:val="005B1938"/>
    <w:rsid w:val="005B38C2"/>
    <w:rsid w:val="005B438A"/>
    <w:rsid w:val="005C3890"/>
    <w:rsid w:val="005C6774"/>
    <w:rsid w:val="005F499D"/>
    <w:rsid w:val="005F7BFE"/>
    <w:rsid w:val="00600017"/>
    <w:rsid w:val="00604672"/>
    <w:rsid w:val="00621226"/>
    <w:rsid w:val="006235CA"/>
    <w:rsid w:val="00632582"/>
    <w:rsid w:val="00663DE7"/>
    <w:rsid w:val="006643AB"/>
    <w:rsid w:val="0066655E"/>
    <w:rsid w:val="00685DE1"/>
    <w:rsid w:val="006A0A07"/>
    <w:rsid w:val="006A11AE"/>
    <w:rsid w:val="006E3D9F"/>
    <w:rsid w:val="006F0A53"/>
    <w:rsid w:val="006F14BB"/>
    <w:rsid w:val="006F6B78"/>
    <w:rsid w:val="00703E6F"/>
    <w:rsid w:val="00707B49"/>
    <w:rsid w:val="007210CD"/>
    <w:rsid w:val="007235E8"/>
    <w:rsid w:val="00732045"/>
    <w:rsid w:val="0073275D"/>
    <w:rsid w:val="007369DB"/>
    <w:rsid w:val="0075390B"/>
    <w:rsid w:val="00753C21"/>
    <w:rsid w:val="0078276F"/>
    <w:rsid w:val="007956C2"/>
    <w:rsid w:val="007A187E"/>
    <w:rsid w:val="007C72C2"/>
    <w:rsid w:val="007D4436"/>
    <w:rsid w:val="007F0C75"/>
    <w:rsid w:val="007F127A"/>
    <w:rsid w:val="007F257A"/>
    <w:rsid w:val="007F3665"/>
    <w:rsid w:val="00800037"/>
    <w:rsid w:val="0080508F"/>
    <w:rsid w:val="008103A2"/>
    <w:rsid w:val="00814018"/>
    <w:rsid w:val="0082299A"/>
    <w:rsid w:val="0083391C"/>
    <w:rsid w:val="00840542"/>
    <w:rsid w:val="008500CB"/>
    <w:rsid w:val="00857403"/>
    <w:rsid w:val="00861D73"/>
    <w:rsid w:val="00890C2D"/>
    <w:rsid w:val="00897553"/>
    <w:rsid w:val="008A4E87"/>
    <w:rsid w:val="008B6DEA"/>
    <w:rsid w:val="008D6E4A"/>
    <w:rsid w:val="008D76E6"/>
    <w:rsid w:val="008E3203"/>
    <w:rsid w:val="008F28EA"/>
    <w:rsid w:val="00905064"/>
    <w:rsid w:val="00920495"/>
    <w:rsid w:val="0092392D"/>
    <w:rsid w:val="00926940"/>
    <w:rsid w:val="0093234A"/>
    <w:rsid w:val="00944D99"/>
    <w:rsid w:val="00956A78"/>
    <w:rsid w:val="00961B89"/>
    <w:rsid w:val="0097363B"/>
    <w:rsid w:val="00973F53"/>
    <w:rsid w:val="009A6BAA"/>
    <w:rsid w:val="009B7AC5"/>
    <w:rsid w:val="009C307F"/>
    <w:rsid w:val="009C353C"/>
    <w:rsid w:val="009D4C75"/>
    <w:rsid w:val="00A12465"/>
    <w:rsid w:val="00A2113E"/>
    <w:rsid w:val="00A23A51"/>
    <w:rsid w:val="00A24607"/>
    <w:rsid w:val="00A255D6"/>
    <w:rsid w:val="00A25CD3"/>
    <w:rsid w:val="00A36CCB"/>
    <w:rsid w:val="00A51849"/>
    <w:rsid w:val="00A6721A"/>
    <w:rsid w:val="00A709FE"/>
    <w:rsid w:val="00A73C60"/>
    <w:rsid w:val="00A82767"/>
    <w:rsid w:val="00A94859"/>
    <w:rsid w:val="00A95FD3"/>
    <w:rsid w:val="00AA332F"/>
    <w:rsid w:val="00AA43BD"/>
    <w:rsid w:val="00AA7BBB"/>
    <w:rsid w:val="00AB61C1"/>
    <w:rsid w:val="00AB64A8"/>
    <w:rsid w:val="00AC0266"/>
    <w:rsid w:val="00AC34C7"/>
    <w:rsid w:val="00AD24EC"/>
    <w:rsid w:val="00AD2DFE"/>
    <w:rsid w:val="00AE3590"/>
    <w:rsid w:val="00B2331D"/>
    <w:rsid w:val="00B309F9"/>
    <w:rsid w:val="00B32B60"/>
    <w:rsid w:val="00B4183D"/>
    <w:rsid w:val="00B61619"/>
    <w:rsid w:val="00BA6D9B"/>
    <w:rsid w:val="00BB4545"/>
    <w:rsid w:val="00BD30DE"/>
    <w:rsid w:val="00BD521E"/>
    <w:rsid w:val="00BD5873"/>
    <w:rsid w:val="00BE669F"/>
    <w:rsid w:val="00BF27B7"/>
    <w:rsid w:val="00BF4B60"/>
    <w:rsid w:val="00C0401F"/>
    <w:rsid w:val="00C0436D"/>
    <w:rsid w:val="00C04BE3"/>
    <w:rsid w:val="00C25D29"/>
    <w:rsid w:val="00C27A7C"/>
    <w:rsid w:val="00C37050"/>
    <w:rsid w:val="00C42437"/>
    <w:rsid w:val="00C96AB4"/>
    <w:rsid w:val="00CA08ED"/>
    <w:rsid w:val="00CE4656"/>
    <w:rsid w:val="00CF183B"/>
    <w:rsid w:val="00D2179D"/>
    <w:rsid w:val="00D24E6B"/>
    <w:rsid w:val="00D34069"/>
    <w:rsid w:val="00D375CD"/>
    <w:rsid w:val="00D553A2"/>
    <w:rsid w:val="00D72F49"/>
    <w:rsid w:val="00D774D3"/>
    <w:rsid w:val="00D8205C"/>
    <w:rsid w:val="00D904E8"/>
    <w:rsid w:val="00D9147D"/>
    <w:rsid w:val="00DA08C3"/>
    <w:rsid w:val="00DA310D"/>
    <w:rsid w:val="00DB5A3E"/>
    <w:rsid w:val="00DC22AA"/>
    <w:rsid w:val="00DF74DD"/>
    <w:rsid w:val="00E1632F"/>
    <w:rsid w:val="00E25AD0"/>
    <w:rsid w:val="00E417E3"/>
    <w:rsid w:val="00E4428F"/>
    <w:rsid w:val="00E73969"/>
    <w:rsid w:val="00E93668"/>
    <w:rsid w:val="00E95647"/>
    <w:rsid w:val="00EB178B"/>
    <w:rsid w:val="00EB6350"/>
    <w:rsid w:val="00EC15B8"/>
    <w:rsid w:val="00EF13F8"/>
    <w:rsid w:val="00F120B2"/>
    <w:rsid w:val="00F15B57"/>
    <w:rsid w:val="00F27BB7"/>
    <w:rsid w:val="00F3193A"/>
    <w:rsid w:val="00F35EF4"/>
    <w:rsid w:val="00F36104"/>
    <w:rsid w:val="00F37FE5"/>
    <w:rsid w:val="00F427DB"/>
    <w:rsid w:val="00F54655"/>
    <w:rsid w:val="00F566C6"/>
    <w:rsid w:val="00F87887"/>
    <w:rsid w:val="00FA5EB1"/>
    <w:rsid w:val="00FA7439"/>
    <w:rsid w:val="00FC312A"/>
    <w:rsid w:val="00FC4EC0"/>
    <w:rsid w:val="00FE6F2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75390B"/>
    <w:rPr>
      <w:rFonts w:asciiTheme="minorHAnsi" w:hAnsiTheme="minorHAnsi" w:cstheme="minorHAnsi"/>
    </w:rPr>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D2179D"/>
    <w:rPr>
      <w:sz w:val="16"/>
      <w:szCs w:val="16"/>
    </w:rPr>
  </w:style>
  <w:style w:type="paragraph" w:styleId="CommentText">
    <w:name w:val="annotation text"/>
    <w:basedOn w:val="Normal"/>
    <w:link w:val="CommentTextChar"/>
    <w:unhideWhenUsed/>
    <w:rsid w:val="00D2179D"/>
    <w:rPr>
      <w:sz w:val="20"/>
    </w:rPr>
  </w:style>
  <w:style w:type="character" w:customStyle="1" w:styleId="CommentTextChar">
    <w:name w:val="Comment Text Char"/>
    <w:basedOn w:val="DefaultParagraphFont"/>
    <w:link w:val="CommentText"/>
    <w:rsid w:val="00D2179D"/>
    <w:rPr>
      <w:rFonts w:ascii="Calibri" w:hAnsi="Calibri"/>
      <w:lang w:val="fr-FR" w:eastAsia="en-US"/>
    </w:rPr>
  </w:style>
  <w:style w:type="paragraph" w:styleId="CommentSubject">
    <w:name w:val="annotation subject"/>
    <w:basedOn w:val="CommentText"/>
    <w:next w:val="CommentText"/>
    <w:link w:val="CommentSubjectChar"/>
    <w:semiHidden/>
    <w:unhideWhenUsed/>
    <w:rsid w:val="00D2179D"/>
    <w:rPr>
      <w:b/>
      <w:bCs/>
    </w:rPr>
  </w:style>
  <w:style w:type="character" w:customStyle="1" w:styleId="CommentSubjectChar">
    <w:name w:val="Comment Subject Char"/>
    <w:basedOn w:val="CommentTextChar"/>
    <w:link w:val="CommentSubject"/>
    <w:semiHidden/>
    <w:rsid w:val="00D2179D"/>
    <w:rPr>
      <w:rFonts w:ascii="Calibri" w:hAnsi="Calibri"/>
      <w:b/>
      <w:bCs/>
      <w:lang w:val="fr-FR" w:eastAsia="en-US"/>
    </w:rPr>
  </w:style>
  <w:style w:type="paragraph" w:styleId="BalloonText">
    <w:name w:val="Balloon Text"/>
    <w:basedOn w:val="Normal"/>
    <w:link w:val="BalloonTextChar"/>
    <w:semiHidden/>
    <w:unhideWhenUsed/>
    <w:rsid w:val="00D2179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179D"/>
    <w:rPr>
      <w:rFonts w:ascii="Segoe UI" w:hAnsi="Segoe UI" w:cs="Segoe UI"/>
      <w:sz w:val="18"/>
      <w:szCs w:val="18"/>
      <w:lang w:val="fr-FR" w:eastAsia="en-US"/>
    </w:rPr>
  </w:style>
  <w:style w:type="paragraph" w:styleId="ListParagraph">
    <w:name w:val="List Paragraph"/>
    <w:basedOn w:val="Normal"/>
    <w:uiPriority w:val="34"/>
    <w:qFormat/>
    <w:rsid w:val="000369A9"/>
    <w:pPr>
      <w:ind w:left="720"/>
      <w:contextualSpacing/>
    </w:pPr>
  </w:style>
  <w:style w:type="character" w:styleId="UnresolvedMention">
    <w:name w:val="Unresolved Mention"/>
    <w:basedOn w:val="DefaultParagraphFont"/>
    <w:uiPriority w:val="99"/>
    <w:semiHidden/>
    <w:unhideWhenUsed/>
    <w:rsid w:val="00F5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17/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3-CL-C-0112/fr" TargetMode="External"/><Relationship Id="rId4" Type="http://schemas.openxmlformats.org/officeDocument/2006/relationships/settings" Target="settings.xml"/><Relationship Id="rId9" Type="http://schemas.openxmlformats.org/officeDocument/2006/relationships/hyperlink" Target="https://www.itu.int/en/council/Documents/basic-texts-2023/DEC-011-F.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CBC7-F425-4B78-8DD6-01FE3703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721</Words>
  <Characters>4251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1428 - Establishment of CWG-SFP</vt:lpstr>
      <vt:lpstr>Élaboration du plan stratégique et du plan financier de l'UIT pour la période 2028-2031</vt:lpstr>
    </vt:vector>
  </TitlesOfParts>
  <Manager>Secrétariat général - Pool</Manager>
  <Company>Union internationale des télécommunications (UIT)</Company>
  <LinksUpToDate>false</LinksUpToDate>
  <CharactersWithSpaces>4963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1428 - Establishment of CWG-SFP</dc:title>
  <dc:subject>2024 session of the Council</dc:subject>
  <cp:keywords>Council-24; C24; Council 2024</cp:keywords>
  <dc:description/>
  <cp:lastModifiedBy>Brouard, Ricarda</cp:lastModifiedBy>
  <cp:revision>2</cp:revision>
  <cp:lastPrinted>2000-07-18T08:55:00Z</cp:lastPrinted>
  <dcterms:created xsi:type="dcterms:W3CDTF">2024-06-14T12:45:00Z</dcterms:created>
  <dcterms:modified xsi:type="dcterms:W3CDTF">2024-07-18T14:13:00Z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