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F2007" w14:paraId="2592CC74" w14:textId="77777777" w:rsidTr="00D72F49">
        <w:trPr>
          <w:cantSplit/>
          <w:trHeight w:val="23"/>
        </w:trPr>
        <w:tc>
          <w:tcPr>
            <w:tcW w:w="3969" w:type="dxa"/>
            <w:vMerge w:val="restart"/>
            <w:tcMar>
              <w:left w:w="0" w:type="dxa"/>
            </w:tcMar>
          </w:tcPr>
          <w:p w14:paraId="27E56DEB" w14:textId="4F783266" w:rsidR="00D72F49" w:rsidRPr="007F2007" w:rsidRDefault="00D72F49" w:rsidP="00A35041">
            <w:pPr>
              <w:tabs>
                <w:tab w:val="left" w:pos="851"/>
              </w:tabs>
              <w:spacing w:before="0"/>
              <w:rPr>
                <w:b/>
              </w:rPr>
            </w:pPr>
          </w:p>
        </w:tc>
        <w:tc>
          <w:tcPr>
            <w:tcW w:w="5245" w:type="dxa"/>
          </w:tcPr>
          <w:p w14:paraId="27B6A98A" w14:textId="5CACA521" w:rsidR="00D72F49" w:rsidRPr="007F2007" w:rsidRDefault="00D72F49" w:rsidP="00A35041">
            <w:pPr>
              <w:tabs>
                <w:tab w:val="left" w:pos="851"/>
              </w:tabs>
              <w:spacing w:before="0"/>
              <w:jc w:val="right"/>
              <w:rPr>
                <w:b/>
              </w:rPr>
            </w:pPr>
            <w:r w:rsidRPr="007F2007">
              <w:rPr>
                <w:b/>
              </w:rPr>
              <w:t>Document C2</w:t>
            </w:r>
            <w:r w:rsidR="0073275D" w:rsidRPr="007F2007">
              <w:rPr>
                <w:b/>
              </w:rPr>
              <w:t>4</w:t>
            </w:r>
            <w:r w:rsidRPr="007F2007">
              <w:rPr>
                <w:b/>
              </w:rPr>
              <w:t>/</w:t>
            </w:r>
            <w:r w:rsidR="00A03B71">
              <w:rPr>
                <w:b/>
              </w:rPr>
              <w:t>138</w:t>
            </w:r>
            <w:r w:rsidRPr="007F2007">
              <w:rPr>
                <w:b/>
              </w:rPr>
              <w:t>-F</w:t>
            </w:r>
          </w:p>
        </w:tc>
      </w:tr>
      <w:tr w:rsidR="00D72F49" w:rsidRPr="007F2007" w14:paraId="41096C77" w14:textId="77777777" w:rsidTr="00D72F49">
        <w:trPr>
          <w:cantSplit/>
        </w:trPr>
        <w:tc>
          <w:tcPr>
            <w:tcW w:w="3969" w:type="dxa"/>
            <w:vMerge/>
          </w:tcPr>
          <w:p w14:paraId="0BBA5643" w14:textId="77777777" w:rsidR="00D72F49" w:rsidRPr="007F2007" w:rsidRDefault="00D72F49" w:rsidP="00A35041">
            <w:pPr>
              <w:tabs>
                <w:tab w:val="left" w:pos="851"/>
              </w:tabs>
              <w:rPr>
                <w:b/>
              </w:rPr>
            </w:pPr>
          </w:p>
        </w:tc>
        <w:tc>
          <w:tcPr>
            <w:tcW w:w="5245" w:type="dxa"/>
          </w:tcPr>
          <w:p w14:paraId="068BECD5" w14:textId="3C74D9F1" w:rsidR="00D72F49" w:rsidRPr="007F2007" w:rsidRDefault="00C5649E" w:rsidP="00A35041">
            <w:pPr>
              <w:tabs>
                <w:tab w:val="left" w:pos="851"/>
              </w:tabs>
              <w:spacing w:before="0"/>
              <w:jc w:val="right"/>
              <w:rPr>
                <w:b/>
              </w:rPr>
            </w:pPr>
            <w:r w:rsidRPr="007F2007">
              <w:rPr>
                <w:b/>
              </w:rPr>
              <w:t>14 juin</w:t>
            </w:r>
            <w:r w:rsidR="00D72F49" w:rsidRPr="007F2007">
              <w:rPr>
                <w:b/>
              </w:rPr>
              <w:t xml:space="preserve"> 202</w:t>
            </w:r>
            <w:r w:rsidR="0073275D" w:rsidRPr="007F2007">
              <w:rPr>
                <w:b/>
              </w:rPr>
              <w:t>4</w:t>
            </w:r>
          </w:p>
        </w:tc>
      </w:tr>
      <w:tr w:rsidR="00D72F49" w:rsidRPr="007F2007" w14:paraId="17E5B988" w14:textId="77777777" w:rsidTr="00D72F49">
        <w:trPr>
          <w:cantSplit/>
          <w:trHeight w:val="23"/>
        </w:trPr>
        <w:tc>
          <w:tcPr>
            <w:tcW w:w="3969" w:type="dxa"/>
            <w:vMerge/>
          </w:tcPr>
          <w:p w14:paraId="2192D6D7" w14:textId="77777777" w:rsidR="00D72F49" w:rsidRPr="007F2007" w:rsidRDefault="00D72F49" w:rsidP="00A35041">
            <w:pPr>
              <w:tabs>
                <w:tab w:val="left" w:pos="851"/>
              </w:tabs>
              <w:rPr>
                <w:b/>
              </w:rPr>
            </w:pPr>
          </w:p>
        </w:tc>
        <w:tc>
          <w:tcPr>
            <w:tcW w:w="5245" w:type="dxa"/>
          </w:tcPr>
          <w:p w14:paraId="1948C622" w14:textId="77777777" w:rsidR="00D72F49" w:rsidRPr="007F2007" w:rsidRDefault="00D72F49" w:rsidP="00A35041">
            <w:pPr>
              <w:tabs>
                <w:tab w:val="left" w:pos="851"/>
              </w:tabs>
              <w:spacing w:before="0"/>
              <w:jc w:val="right"/>
              <w:rPr>
                <w:b/>
              </w:rPr>
            </w:pPr>
            <w:r w:rsidRPr="007F2007">
              <w:rPr>
                <w:b/>
              </w:rPr>
              <w:t>Original: anglais</w:t>
            </w:r>
          </w:p>
        </w:tc>
      </w:tr>
      <w:tr w:rsidR="00D72F49" w:rsidRPr="007F2007" w14:paraId="53623BEE" w14:textId="77777777" w:rsidTr="00D72F49">
        <w:trPr>
          <w:cantSplit/>
          <w:trHeight w:val="23"/>
        </w:trPr>
        <w:tc>
          <w:tcPr>
            <w:tcW w:w="3969" w:type="dxa"/>
          </w:tcPr>
          <w:p w14:paraId="630B4C34" w14:textId="77777777" w:rsidR="00D72F49" w:rsidRPr="007F2007" w:rsidRDefault="00D72F49" w:rsidP="00A35041">
            <w:pPr>
              <w:tabs>
                <w:tab w:val="left" w:pos="851"/>
              </w:tabs>
              <w:rPr>
                <w:b/>
              </w:rPr>
            </w:pPr>
          </w:p>
        </w:tc>
        <w:tc>
          <w:tcPr>
            <w:tcW w:w="5245" w:type="dxa"/>
          </w:tcPr>
          <w:p w14:paraId="437750C4" w14:textId="77777777" w:rsidR="00D72F49" w:rsidRPr="007F2007" w:rsidRDefault="00D72F49" w:rsidP="00A35041">
            <w:pPr>
              <w:tabs>
                <w:tab w:val="left" w:pos="851"/>
              </w:tabs>
              <w:spacing w:before="0"/>
              <w:jc w:val="right"/>
              <w:rPr>
                <w:b/>
              </w:rPr>
            </w:pPr>
          </w:p>
        </w:tc>
      </w:tr>
    </w:tbl>
    <w:p w14:paraId="6DF2AEA6" w14:textId="1C198BA8" w:rsidR="00A4229B" w:rsidRPr="00A03B71" w:rsidRDefault="00A4229B" w:rsidP="00A03B71">
      <w:pPr>
        <w:pStyle w:val="ResNo"/>
      </w:pPr>
      <w:r w:rsidRPr="00A03B71">
        <w:t>RÉSOLUTION 1372 (</w:t>
      </w:r>
      <w:r w:rsidR="00914794" w:rsidRPr="00A03B71">
        <w:t xml:space="preserve">C15, </w:t>
      </w:r>
      <w:r w:rsidR="00347B5D" w:rsidRPr="00A03B71">
        <w:rPr>
          <w:caps w:val="0"/>
        </w:rPr>
        <w:t>dernière mod</w:t>
      </w:r>
      <w:r w:rsidR="00914794" w:rsidRPr="00A03B71">
        <w:t>. C24</w:t>
      </w:r>
      <w:r w:rsidRPr="00A03B71">
        <w:t>)</w:t>
      </w:r>
    </w:p>
    <w:p w14:paraId="6FF77422" w14:textId="1062FF2A" w:rsidR="006524C6" w:rsidRPr="007F2007" w:rsidRDefault="007F2007" w:rsidP="007F2007">
      <w:pPr>
        <w:pStyle w:val="Resref"/>
      </w:pPr>
      <w:bookmarkStart w:id="0" w:name="_Hlk169259509"/>
      <w:r w:rsidRPr="007F2007">
        <w:t>(adoptée à la dixième séance plénière)</w:t>
      </w:r>
    </w:p>
    <w:bookmarkEnd w:id="0"/>
    <w:p w14:paraId="666E330B" w14:textId="68B14A18" w:rsidR="00A4229B" w:rsidRPr="007F2007" w:rsidRDefault="00A4229B" w:rsidP="00A35041">
      <w:pPr>
        <w:pStyle w:val="Restitle"/>
      </w:pPr>
      <w:r w:rsidRPr="007F2007">
        <w:t>Groupe de travail du Conseil sur l'utilisation des langues (GTC</w:t>
      </w:r>
      <w:r w:rsidR="0069355A" w:rsidRPr="007F2007">
        <w:noBreakHyphen/>
      </w:r>
      <w:r w:rsidRPr="007F2007">
        <w:t>LANG)</w:t>
      </w:r>
    </w:p>
    <w:p w14:paraId="2CA923D5" w14:textId="7A6751EA" w:rsidR="00A4229B" w:rsidRPr="007F2007" w:rsidRDefault="00A4229B" w:rsidP="00A35041">
      <w:pPr>
        <w:pStyle w:val="Normalaftertitle"/>
      </w:pPr>
      <w:r w:rsidRPr="007F2007">
        <w:t>Le Conseil de l'UIT,</w:t>
      </w:r>
    </w:p>
    <w:p w14:paraId="6FD07F5D" w14:textId="77777777" w:rsidR="00A4229B" w:rsidRPr="007F2007" w:rsidRDefault="00A4229B" w:rsidP="00A35041">
      <w:pPr>
        <w:pStyle w:val="Call"/>
      </w:pPr>
      <w:r w:rsidRPr="007F2007">
        <w:t>rappelant</w:t>
      </w:r>
    </w:p>
    <w:p w14:paraId="2CB2FC96" w14:textId="77CF5660" w:rsidR="00A4229B" w:rsidRPr="007F2007" w:rsidRDefault="00A4229B" w:rsidP="00A35041">
      <w:pPr>
        <w:snapToGrid w:val="0"/>
      </w:pPr>
      <w:r w:rsidRPr="007F2007">
        <w:rPr>
          <w:i/>
          <w:iCs/>
        </w:rPr>
        <w:t>a)</w:t>
      </w:r>
      <w:r w:rsidRPr="007F2007">
        <w:tab/>
        <w:t>la Résolution 76/268</w:t>
      </w:r>
      <w:r w:rsidR="0069355A" w:rsidRPr="007F2007">
        <w:t xml:space="preserve"> </w:t>
      </w:r>
      <w:r w:rsidR="00584A9C" w:rsidRPr="007F2007">
        <w:t xml:space="preserve">de l'Assemblée générale des Nations Unies </w:t>
      </w:r>
      <w:r w:rsidRPr="007F2007">
        <w:t>sur le multilinguisme;</w:t>
      </w:r>
    </w:p>
    <w:p w14:paraId="6990CC40" w14:textId="50A768E9" w:rsidR="00A4229B" w:rsidRPr="007F2007" w:rsidRDefault="00A4229B" w:rsidP="00A35041">
      <w:pPr>
        <w:snapToGrid w:val="0"/>
      </w:pPr>
      <w:r w:rsidRPr="007F2007">
        <w:rPr>
          <w:i/>
        </w:rPr>
        <w:t>b</w:t>
      </w:r>
      <w:r w:rsidRPr="007F2007">
        <w:t>)</w:t>
      </w:r>
      <w:r w:rsidRPr="007F2007">
        <w:tab/>
        <w:t>la Résolution 154 (Rév. Bucarest, 2022) de la Conférence de plénipotentiaires, relative à l'utilisation des six langues officielles de l'Union sur un pied d'égalité;</w:t>
      </w:r>
    </w:p>
    <w:p w14:paraId="72F89135" w14:textId="18BE40B5" w:rsidR="00A4229B" w:rsidRPr="007F2007" w:rsidRDefault="00A4229B" w:rsidP="00A35041">
      <w:pPr>
        <w:snapToGrid w:val="0"/>
      </w:pPr>
      <w:r w:rsidRPr="007F2007">
        <w:rPr>
          <w:i/>
          <w:iCs/>
        </w:rPr>
        <w:t>c)</w:t>
      </w:r>
      <w:r w:rsidRPr="007F2007">
        <w:tab/>
        <w:t>la Décision 5 (Rév. Bucarest, 2022) de la Conférence de plénipotentiaires, relative aux produits et charges de l'Union pour la période 2024-2027;</w:t>
      </w:r>
    </w:p>
    <w:p w14:paraId="5B4F7BB3" w14:textId="6809FFE5" w:rsidR="00A4229B" w:rsidRPr="007F2007" w:rsidRDefault="00A4229B" w:rsidP="00A35041">
      <w:pPr>
        <w:snapToGrid w:val="0"/>
      </w:pPr>
      <w:r w:rsidRPr="007F2007">
        <w:rPr>
          <w:i/>
          <w:iCs/>
        </w:rPr>
        <w:t>d)</w:t>
      </w:r>
      <w:r w:rsidRPr="007F2007">
        <w:rPr>
          <w:i/>
          <w:iCs/>
        </w:rPr>
        <w:tab/>
      </w:r>
      <w:r w:rsidR="005C67F0" w:rsidRPr="007F2007">
        <w:t xml:space="preserve">la </w:t>
      </w:r>
      <w:r w:rsidR="00A04FC2" w:rsidRPr="007F2007">
        <w:t>Décision 11 (Rév. Bucarest, 2022) de la Conférence de plénipotentiaires relative à la création et à la gestion des groupes de travail du Conseil</w:t>
      </w:r>
      <w:r w:rsidR="002425CC" w:rsidRPr="007F2007">
        <w:t>;</w:t>
      </w:r>
    </w:p>
    <w:p w14:paraId="44E795EA" w14:textId="55C52F7A" w:rsidR="00A4229B" w:rsidRPr="007F2007" w:rsidRDefault="002425CC" w:rsidP="00A35041">
      <w:pPr>
        <w:snapToGrid w:val="0"/>
      </w:pPr>
      <w:r w:rsidRPr="007F2007">
        <w:rPr>
          <w:i/>
          <w:iCs/>
        </w:rPr>
        <w:t>e</w:t>
      </w:r>
      <w:r w:rsidR="00A4229B" w:rsidRPr="007F2007">
        <w:rPr>
          <w:i/>
          <w:iCs/>
        </w:rPr>
        <w:t>)</w:t>
      </w:r>
      <w:r w:rsidR="00A4229B" w:rsidRPr="007F2007">
        <w:tab/>
        <w:t>la Résolution 1238 du Conseil (2005), relative à l'utilisation des six langues officielles et de travail de l'Union;</w:t>
      </w:r>
    </w:p>
    <w:p w14:paraId="036F0EFF" w14:textId="316AE48D" w:rsidR="00A4229B" w:rsidRPr="007F2007" w:rsidRDefault="002425CC" w:rsidP="00A35041">
      <w:pPr>
        <w:snapToGrid w:val="0"/>
      </w:pPr>
      <w:r w:rsidRPr="007F2007">
        <w:rPr>
          <w:i/>
          <w:iCs/>
        </w:rPr>
        <w:t>f</w:t>
      </w:r>
      <w:r w:rsidR="00A4229B" w:rsidRPr="007F2007">
        <w:rPr>
          <w:i/>
          <w:iCs/>
        </w:rPr>
        <w:t>)</w:t>
      </w:r>
      <w:r w:rsidR="00A4229B" w:rsidRPr="007F2007">
        <w:rPr>
          <w:i/>
          <w:iCs/>
        </w:rPr>
        <w:tab/>
      </w:r>
      <w:r w:rsidR="00A4229B" w:rsidRPr="007F2007">
        <w:rPr>
          <w:rFonts w:asciiTheme="minorHAnsi" w:hAnsiTheme="minorHAnsi"/>
          <w:szCs w:val="24"/>
        </w:rPr>
        <w:t xml:space="preserve">la Résolution 1386 </w:t>
      </w:r>
      <w:r w:rsidR="00681436" w:rsidRPr="007F2007">
        <w:t xml:space="preserve">du Conseil </w:t>
      </w:r>
      <w:r w:rsidR="00681436" w:rsidRPr="002F1043">
        <w:t>(C17, dernière mod. C24)</w:t>
      </w:r>
      <w:r w:rsidR="0069355A" w:rsidRPr="007F2007">
        <w:rPr>
          <w:rFonts w:asciiTheme="minorHAnsi" w:hAnsiTheme="minorHAnsi"/>
          <w:szCs w:val="24"/>
        </w:rPr>
        <w:t>,</w:t>
      </w:r>
      <w:r w:rsidR="00A4229B" w:rsidRPr="007F2007">
        <w:rPr>
          <w:rFonts w:asciiTheme="minorHAnsi" w:hAnsiTheme="minorHAnsi"/>
          <w:szCs w:val="24"/>
        </w:rPr>
        <w:t xml:space="preserve"> intitulée "Comité de coordination de l'UIT pour la terminologie (CCT de l'UIT)</w:t>
      </w:r>
      <w:r w:rsidR="006D5D59" w:rsidRPr="007F2007">
        <w:rPr>
          <w:rFonts w:asciiTheme="minorHAnsi" w:hAnsiTheme="minorHAnsi"/>
          <w:szCs w:val="24"/>
        </w:rPr>
        <w:t>"</w:t>
      </w:r>
      <w:r w:rsidR="00A4229B" w:rsidRPr="007F2007">
        <w:rPr>
          <w:rFonts w:asciiTheme="minorHAnsi" w:hAnsiTheme="minorHAnsi"/>
          <w:szCs w:val="24"/>
        </w:rPr>
        <w:t>,</w:t>
      </w:r>
    </w:p>
    <w:p w14:paraId="6FB61296" w14:textId="693F546B" w:rsidR="002425CC" w:rsidRPr="007F2007" w:rsidRDefault="00BA4E95" w:rsidP="00A35041">
      <w:pPr>
        <w:pStyle w:val="Call"/>
      </w:pPr>
      <w:r w:rsidRPr="007F2007">
        <w:t>tenant compte du fait</w:t>
      </w:r>
    </w:p>
    <w:p w14:paraId="2AE6E5D5" w14:textId="485CDED4" w:rsidR="002425CC" w:rsidRPr="007F2007" w:rsidRDefault="00CF3BA5" w:rsidP="00A35041">
      <w:r w:rsidRPr="007F2007">
        <w:t xml:space="preserve">que dans sa Résolution 154 (Rév. Bucarest, 2022), la Conférence de plénipotentiaires </w:t>
      </w:r>
      <w:r w:rsidR="006A335E" w:rsidRPr="007F2007">
        <w:t>charge le Conseil de maintenir le GTC-LANG,</w:t>
      </w:r>
    </w:p>
    <w:p w14:paraId="22FA275B" w14:textId="77777777" w:rsidR="00A4229B" w:rsidRPr="007F2007" w:rsidRDefault="00A4229B" w:rsidP="00A35041">
      <w:pPr>
        <w:pStyle w:val="Call"/>
      </w:pPr>
      <w:r w:rsidRPr="007F2007">
        <w:t>reconnaissant</w:t>
      </w:r>
    </w:p>
    <w:p w14:paraId="71C49F5A" w14:textId="4E9F9E41" w:rsidR="00A4229B" w:rsidRPr="007F2007" w:rsidRDefault="00A4229B" w:rsidP="00A35041">
      <w:pPr>
        <w:snapToGrid w:val="0"/>
      </w:pPr>
      <w:r w:rsidRPr="007F2007">
        <w:rPr>
          <w:i/>
          <w:iCs/>
        </w:rPr>
        <w:t>a)</w:t>
      </w:r>
      <w:r w:rsidRPr="007F2007">
        <w:tab/>
        <w:t>les travaux du GTC-LANG, ainsi que le travail accompli par le secrétariat pour mettre en œuvre les recommandations du Groupe de travail, comme convenu par le Conseil à ses sessions, en particulier en ce qui concerne le regroupement des bases de données linguistiques relatives aux définitions et à la terminologie, de même que la centralisation des fonctions d'édition et l'harmonisation et l'homogénéisation des méthodes de travail des six services linguistiques;</w:t>
      </w:r>
    </w:p>
    <w:p w14:paraId="1F2242F9" w14:textId="77777777" w:rsidR="00A4229B" w:rsidRPr="007F2007" w:rsidRDefault="00A4229B" w:rsidP="00A35041">
      <w:pPr>
        <w:snapToGrid w:val="0"/>
      </w:pPr>
      <w:r w:rsidRPr="007F2007">
        <w:rPr>
          <w:i/>
          <w:iCs/>
        </w:rPr>
        <w:t>b)</w:t>
      </w:r>
      <w:r w:rsidRPr="007F2007">
        <w:tab/>
        <w:t>l'outil essentiel que représente le site Web de l'Union pour les États Membres, les médias, les organisations non gouvernementales, les établissements d'enseignement et le grand public,</w:t>
      </w:r>
    </w:p>
    <w:p w14:paraId="007006EE" w14:textId="77777777" w:rsidR="00A4229B" w:rsidRPr="007F2007" w:rsidRDefault="00A4229B" w:rsidP="00A35041">
      <w:pPr>
        <w:pStyle w:val="Call"/>
      </w:pPr>
      <w:r w:rsidRPr="007F2007">
        <w:lastRenderedPageBreak/>
        <w:t>reconnaissant en outre</w:t>
      </w:r>
    </w:p>
    <w:p w14:paraId="64C67BFA" w14:textId="77777777" w:rsidR="00A4229B" w:rsidRPr="007F2007" w:rsidRDefault="00A4229B" w:rsidP="00A35041">
      <w:pPr>
        <w:snapToGrid w:val="0"/>
      </w:pPr>
      <w:r w:rsidRPr="007F2007">
        <w:t>les contraintes budgétaires qui pèsent sur l'Union,</w:t>
      </w:r>
    </w:p>
    <w:p w14:paraId="2D8F0369" w14:textId="77777777" w:rsidR="00A4229B" w:rsidRPr="007F2007" w:rsidRDefault="00A4229B" w:rsidP="00A35041">
      <w:pPr>
        <w:pStyle w:val="Call"/>
      </w:pPr>
      <w:r w:rsidRPr="007F2007">
        <w:t>notant</w:t>
      </w:r>
    </w:p>
    <w:p w14:paraId="62828D10" w14:textId="77777777" w:rsidR="00A4229B" w:rsidRPr="007F2007" w:rsidRDefault="00A4229B" w:rsidP="00A35041">
      <w:pPr>
        <w:snapToGrid w:val="0"/>
      </w:pPr>
      <w:r w:rsidRPr="007F2007">
        <w:rPr>
          <w:i/>
          <w:iCs/>
        </w:rPr>
        <w:t>a)</w:t>
      </w:r>
      <w:r w:rsidRPr="007F2007">
        <w:tab/>
        <w:t>que les Groupes consultatifs des trois Secteurs de l'Union ont régulièrement examiné les recommandations relatives aux modifications provisoires qu'il conviendrait d'apporter aux méthodes de travail et pratiques se rapportant à l'utilisation des langues, dans le but de réduire les dépenses correspondantes;</w:t>
      </w:r>
    </w:p>
    <w:p w14:paraId="456A8850" w14:textId="57DA2CAE" w:rsidR="00A4229B" w:rsidRPr="007F2007" w:rsidRDefault="00A4229B" w:rsidP="00A35041">
      <w:pPr>
        <w:snapToGrid w:val="0"/>
      </w:pPr>
      <w:r w:rsidRPr="007F2007">
        <w:rPr>
          <w:i/>
          <w:iCs/>
        </w:rPr>
        <w:t>b)</w:t>
      </w:r>
      <w:r w:rsidRPr="007F2007">
        <w:tab/>
        <w:t>les travaux du CCT de l'UIT concernant l'adoption et l'approbation de termes et de définitions dans le domaine des télécommunications/TIC dans les six langues officielles de l'Union,</w:t>
      </w:r>
    </w:p>
    <w:p w14:paraId="22FC3550" w14:textId="77777777" w:rsidR="00A4229B" w:rsidRPr="007F2007" w:rsidRDefault="00A4229B" w:rsidP="00A35041">
      <w:pPr>
        <w:pStyle w:val="Call"/>
      </w:pPr>
      <w:r w:rsidRPr="007F2007">
        <w:t>décide</w:t>
      </w:r>
    </w:p>
    <w:p w14:paraId="40960625" w14:textId="77777777" w:rsidR="00A4229B" w:rsidRPr="007F2007" w:rsidRDefault="00A4229B" w:rsidP="00A35041">
      <w:pPr>
        <w:snapToGrid w:val="0"/>
      </w:pPr>
      <w:r w:rsidRPr="007F2007">
        <w:t>1</w:t>
      </w:r>
      <w:r w:rsidRPr="007F2007">
        <w:tab/>
        <w:t>de maintenir le GTC-LANG, ouvert à tous les États Membres de l'Union, en particulier à ceux représentant une ou plusieurs des six langues officielles de l'Union, qui travaillera essentiellement par correspondance;</w:t>
      </w:r>
    </w:p>
    <w:p w14:paraId="5676893D" w14:textId="77777777" w:rsidR="00A4229B" w:rsidRPr="007F2007" w:rsidRDefault="00A4229B" w:rsidP="00A35041">
      <w:pPr>
        <w:snapToGrid w:val="0"/>
      </w:pPr>
      <w:r w:rsidRPr="007F2007">
        <w:t>2</w:t>
      </w:r>
      <w:r w:rsidRPr="007F2007">
        <w:tab/>
        <w:t>d'approuver le mandat figurant dans l'Annexe;</w:t>
      </w:r>
    </w:p>
    <w:p w14:paraId="1C7BD429" w14:textId="77777777" w:rsidR="00A4229B" w:rsidRPr="007F2007" w:rsidRDefault="00A4229B" w:rsidP="00A35041">
      <w:pPr>
        <w:snapToGrid w:val="0"/>
      </w:pPr>
      <w:r w:rsidRPr="007F2007">
        <w:t>3</w:t>
      </w:r>
      <w:r w:rsidRPr="007F2007">
        <w:tab/>
        <w:t>de charger le GTC</w:t>
      </w:r>
      <w:r w:rsidRPr="007F2007">
        <w:noBreakHyphen/>
        <w:t>LANG de soumettre des rapports d'activité annuels au Conseil,</w:t>
      </w:r>
    </w:p>
    <w:p w14:paraId="5586EB0E" w14:textId="65CEBE6F" w:rsidR="00A4229B" w:rsidRPr="007F2007" w:rsidRDefault="00A4229B" w:rsidP="00A35041">
      <w:pPr>
        <w:pStyle w:val="Call"/>
      </w:pPr>
      <w:r w:rsidRPr="007F2007">
        <w:t>charge le Secrétaire général, en étroite coordination avec les Directeurs des Bureaux et avec les conseils du Groupe de travail sur l'utilisation des langues</w:t>
      </w:r>
    </w:p>
    <w:p w14:paraId="33F460D6" w14:textId="5CA5AC3E" w:rsidR="00A4229B" w:rsidRPr="007F2007" w:rsidRDefault="00A4229B" w:rsidP="00A35041">
      <w:pPr>
        <w:snapToGrid w:val="0"/>
      </w:pPr>
      <w:r w:rsidRPr="007F2007">
        <w:t>1</w:t>
      </w:r>
      <w:r w:rsidRPr="007F2007">
        <w:tab/>
        <w:t>de prendre toutes les mesures nécessaires pour achever la mise en œuvre de la Résolution 154 (Rév. </w:t>
      </w:r>
      <w:r w:rsidR="002425CC" w:rsidRPr="007F2007">
        <w:t>Bucarest, 2022</w:t>
      </w:r>
      <w:r w:rsidR="00D13891" w:rsidRPr="007F2007">
        <w:t>)</w:t>
      </w:r>
      <w:r w:rsidR="00065CD1" w:rsidRPr="007F2007">
        <w:t xml:space="preserve"> et</w:t>
      </w:r>
      <w:r w:rsidR="00D13891" w:rsidRPr="007F2007">
        <w:t xml:space="preserve"> </w:t>
      </w:r>
      <w:r w:rsidR="00721AE1" w:rsidRPr="007F2007">
        <w:t xml:space="preserve">de maintenir le GTC-LANG, afin </w:t>
      </w:r>
      <w:r w:rsidR="00B01A73" w:rsidRPr="007F2007">
        <w:t>qu</w:t>
      </w:r>
      <w:r w:rsidR="00392FDB" w:rsidRPr="007F2007">
        <w:t>'</w:t>
      </w:r>
      <w:r w:rsidR="00B01A73" w:rsidRPr="007F2007">
        <w:t xml:space="preserve">il suive </w:t>
      </w:r>
      <w:r w:rsidR="00721AE1" w:rsidRPr="007F2007">
        <w:t xml:space="preserve">les progrès accomplis et </w:t>
      </w:r>
      <w:r w:rsidR="00B01A73" w:rsidRPr="007F2007">
        <w:t xml:space="preserve">fasse </w:t>
      </w:r>
      <w:r w:rsidR="00721AE1" w:rsidRPr="007F2007">
        <w:t xml:space="preserve">rapport au Conseil sur la mise en œuvre de la présente Résolution, en travaillant en étroite collaboration avec le CCT et le Groupe de travail du Conseil sur les ressources financières et les ressources humaines </w:t>
      </w:r>
      <w:r w:rsidRPr="007F2007">
        <w:t>dans les limites financières de l'Union fixées dans son budget, tout en garantissant le niveau élevé de qualité requis de l'interprétation et de la traduction;</w:t>
      </w:r>
    </w:p>
    <w:p w14:paraId="4133C909" w14:textId="1D0107CC" w:rsidR="00A4229B" w:rsidRPr="007F2007" w:rsidRDefault="00A4229B" w:rsidP="00A35041">
      <w:pPr>
        <w:snapToGrid w:val="0"/>
      </w:pPr>
      <w:r w:rsidRPr="007F2007">
        <w:t>2</w:t>
      </w:r>
      <w:r w:rsidRPr="007F2007">
        <w:tab/>
        <w:t>conformément à la Résolution 154 (Rév. </w:t>
      </w:r>
      <w:r w:rsidR="002425CC" w:rsidRPr="007F2007">
        <w:t>Bucarest, 2022</w:t>
      </w:r>
      <w:r w:rsidRPr="007F2007">
        <w:t>), de présenter chaque année au Conseil et au GTC-LANG un rapport sur la mise en œuvre de la Résolution 154 (Rév. </w:t>
      </w:r>
      <w:r w:rsidR="002425CC" w:rsidRPr="007F2007">
        <w:t>Bucarest, 2022</w:t>
      </w:r>
      <w:r w:rsidRPr="007F2007">
        <w:t>);</w:t>
      </w:r>
    </w:p>
    <w:p w14:paraId="7AB42932" w14:textId="77777777" w:rsidR="00A4229B" w:rsidRPr="007F2007" w:rsidRDefault="00A4229B" w:rsidP="00A35041">
      <w:pPr>
        <w:snapToGrid w:val="0"/>
      </w:pPr>
      <w:r w:rsidRPr="007F2007">
        <w:t>3</w:t>
      </w:r>
      <w:r w:rsidRPr="007F2007">
        <w:tab/>
        <w:t>d'intensifier les travaux menés afin d'harmoniser les sites web des Secteurs de l'UIT de façon à garantir l'utilisation des six langues officielles de l'Union sur un pied d'égalité,</w:t>
      </w:r>
    </w:p>
    <w:p w14:paraId="6C9D5594" w14:textId="77777777" w:rsidR="00A4229B" w:rsidRPr="007F2007" w:rsidRDefault="00A4229B" w:rsidP="00A35041">
      <w:pPr>
        <w:pStyle w:val="Call"/>
      </w:pPr>
      <w:r w:rsidRPr="007F2007">
        <w:t>charge en outre le Secrétaire général et les Directeurs des Bureaux</w:t>
      </w:r>
    </w:p>
    <w:p w14:paraId="6AE8F6B0" w14:textId="3D73D626" w:rsidR="00A4229B" w:rsidRPr="007F2007" w:rsidRDefault="00A4229B" w:rsidP="00A35041">
      <w:pPr>
        <w:snapToGrid w:val="0"/>
      </w:pPr>
      <w:r w:rsidRPr="007F2007">
        <w:t>1</w:t>
      </w:r>
      <w:r w:rsidRPr="007F2007">
        <w:tab/>
        <w:t>de fournir toutes les informations pertinentes et toute l'assistance requise au</w:t>
      </w:r>
      <w:r w:rsidR="00392FDB" w:rsidRPr="007F2007">
        <w:t> </w:t>
      </w:r>
      <w:r w:rsidRPr="007F2007">
        <w:t>GTC</w:t>
      </w:r>
      <w:r w:rsidR="00392FDB" w:rsidRPr="007F2007">
        <w:noBreakHyphen/>
      </w:r>
      <w:r w:rsidRPr="007F2007">
        <w:t>LANG;</w:t>
      </w:r>
    </w:p>
    <w:p w14:paraId="064CBBBF" w14:textId="4B94DA40" w:rsidR="00A4229B" w:rsidRPr="007F2007" w:rsidRDefault="00A4229B" w:rsidP="00A35041">
      <w:pPr>
        <w:snapToGrid w:val="0"/>
      </w:pPr>
      <w:r w:rsidRPr="007F2007">
        <w:t>2</w:t>
      </w:r>
      <w:r w:rsidRPr="007F2007">
        <w:tab/>
        <w:t>de continuer à déterminer et à mettre en œuvre les mesures les plus efficaces pour faciliter l'application de la Résolution 154 (Rév. </w:t>
      </w:r>
      <w:r w:rsidR="002425CC" w:rsidRPr="007F2007">
        <w:t>Bucarest, 2022</w:t>
      </w:r>
      <w:r w:rsidRPr="007F2007">
        <w:t>) dans les limites financières de l'Union;</w:t>
      </w:r>
    </w:p>
    <w:p w14:paraId="30948456" w14:textId="77777777" w:rsidR="00514FF0" w:rsidRDefault="00A4229B" w:rsidP="00274747">
      <w:pPr>
        <w:keepNext/>
        <w:keepLines/>
      </w:pPr>
      <w:r w:rsidRPr="007F2007">
        <w:t>3</w:t>
      </w:r>
      <w:r w:rsidRPr="007F2007">
        <w:tab/>
        <w:t>de faire rapport au GTC-LANG sur les mesures prises afin d'assurer sur le site Web de l'UIT</w:t>
      </w:r>
      <w:r w:rsidR="00514FF0">
        <w:t>:</w:t>
      </w:r>
    </w:p>
    <w:p w14:paraId="05562E38" w14:textId="42FF9B92" w:rsidR="00514FF0" w:rsidRDefault="00A4229B" w:rsidP="004E44D9">
      <w:pPr>
        <w:pStyle w:val="enumlev1"/>
      </w:pPr>
      <w:r w:rsidRPr="007F2007">
        <w:t>i)</w:t>
      </w:r>
      <w:r w:rsidR="00514FF0">
        <w:tab/>
      </w:r>
      <w:r w:rsidRPr="007F2007">
        <w:t>une publication simultanée dans les six langues officielles des pages nouvelles ou modifiées</w:t>
      </w:r>
      <w:r w:rsidR="00514FF0">
        <w:t>,</w:t>
      </w:r>
      <w:r w:rsidRPr="007F2007">
        <w:t xml:space="preserve"> et </w:t>
      </w:r>
    </w:p>
    <w:p w14:paraId="48CB40F7" w14:textId="58FB7D37" w:rsidR="00A4229B" w:rsidRPr="007F2007" w:rsidRDefault="00A4229B" w:rsidP="004E44D9">
      <w:pPr>
        <w:pStyle w:val="enumlev1"/>
      </w:pPr>
      <w:r w:rsidRPr="007F2007">
        <w:rPr>
          <w:rFonts w:cs="Arial"/>
        </w:rPr>
        <w:lastRenderedPageBreak/>
        <w:t>ii)</w:t>
      </w:r>
      <w:r w:rsidR="00514FF0">
        <w:rPr>
          <w:rFonts w:cs="Arial"/>
        </w:rPr>
        <w:tab/>
      </w:r>
      <w:r w:rsidRPr="007F2007">
        <w:rPr>
          <w:rFonts w:cs="Arial"/>
        </w:rPr>
        <w:t>la disponibilité des mêmes caractéristiques techniques en termes de fonctionnalité et de navigation</w:t>
      </w:r>
      <w:r w:rsidR="008479F6" w:rsidRPr="007F2007">
        <w:rPr>
          <w:rFonts w:cs="Arial"/>
        </w:rPr>
        <w:t>, dans un souci de clarté et pour faciliter la navigation</w:t>
      </w:r>
      <w:r w:rsidR="002425CC" w:rsidRPr="007F2007">
        <w:t>;</w:t>
      </w:r>
    </w:p>
    <w:p w14:paraId="59DB94A4" w14:textId="3F11B96A" w:rsidR="002425CC" w:rsidRPr="007F2007" w:rsidRDefault="002425CC" w:rsidP="00274747">
      <w:pPr>
        <w:keepNext/>
        <w:keepLines/>
        <w:snapToGrid w:val="0"/>
      </w:pPr>
      <w:r w:rsidRPr="007F2007">
        <w:t>4</w:t>
      </w:r>
      <w:r w:rsidRPr="007F2007">
        <w:tab/>
      </w:r>
      <w:r w:rsidR="008479F6" w:rsidRPr="007F2007">
        <w:t>de prendre des mesures pour améliorer le moteur de recherche du site web de l</w:t>
      </w:r>
      <w:r w:rsidR="00392FDB" w:rsidRPr="007F2007">
        <w:t>'</w:t>
      </w:r>
      <w:r w:rsidR="008479F6" w:rsidRPr="007F2007">
        <w:t>UIT dans toutes les langues officielles de l</w:t>
      </w:r>
      <w:r w:rsidR="00392FDB" w:rsidRPr="007F2007">
        <w:t>'</w:t>
      </w:r>
      <w:r w:rsidR="008479F6" w:rsidRPr="007F2007">
        <w:t>Union</w:t>
      </w:r>
      <w:r w:rsidR="00906461" w:rsidRPr="007F2007">
        <w:t>.</w:t>
      </w:r>
    </w:p>
    <w:p w14:paraId="38880E82" w14:textId="77777777" w:rsidR="00A4229B" w:rsidRPr="007F2007" w:rsidRDefault="00A4229B" w:rsidP="00681436">
      <w:pPr>
        <w:pStyle w:val="Normalaftertitle"/>
        <w:spacing w:before="840"/>
        <w:rPr>
          <w:caps/>
          <w:sz w:val="28"/>
        </w:rPr>
      </w:pPr>
      <w:r w:rsidRPr="00681436">
        <w:rPr>
          <w:b/>
          <w:bCs/>
        </w:rPr>
        <w:t>Annexe</w:t>
      </w:r>
      <w:r w:rsidRPr="007F2007">
        <w:t>: 1</w:t>
      </w:r>
      <w:bookmarkStart w:id="1" w:name="_Toc458425416"/>
      <w:r w:rsidRPr="007F2007">
        <w:br w:type="page"/>
      </w:r>
    </w:p>
    <w:p w14:paraId="56A175B4" w14:textId="77777777" w:rsidR="00A4229B" w:rsidRPr="007F2007" w:rsidRDefault="00A4229B" w:rsidP="00A35041">
      <w:pPr>
        <w:pStyle w:val="AnnexNo"/>
      </w:pPr>
      <w:r w:rsidRPr="007F2007">
        <w:lastRenderedPageBreak/>
        <w:t>ANNEXE</w:t>
      </w:r>
      <w:bookmarkEnd w:id="1"/>
    </w:p>
    <w:p w14:paraId="7218FB9C" w14:textId="77777777" w:rsidR="008C3A91" w:rsidRDefault="00A4229B" w:rsidP="00681436">
      <w:pPr>
        <w:pStyle w:val="Annextitle"/>
      </w:pPr>
      <w:bookmarkStart w:id="2" w:name="_Toc458425417"/>
      <w:bookmarkStart w:id="3" w:name="_Toc164935293"/>
      <w:r w:rsidRPr="007F2007">
        <w:t>Groupe de travail du Conseil sur l'utilisation des langues (GTC</w:t>
      </w:r>
      <w:r w:rsidRPr="007F2007">
        <w:noBreakHyphen/>
        <w:t>LANG)</w:t>
      </w:r>
      <w:bookmarkStart w:id="4" w:name="_Toc164935018"/>
      <w:bookmarkEnd w:id="2"/>
      <w:bookmarkEnd w:id="3"/>
    </w:p>
    <w:p w14:paraId="685AE6B2" w14:textId="28F8F698" w:rsidR="00A4229B" w:rsidRPr="007F2007" w:rsidRDefault="00A4229B" w:rsidP="00681436">
      <w:pPr>
        <w:pStyle w:val="Annextitle"/>
        <w:rPr>
          <w:b w:val="0"/>
        </w:rPr>
      </w:pPr>
      <w:r w:rsidRPr="007F2007">
        <w:t>Mandat</w:t>
      </w:r>
      <w:bookmarkEnd w:id="4"/>
    </w:p>
    <w:p w14:paraId="025117BB" w14:textId="1AAF726D" w:rsidR="00A4229B" w:rsidRPr="007F2007" w:rsidRDefault="00A4229B" w:rsidP="00681436">
      <w:pPr>
        <w:pStyle w:val="Normalaftertitle"/>
      </w:pPr>
      <w:r w:rsidRPr="007F2007">
        <w:t>1</w:t>
      </w:r>
      <w:r w:rsidRPr="007F2007">
        <w:tab/>
        <w:t xml:space="preserve">Examiner les propositions soumises par les membres du Groupe de travail et le Secrétariat général, les Directeurs des Bureaux et les groupes consultatifs des Secteurs concernant le rapport </w:t>
      </w:r>
      <w:r w:rsidRPr="007F2007">
        <w:rPr>
          <w:spacing w:val="-2"/>
        </w:rPr>
        <w:t>soumis annuellement</w:t>
      </w:r>
      <w:r w:rsidRPr="007F2007">
        <w:t xml:space="preserve"> </w:t>
      </w:r>
      <w:r w:rsidRPr="007F2007">
        <w:rPr>
          <w:spacing w:val="-2"/>
        </w:rPr>
        <w:t>par le Secrétaire général conformément à la Résolution 154 (</w:t>
      </w:r>
      <w:r w:rsidRPr="007F2007">
        <w:t>Rév. </w:t>
      </w:r>
      <w:r w:rsidR="002425CC" w:rsidRPr="007F2007">
        <w:t>Bucarest, 2022</w:t>
      </w:r>
      <w:r w:rsidRPr="007F2007">
        <w:rPr>
          <w:spacing w:val="-2"/>
        </w:rPr>
        <w:t xml:space="preserve">) </w:t>
      </w:r>
      <w:r w:rsidRPr="007F2007">
        <w:t>de la Conférence de plénipotentiaires</w:t>
      </w:r>
      <w:r w:rsidR="00514FF0">
        <w:t>;</w:t>
      </w:r>
    </w:p>
    <w:p w14:paraId="7C0804F9" w14:textId="1D7FE798" w:rsidR="00A4229B" w:rsidRPr="007F2007" w:rsidRDefault="00A4229B" w:rsidP="00A35041">
      <w:r w:rsidRPr="007F2007">
        <w:t>2</w:t>
      </w:r>
      <w:r w:rsidRPr="007F2007">
        <w:tab/>
      </w:r>
      <w:r w:rsidR="00514FF0" w:rsidRPr="007F2007">
        <w:t xml:space="preserve">évaluer </w:t>
      </w:r>
      <w:r w:rsidRPr="007F2007">
        <w:t xml:space="preserve">la politique et les procédures actuelles de l'UIT en matière de publication pour ce qui est </w:t>
      </w:r>
      <w:r w:rsidR="0092603F" w:rsidRPr="007F2007">
        <w:t>de l</w:t>
      </w:r>
      <w:r w:rsidR="00392FDB" w:rsidRPr="007F2007">
        <w:t>'</w:t>
      </w:r>
      <w:r w:rsidR="0092603F" w:rsidRPr="007F2007">
        <w:t xml:space="preserve">ensemble des </w:t>
      </w:r>
      <w:r w:rsidRPr="007F2007">
        <w:t>langues officielles de l'Union et proposer de nouveaux mécanismes de recouvrement des coûts et de financement conformément à la Résolution 66 (Rév. </w:t>
      </w:r>
      <w:r w:rsidR="002425CC" w:rsidRPr="007F2007">
        <w:t>Bucarest, 2022</w:t>
      </w:r>
      <w:r w:rsidRPr="007F2007">
        <w:t>) de la Conférence de plénipotentiaires</w:t>
      </w:r>
      <w:r w:rsidR="00514FF0">
        <w:t>;</w:t>
      </w:r>
    </w:p>
    <w:p w14:paraId="5AB3AC75" w14:textId="14B21FEF" w:rsidR="00A4229B" w:rsidRPr="007F2007" w:rsidRDefault="00A4229B" w:rsidP="00A35041">
      <w:r w:rsidRPr="007F2007">
        <w:t>3</w:t>
      </w:r>
      <w:r w:rsidRPr="007F2007">
        <w:tab/>
      </w:r>
      <w:r w:rsidR="00514FF0" w:rsidRPr="007F2007">
        <w:t xml:space="preserve">évaluer </w:t>
      </w:r>
      <w:r w:rsidRPr="007F2007">
        <w:t>les processus du Secrétariat général et des Bureaux en matière de publication des</w:t>
      </w:r>
      <w:r w:rsidRPr="007F2007">
        <w:rPr>
          <w:rFonts w:cs="Calibri"/>
          <w:szCs w:val="24"/>
        </w:rPr>
        <w:t xml:space="preserve"> nouvelles pages du site Web de l'UIT (ainsi que les modifications des pages existantes</w:t>
      </w:r>
      <w:r w:rsidRPr="007F2007">
        <w:t>)</w:t>
      </w:r>
      <w:r w:rsidRPr="007F2007">
        <w:rPr>
          <w:rFonts w:cs="Calibri"/>
          <w:szCs w:val="24"/>
        </w:rPr>
        <w:t xml:space="preserve"> </w:t>
      </w:r>
      <w:r w:rsidRPr="007F2007">
        <w:t xml:space="preserve">et, si opportun, proposer des mesures afin que ces pages </w:t>
      </w:r>
      <w:r w:rsidRPr="007F2007">
        <w:rPr>
          <w:rFonts w:cs="Calibri"/>
          <w:szCs w:val="24"/>
        </w:rPr>
        <w:t xml:space="preserve">soient rendues accessibles au public simultanément dans </w:t>
      </w:r>
      <w:r w:rsidR="002425CC" w:rsidRPr="007F2007">
        <w:rPr>
          <w:rFonts w:cs="Calibri"/>
          <w:szCs w:val="24"/>
        </w:rPr>
        <w:t xml:space="preserve">toutes </w:t>
      </w:r>
      <w:r w:rsidRPr="007F2007">
        <w:rPr>
          <w:rFonts w:cs="Calibri"/>
          <w:szCs w:val="24"/>
        </w:rPr>
        <w:t xml:space="preserve">les langues officielles et disposent des mêmes </w:t>
      </w:r>
      <w:r w:rsidRPr="007F2007">
        <w:rPr>
          <w:rFonts w:cs="Arial"/>
          <w:szCs w:val="24"/>
        </w:rPr>
        <w:t>caractéristiques techniques en termes de fonctionnalité et de navigation</w:t>
      </w:r>
      <w:r w:rsidR="00514FF0">
        <w:t>;</w:t>
      </w:r>
    </w:p>
    <w:p w14:paraId="39EBF9EB" w14:textId="6BAC4A75" w:rsidR="00A4229B" w:rsidRPr="007F2007" w:rsidRDefault="00A4229B" w:rsidP="00A35041">
      <w:r w:rsidRPr="007F2007">
        <w:t>4</w:t>
      </w:r>
      <w:r w:rsidRPr="007F2007">
        <w:tab/>
      </w:r>
      <w:r w:rsidR="00514FF0" w:rsidRPr="007F2007">
        <w:t xml:space="preserve">élaborer </w:t>
      </w:r>
      <w:r w:rsidRPr="007F2007">
        <w:t>des recommandations relatives à l'utilisation efficace et efficiente des six</w:t>
      </w:r>
      <w:r w:rsidR="004F78DB" w:rsidRPr="007F2007">
        <w:t> </w:t>
      </w:r>
      <w:r w:rsidRPr="007F2007">
        <w:t>langues officielles de l'Union sur un pied d'égalité, prévoyant des mesures d'incitation particulières pour chaque groupe linguistique, sur la base de l'expérience pratique des Secteurs et du secrétariat</w:t>
      </w:r>
      <w:r w:rsidR="00514FF0">
        <w:t>;</w:t>
      </w:r>
    </w:p>
    <w:p w14:paraId="2CDF780D" w14:textId="6AEDD654" w:rsidR="00A4229B" w:rsidRPr="007F2007" w:rsidRDefault="00A4229B" w:rsidP="00A35041">
      <w:r w:rsidRPr="007F2007">
        <w:t>5</w:t>
      </w:r>
      <w:r w:rsidRPr="007F2007">
        <w:tab/>
      </w:r>
      <w:r w:rsidR="00514FF0" w:rsidRPr="007F2007">
        <w:t xml:space="preserve">analyser </w:t>
      </w:r>
      <w:r w:rsidRPr="007F2007">
        <w:t>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r w:rsidR="00514FF0">
        <w:t>;</w:t>
      </w:r>
    </w:p>
    <w:p w14:paraId="140D4FBC" w14:textId="4BA974E0" w:rsidR="00A4229B" w:rsidRPr="007F2007" w:rsidRDefault="00A4229B" w:rsidP="00A35041">
      <w:r w:rsidRPr="007F2007">
        <w:t>6</w:t>
      </w:r>
      <w:r w:rsidRPr="007F2007">
        <w:tab/>
      </w:r>
      <w:r w:rsidR="00514FF0" w:rsidRPr="007F2007">
        <w:t>analyser</w:t>
      </w:r>
      <w:r w:rsidRPr="007F2007">
        <w:t xml:space="preserve">, y compris à l'aide d'indicateurs qualitatifs et quantitatifs appropriés, l'application des mesures et des principes actualisés en matière d'interprétation et de traduction adoptés par le Conseil, en tenant compte des contraintes financières et en gardant à l'esprit le fait que l'objectif est en définitive de mettre intégralement en œuvre le traitement </w:t>
      </w:r>
      <w:r w:rsidR="001F12FA" w:rsidRPr="007F2007">
        <w:t>de toutes les</w:t>
      </w:r>
      <w:r w:rsidRPr="007F2007">
        <w:t xml:space="preserve"> langues officielles sur un pied d'égalité</w:t>
      </w:r>
      <w:r w:rsidR="00514FF0">
        <w:t>;</w:t>
      </w:r>
    </w:p>
    <w:p w14:paraId="5DB89DEF" w14:textId="4A05EF20" w:rsidR="00A4229B" w:rsidRPr="007F2007" w:rsidRDefault="00A4229B" w:rsidP="00A35041">
      <w:r w:rsidRPr="007F2007">
        <w:t>7</w:t>
      </w:r>
      <w:r w:rsidRPr="007F2007">
        <w:tab/>
      </w:r>
      <w:r w:rsidR="00514FF0" w:rsidRPr="007F2007">
        <w:t xml:space="preserve">examiner </w:t>
      </w:r>
      <w:r w:rsidRPr="007F2007">
        <w:t>les résultats de la mise en œuvre des mesures opérationnelles visées au point </w:t>
      </w:r>
      <w:r w:rsidR="009A7F5D" w:rsidRPr="007F2007">
        <w:t xml:space="preserve">4 </w:t>
      </w:r>
      <w:r w:rsidRPr="007F2007">
        <w:t xml:space="preserve">du </w:t>
      </w:r>
      <w:r w:rsidRPr="007F2007">
        <w:rPr>
          <w:i/>
          <w:iCs/>
        </w:rPr>
        <w:t>charge le Conseil</w:t>
      </w:r>
      <w:r w:rsidRPr="007F2007">
        <w:t xml:space="preserve"> de la Résolution 154 (Rév. </w:t>
      </w:r>
      <w:r w:rsidR="009A7F5D" w:rsidRPr="007F2007">
        <w:t>Bucarest, 2022</w:t>
      </w:r>
      <w:r w:rsidRPr="007F2007">
        <w:t>) de la Conférence de plénipotentiaires, en accordant une attention particulière à l'utilisation équitable des six langues sur le site web de l</w:t>
      </w:r>
      <w:r w:rsidRPr="007F2007">
        <w:rPr>
          <w:lang w:bidi="ar-EG"/>
        </w:rPr>
        <w:t>'</w:t>
      </w:r>
      <w:r w:rsidRPr="007F2007">
        <w:t>UIT</w:t>
      </w:r>
      <w:r w:rsidR="00514FF0">
        <w:t>;</w:t>
      </w:r>
    </w:p>
    <w:p w14:paraId="0E8FD456" w14:textId="4613E468" w:rsidR="00A4229B" w:rsidRPr="007F2007" w:rsidRDefault="00A4229B" w:rsidP="00A35041">
      <w:r w:rsidRPr="007F2007">
        <w:t>8</w:t>
      </w:r>
      <w:r w:rsidRPr="007F2007">
        <w:tab/>
      </w:r>
      <w:r w:rsidR="00514FF0" w:rsidRPr="007F2007">
        <w:t xml:space="preserve">fournir </w:t>
      </w:r>
      <w:r w:rsidRPr="007F2007">
        <w:t xml:space="preserve">une assistance </w:t>
      </w:r>
      <w:r w:rsidRPr="007F2007">
        <w:rPr>
          <w:rFonts w:cs="Calibri"/>
          <w:bCs/>
          <w:szCs w:val="24"/>
        </w:rPr>
        <w:t xml:space="preserve">dans le cadre de l'examen des approches possibles pour assurer le financement et la tenue à jour d'un site web du Forum du SMSI disponible dans </w:t>
      </w:r>
      <w:r w:rsidR="00B16667" w:rsidRPr="007F2007">
        <w:rPr>
          <w:rFonts w:cs="Calibri"/>
          <w:bCs/>
          <w:szCs w:val="24"/>
        </w:rPr>
        <w:t xml:space="preserve">toutes les </w:t>
      </w:r>
      <w:r w:rsidRPr="007F2007">
        <w:rPr>
          <w:rFonts w:cs="Calibri"/>
          <w:bCs/>
          <w:szCs w:val="24"/>
        </w:rPr>
        <w:t>langues officielle</w:t>
      </w:r>
      <w:r w:rsidR="000438BF" w:rsidRPr="007F2007">
        <w:rPr>
          <w:rFonts w:cs="Calibri"/>
          <w:bCs/>
          <w:szCs w:val="24"/>
        </w:rPr>
        <w:t>s</w:t>
      </w:r>
      <w:r w:rsidRPr="007F2007">
        <w:rPr>
          <w:rFonts w:cs="Calibri"/>
          <w:bCs/>
          <w:szCs w:val="24"/>
        </w:rPr>
        <w:t xml:space="preserve"> de l'UIT</w:t>
      </w:r>
      <w:r w:rsidR="00514FF0">
        <w:t>;</w:t>
      </w:r>
    </w:p>
    <w:p w14:paraId="3ED19A0B" w14:textId="4537C1CF" w:rsidR="00A4229B" w:rsidRPr="007F2007" w:rsidRDefault="00A4229B" w:rsidP="00A35041">
      <w:r w:rsidRPr="007F2007">
        <w:t>9</w:t>
      </w:r>
      <w:r w:rsidRPr="007F2007">
        <w:tab/>
      </w:r>
      <w:r w:rsidR="00514FF0" w:rsidRPr="007F2007">
        <w:t xml:space="preserve">travailler </w:t>
      </w:r>
      <w:r w:rsidRPr="007F2007">
        <w:t xml:space="preserve">en coordination et en coopération avec le </w:t>
      </w:r>
      <w:r w:rsidRPr="007F2007">
        <w:rPr>
          <w:color w:val="000000"/>
        </w:rPr>
        <w:t>Comité de coordination de l'UIT pour la terminologie</w:t>
      </w:r>
      <w:r w:rsidRPr="007F2007">
        <w:t xml:space="preserve"> (CCT de l'UIT) et le Groupe de travail du Conseil sur les ressources financières et les ressources humaines, afin d'améliorer l'efficacité des travaux et d'éviter les doubles emplois</w:t>
      </w:r>
      <w:r w:rsidR="00514FF0">
        <w:t>;</w:t>
      </w:r>
    </w:p>
    <w:p w14:paraId="0A0F77AF" w14:textId="34F5F7F9" w:rsidR="00A4229B" w:rsidRPr="007F2007" w:rsidRDefault="00A4229B" w:rsidP="00A35041">
      <w:r w:rsidRPr="007F2007">
        <w:lastRenderedPageBreak/>
        <w:t>10</w:t>
      </w:r>
      <w:r w:rsidRPr="007F2007">
        <w:tab/>
      </w:r>
      <w:r w:rsidR="00514FF0" w:rsidRPr="007F2007">
        <w:t xml:space="preserve">suivre </w:t>
      </w:r>
      <w:r w:rsidRPr="007F2007">
        <w:t>les progrès accomplis dans la mise en œuvre de la Résolution 154 (Rév.</w:t>
      </w:r>
      <w:r w:rsidR="008878B0">
        <w:t> </w:t>
      </w:r>
      <w:r w:rsidR="001F12FA" w:rsidRPr="007F2007">
        <w:t>Bucarest, 2022</w:t>
      </w:r>
      <w:r w:rsidRPr="007F2007">
        <w:t>) de la Conférence de plénipotentiaires et établir des rapports</w:t>
      </w:r>
      <w:r w:rsidR="00EA6137" w:rsidRPr="007F2007">
        <w:t xml:space="preserve">, </w:t>
      </w:r>
      <w:r w:rsidR="00364768" w:rsidRPr="007F2007">
        <w:t>même</w:t>
      </w:r>
      <w:r w:rsidR="00EA6137" w:rsidRPr="007F2007">
        <w:t xml:space="preserve"> en formulant les </w:t>
      </w:r>
      <w:r w:rsidR="00B16667" w:rsidRPr="007F2007">
        <w:t>R</w:t>
      </w:r>
      <w:r w:rsidR="00EA6137" w:rsidRPr="007F2007">
        <w:t>ecommandations qu'il jugera appropriées,</w:t>
      </w:r>
      <w:r w:rsidRPr="007F2007">
        <w:t xml:space="preserve"> à l'intention des États Membres et de la session annuelle du Conseil, ainsi qu'un rapport final à transmettre à la prochaine Conférence de plénipotentiaires, le cas échéant.</w:t>
      </w:r>
    </w:p>
    <w:p w14:paraId="0BA539EB" w14:textId="77777777" w:rsidR="00681436" w:rsidRDefault="00681436" w:rsidP="0032202E">
      <w:pPr>
        <w:pStyle w:val="Reasons"/>
      </w:pPr>
    </w:p>
    <w:p w14:paraId="7A81BEF0" w14:textId="5C705E0A" w:rsidR="001F12FA" w:rsidRPr="007F2007" w:rsidRDefault="00681436" w:rsidP="00A03B71">
      <w:pPr>
        <w:spacing w:before="600"/>
        <w:jc w:val="center"/>
      </w:pPr>
      <w:r>
        <w:t>______________</w:t>
      </w:r>
    </w:p>
    <w:sectPr w:rsidR="001F12FA" w:rsidRPr="007F2007" w:rsidSect="00C5649E">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576B" w14:textId="77777777" w:rsidR="00460B09" w:rsidRDefault="00460B09">
      <w:r>
        <w:separator/>
      </w:r>
    </w:p>
  </w:endnote>
  <w:endnote w:type="continuationSeparator" w:id="0">
    <w:p w14:paraId="744EA625" w14:textId="77777777" w:rsidR="00460B09" w:rsidRDefault="0046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649E" w:rsidRPr="00784011" w14:paraId="58D1F891" w14:textId="77777777" w:rsidTr="00D424CA">
      <w:trPr>
        <w:jc w:val="center"/>
      </w:trPr>
      <w:tc>
        <w:tcPr>
          <w:tcW w:w="1803" w:type="dxa"/>
          <w:vAlign w:val="center"/>
        </w:tcPr>
        <w:p w14:paraId="48333FDE" w14:textId="3F35EEFF" w:rsidR="00C5649E" w:rsidRDefault="004E44D9" w:rsidP="00C5649E">
          <w:pPr>
            <w:pStyle w:val="Header"/>
            <w:jc w:val="left"/>
            <w:rPr>
              <w:noProof/>
            </w:rPr>
          </w:pPr>
          <w:r w:rsidRPr="004E44D9">
            <w:rPr>
              <w:noProof/>
            </w:rPr>
            <w:t>R2401107</w:t>
          </w:r>
        </w:p>
      </w:tc>
      <w:tc>
        <w:tcPr>
          <w:tcW w:w="8261" w:type="dxa"/>
        </w:tcPr>
        <w:p w14:paraId="7125F918" w14:textId="49D4E431" w:rsidR="00C5649E" w:rsidRPr="00E06FD5" w:rsidRDefault="00C5649E" w:rsidP="00C5649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A03B71">
            <w:rPr>
              <w:bCs/>
            </w:rPr>
            <w:t>138</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7DE2BA38" w14:textId="77777777" w:rsidR="0011749C" w:rsidRPr="00C5649E" w:rsidRDefault="0011749C" w:rsidP="00C56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649E" w:rsidRPr="00784011" w14:paraId="3D11C305" w14:textId="77777777" w:rsidTr="00D424CA">
      <w:trPr>
        <w:jc w:val="center"/>
      </w:trPr>
      <w:tc>
        <w:tcPr>
          <w:tcW w:w="1803" w:type="dxa"/>
          <w:vAlign w:val="center"/>
        </w:tcPr>
        <w:p w14:paraId="722AC5BA" w14:textId="77777777" w:rsidR="00C5649E" w:rsidRPr="0082299A" w:rsidRDefault="00C5649E" w:rsidP="00C5649E">
          <w:pPr>
            <w:pStyle w:val="Header"/>
            <w:jc w:val="left"/>
            <w:rPr>
              <w:noProof/>
              <w:color w:val="0563C1"/>
            </w:rPr>
          </w:pPr>
          <w:hyperlink r:id="rId1" w:history="1">
            <w:r w:rsidRPr="0082299A">
              <w:rPr>
                <w:rStyle w:val="Hyperlink"/>
                <w:color w:val="0563C1"/>
                <w:szCs w:val="14"/>
              </w:rPr>
              <w:t>www.itu.int/council</w:t>
            </w:r>
          </w:hyperlink>
        </w:p>
      </w:tc>
      <w:tc>
        <w:tcPr>
          <w:tcW w:w="8261" w:type="dxa"/>
        </w:tcPr>
        <w:p w14:paraId="6DF076FD" w14:textId="7A76BA24" w:rsidR="00C5649E" w:rsidRPr="00E06FD5" w:rsidRDefault="00C5649E" w:rsidP="00C5649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A03B71">
            <w:rPr>
              <w:bCs/>
            </w:rPr>
            <w:t>138</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15D93900" w14:textId="77777777" w:rsidR="00C5649E" w:rsidRDefault="00C56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EBBA" w14:textId="77777777" w:rsidR="00460B09" w:rsidRDefault="00460B09">
      <w:r>
        <w:t>____________________</w:t>
      </w:r>
    </w:p>
  </w:footnote>
  <w:footnote w:type="continuationSeparator" w:id="0">
    <w:p w14:paraId="26A85B6F" w14:textId="77777777" w:rsidR="00460B09" w:rsidRDefault="0046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5649E" w:rsidRPr="00784011" w14:paraId="0F52E923" w14:textId="77777777" w:rsidTr="00D424CA">
      <w:trPr>
        <w:trHeight w:val="1104"/>
        <w:jc w:val="center"/>
      </w:trPr>
      <w:tc>
        <w:tcPr>
          <w:tcW w:w="4390" w:type="dxa"/>
          <w:vAlign w:val="center"/>
        </w:tcPr>
        <w:p w14:paraId="496C676D" w14:textId="77777777" w:rsidR="00C5649E" w:rsidRPr="009621F8" w:rsidRDefault="00C5649E" w:rsidP="00C5649E">
          <w:pPr>
            <w:pStyle w:val="Header"/>
            <w:jc w:val="left"/>
            <w:rPr>
              <w:rFonts w:ascii="Arial" w:hAnsi="Arial" w:cs="Arial"/>
              <w:b/>
              <w:bCs/>
              <w:color w:val="009CD6"/>
              <w:sz w:val="36"/>
              <w:szCs w:val="36"/>
            </w:rPr>
          </w:pPr>
          <w:r>
            <w:rPr>
              <w:noProof/>
            </w:rPr>
            <w:drawing>
              <wp:inline distT="0" distB="0" distL="0" distR="0" wp14:anchorId="308BDA00" wp14:editId="0036F092">
                <wp:extent cx="2102400" cy="558000"/>
                <wp:effectExtent l="0" t="0" r="0" b="0"/>
                <wp:docPr id="2"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5EC8A3CD" w14:textId="77777777" w:rsidR="00C5649E" w:rsidRDefault="00C5649E" w:rsidP="00C5649E">
          <w:pPr>
            <w:pStyle w:val="Header"/>
            <w:jc w:val="right"/>
            <w:rPr>
              <w:rFonts w:ascii="Arial" w:hAnsi="Arial" w:cs="Arial"/>
              <w:b/>
              <w:bCs/>
              <w:color w:val="009CD6"/>
              <w:szCs w:val="18"/>
            </w:rPr>
          </w:pPr>
        </w:p>
        <w:p w14:paraId="5240DC31" w14:textId="77777777" w:rsidR="00C5649E" w:rsidRDefault="00C5649E" w:rsidP="00C5649E">
          <w:pPr>
            <w:pStyle w:val="Header"/>
            <w:jc w:val="right"/>
            <w:rPr>
              <w:rFonts w:ascii="Arial" w:hAnsi="Arial" w:cs="Arial"/>
              <w:b/>
              <w:bCs/>
              <w:color w:val="009CD6"/>
              <w:szCs w:val="18"/>
            </w:rPr>
          </w:pPr>
        </w:p>
        <w:p w14:paraId="1D4C3326" w14:textId="77777777" w:rsidR="00C5649E" w:rsidRPr="00784011" w:rsidRDefault="00C5649E" w:rsidP="00C5649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AC69D42" w14:textId="77777777" w:rsidR="00C5649E" w:rsidRDefault="00C5649E" w:rsidP="00C5649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B7B7DA" wp14:editId="6115037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387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48C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E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E24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4E9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2ED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562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AA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424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C1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A6AC2"/>
    <w:lvl w:ilvl="0">
      <w:start w:val="1"/>
      <w:numFmt w:val="bullet"/>
      <w:lvlText w:val=""/>
      <w:lvlJc w:val="left"/>
      <w:pPr>
        <w:tabs>
          <w:tab w:val="num" w:pos="360"/>
        </w:tabs>
        <w:ind w:left="360" w:hanging="360"/>
      </w:pPr>
      <w:rPr>
        <w:rFonts w:ascii="Symbol" w:hAnsi="Symbol" w:hint="default"/>
      </w:rPr>
    </w:lvl>
  </w:abstractNum>
  <w:num w:numId="1" w16cid:durableId="696390929">
    <w:abstractNumId w:val="9"/>
  </w:num>
  <w:num w:numId="2" w16cid:durableId="720397685">
    <w:abstractNumId w:val="7"/>
  </w:num>
  <w:num w:numId="3" w16cid:durableId="128088451">
    <w:abstractNumId w:val="6"/>
  </w:num>
  <w:num w:numId="4" w16cid:durableId="1620717568">
    <w:abstractNumId w:val="5"/>
  </w:num>
  <w:num w:numId="5" w16cid:durableId="1272199295">
    <w:abstractNumId w:val="4"/>
  </w:num>
  <w:num w:numId="6" w16cid:durableId="1590197186">
    <w:abstractNumId w:val="8"/>
  </w:num>
  <w:num w:numId="7" w16cid:durableId="1851219092">
    <w:abstractNumId w:val="3"/>
  </w:num>
  <w:num w:numId="8" w16cid:durableId="1653370121">
    <w:abstractNumId w:val="2"/>
  </w:num>
  <w:num w:numId="9" w16cid:durableId="1346664583">
    <w:abstractNumId w:val="1"/>
  </w:num>
  <w:num w:numId="10" w16cid:durableId="96797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21C4"/>
    <w:rsid w:val="00010388"/>
    <w:rsid w:val="00013759"/>
    <w:rsid w:val="000230B1"/>
    <w:rsid w:val="00023788"/>
    <w:rsid w:val="00025AD4"/>
    <w:rsid w:val="00036D44"/>
    <w:rsid w:val="00042854"/>
    <w:rsid w:val="00043775"/>
    <w:rsid w:val="000438BF"/>
    <w:rsid w:val="0004391D"/>
    <w:rsid w:val="00052C26"/>
    <w:rsid w:val="000532E5"/>
    <w:rsid w:val="00056EE3"/>
    <w:rsid w:val="0006136F"/>
    <w:rsid w:val="000614EF"/>
    <w:rsid w:val="00062882"/>
    <w:rsid w:val="000635EB"/>
    <w:rsid w:val="00065CD1"/>
    <w:rsid w:val="0007024F"/>
    <w:rsid w:val="00073036"/>
    <w:rsid w:val="00076663"/>
    <w:rsid w:val="00076A2C"/>
    <w:rsid w:val="000855AA"/>
    <w:rsid w:val="00085C9C"/>
    <w:rsid w:val="00086517"/>
    <w:rsid w:val="000927FC"/>
    <w:rsid w:val="000A2C56"/>
    <w:rsid w:val="000A3B83"/>
    <w:rsid w:val="000A3C93"/>
    <w:rsid w:val="000A5A3D"/>
    <w:rsid w:val="000B180F"/>
    <w:rsid w:val="000B226D"/>
    <w:rsid w:val="000B38B4"/>
    <w:rsid w:val="000B756A"/>
    <w:rsid w:val="000B7A36"/>
    <w:rsid w:val="000C150B"/>
    <w:rsid w:val="000D0D0A"/>
    <w:rsid w:val="000D1603"/>
    <w:rsid w:val="000D4A88"/>
    <w:rsid w:val="000D4B7B"/>
    <w:rsid w:val="000D5748"/>
    <w:rsid w:val="000D79DB"/>
    <w:rsid w:val="000E4E84"/>
    <w:rsid w:val="000F10F3"/>
    <w:rsid w:val="000F25B8"/>
    <w:rsid w:val="000F35B2"/>
    <w:rsid w:val="000F35C9"/>
    <w:rsid w:val="00103163"/>
    <w:rsid w:val="00106B19"/>
    <w:rsid w:val="00110B1D"/>
    <w:rsid w:val="001133EF"/>
    <w:rsid w:val="00115D93"/>
    <w:rsid w:val="00116EF4"/>
    <w:rsid w:val="0011749C"/>
    <w:rsid w:val="001200EC"/>
    <w:rsid w:val="001204A2"/>
    <w:rsid w:val="001247A8"/>
    <w:rsid w:val="0013112A"/>
    <w:rsid w:val="001358D2"/>
    <w:rsid w:val="001378C0"/>
    <w:rsid w:val="001413BD"/>
    <w:rsid w:val="00146555"/>
    <w:rsid w:val="00147E93"/>
    <w:rsid w:val="00151ACC"/>
    <w:rsid w:val="001530EF"/>
    <w:rsid w:val="00156E5F"/>
    <w:rsid w:val="00157138"/>
    <w:rsid w:val="00171358"/>
    <w:rsid w:val="00172DE7"/>
    <w:rsid w:val="00177185"/>
    <w:rsid w:val="00177DCE"/>
    <w:rsid w:val="001806C5"/>
    <w:rsid w:val="00181203"/>
    <w:rsid w:val="00184782"/>
    <w:rsid w:val="0018694A"/>
    <w:rsid w:val="001953E3"/>
    <w:rsid w:val="00195C65"/>
    <w:rsid w:val="00196AB6"/>
    <w:rsid w:val="001A13A4"/>
    <w:rsid w:val="001A3287"/>
    <w:rsid w:val="001A34A3"/>
    <w:rsid w:val="001A52CA"/>
    <w:rsid w:val="001A56EE"/>
    <w:rsid w:val="001A6508"/>
    <w:rsid w:val="001B18A4"/>
    <w:rsid w:val="001C2D94"/>
    <w:rsid w:val="001D11CF"/>
    <w:rsid w:val="001D4C31"/>
    <w:rsid w:val="001E0539"/>
    <w:rsid w:val="001E211E"/>
    <w:rsid w:val="001E2458"/>
    <w:rsid w:val="001E4D21"/>
    <w:rsid w:val="001E7FD1"/>
    <w:rsid w:val="001F12FA"/>
    <w:rsid w:val="001F1AA1"/>
    <w:rsid w:val="001F40B5"/>
    <w:rsid w:val="001F41C0"/>
    <w:rsid w:val="001F63D9"/>
    <w:rsid w:val="001F729B"/>
    <w:rsid w:val="0020385C"/>
    <w:rsid w:val="00205ABE"/>
    <w:rsid w:val="00207B0E"/>
    <w:rsid w:val="00207CD1"/>
    <w:rsid w:val="00221413"/>
    <w:rsid w:val="00222BD4"/>
    <w:rsid w:val="00224FC8"/>
    <w:rsid w:val="00226657"/>
    <w:rsid w:val="00230583"/>
    <w:rsid w:val="00231A67"/>
    <w:rsid w:val="00231A68"/>
    <w:rsid w:val="002342BF"/>
    <w:rsid w:val="00236697"/>
    <w:rsid w:val="00240D86"/>
    <w:rsid w:val="002425CC"/>
    <w:rsid w:val="00246DD7"/>
    <w:rsid w:val="002477A2"/>
    <w:rsid w:val="002636B6"/>
    <w:rsid w:val="00263A51"/>
    <w:rsid w:val="00264779"/>
    <w:rsid w:val="0026706D"/>
    <w:rsid w:val="00267E02"/>
    <w:rsid w:val="002708AA"/>
    <w:rsid w:val="002708E6"/>
    <w:rsid w:val="00272602"/>
    <w:rsid w:val="00274747"/>
    <w:rsid w:val="002916D6"/>
    <w:rsid w:val="002950DF"/>
    <w:rsid w:val="002A03C8"/>
    <w:rsid w:val="002A5D44"/>
    <w:rsid w:val="002B1E27"/>
    <w:rsid w:val="002B2E4A"/>
    <w:rsid w:val="002B44ED"/>
    <w:rsid w:val="002C27ED"/>
    <w:rsid w:val="002C2CFC"/>
    <w:rsid w:val="002C331F"/>
    <w:rsid w:val="002C45E6"/>
    <w:rsid w:val="002C4FBC"/>
    <w:rsid w:val="002C659A"/>
    <w:rsid w:val="002D1310"/>
    <w:rsid w:val="002D145F"/>
    <w:rsid w:val="002E0317"/>
    <w:rsid w:val="002E0BC4"/>
    <w:rsid w:val="002E0E00"/>
    <w:rsid w:val="002E1E60"/>
    <w:rsid w:val="002E6ABA"/>
    <w:rsid w:val="002E7052"/>
    <w:rsid w:val="002F04D5"/>
    <w:rsid w:val="002F1043"/>
    <w:rsid w:val="002F1481"/>
    <w:rsid w:val="002F1B76"/>
    <w:rsid w:val="002F4D35"/>
    <w:rsid w:val="003002A4"/>
    <w:rsid w:val="00312D28"/>
    <w:rsid w:val="00314ED3"/>
    <w:rsid w:val="0032084C"/>
    <w:rsid w:val="0032142F"/>
    <w:rsid w:val="003231D0"/>
    <w:rsid w:val="00323364"/>
    <w:rsid w:val="0032645A"/>
    <w:rsid w:val="00330560"/>
    <w:rsid w:val="0033568E"/>
    <w:rsid w:val="00336024"/>
    <w:rsid w:val="0034196C"/>
    <w:rsid w:val="00347025"/>
    <w:rsid w:val="00347B5D"/>
    <w:rsid w:val="003509F3"/>
    <w:rsid w:val="003533D0"/>
    <w:rsid w:val="00355AE2"/>
    <w:rsid w:val="00355FF5"/>
    <w:rsid w:val="00361350"/>
    <w:rsid w:val="003636EF"/>
    <w:rsid w:val="00364768"/>
    <w:rsid w:val="0036615E"/>
    <w:rsid w:val="00367FF7"/>
    <w:rsid w:val="00371EBB"/>
    <w:rsid w:val="00372626"/>
    <w:rsid w:val="0037442F"/>
    <w:rsid w:val="00375D0F"/>
    <w:rsid w:val="00381BD6"/>
    <w:rsid w:val="00383739"/>
    <w:rsid w:val="00386E4A"/>
    <w:rsid w:val="00390A57"/>
    <w:rsid w:val="003925C7"/>
    <w:rsid w:val="0039281B"/>
    <w:rsid w:val="00392FDB"/>
    <w:rsid w:val="00394C01"/>
    <w:rsid w:val="003970F8"/>
    <w:rsid w:val="00397614"/>
    <w:rsid w:val="00397E1E"/>
    <w:rsid w:val="003A240A"/>
    <w:rsid w:val="003A3E49"/>
    <w:rsid w:val="003A7786"/>
    <w:rsid w:val="003B20F7"/>
    <w:rsid w:val="003B7500"/>
    <w:rsid w:val="003C3D39"/>
    <w:rsid w:val="003C3FAE"/>
    <w:rsid w:val="003C5013"/>
    <w:rsid w:val="003C5DDD"/>
    <w:rsid w:val="003C66A1"/>
    <w:rsid w:val="003C7DEF"/>
    <w:rsid w:val="003D049A"/>
    <w:rsid w:val="003D64DF"/>
    <w:rsid w:val="003E4EEB"/>
    <w:rsid w:val="003E551E"/>
    <w:rsid w:val="003E604C"/>
    <w:rsid w:val="003F3B09"/>
    <w:rsid w:val="003F4219"/>
    <w:rsid w:val="003F571E"/>
    <w:rsid w:val="004038CB"/>
    <w:rsid w:val="0040546F"/>
    <w:rsid w:val="00410138"/>
    <w:rsid w:val="00413C89"/>
    <w:rsid w:val="00414030"/>
    <w:rsid w:val="004218C8"/>
    <w:rsid w:val="004224AD"/>
    <w:rsid w:val="0042404A"/>
    <w:rsid w:val="00431814"/>
    <w:rsid w:val="004333B4"/>
    <w:rsid w:val="00434FE1"/>
    <w:rsid w:val="00441F24"/>
    <w:rsid w:val="004429D0"/>
    <w:rsid w:val="00442FDE"/>
    <w:rsid w:val="00444DE7"/>
    <w:rsid w:val="004459A7"/>
    <w:rsid w:val="0044618F"/>
    <w:rsid w:val="00447592"/>
    <w:rsid w:val="00460B09"/>
    <w:rsid w:val="00460C56"/>
    <w:rsid w:val="00461F48"/>
    <w:rsid w:val="004630A0"/>
    <w:rsid w:val="00464EC0"/>
    <w:rsid w:val="004656EF"/>
    <w:rsid w:val="0046769A"/>
    <w:rsid w:val="00471876"/>
    <w:rsid w:val="00475770"/>
    <w:rsid w:val="00475FB3"/>
    <w:rsid w:val="004778AA"/>
    <w:rsid w:val="004827F5"/>
    <w:rsid w:val="00491E12"/>
    <w:rsid w:val="0049233A"/>
    <w:rsid w:val="00494951"/>
    <w:rsid w:val="00494C1B"/>
    <w:rsid w:val="0049777F"/>
    <w:rsid w:val="004A12CA"/>
    <w:rsid w:val="004A409A"/>
    <w:rsid w:val="004A4440"/>
    <w:rsid w:val="004B0417"/>
    <w:rsid w:val="004C37A9"/>
    <w:rsid w:val="004C4047"/>
    <w:rsid w:val="004C6D15"/>
    <w:rsid w:val="004D1D50"/>
    <w:rsid w:val="004D1FBA"/>
    <w:rsid w:val="004D4575"/>
    <w:rsid w:val="004E44D9"/>
    <w:rsid w:val="004E4F5C"/>
    <w:rsid w:val="004F0408"/>
    <w:rsid w:val="004F0EBC"/>
    <w:rsid w:val="004F1608"/>
    <w:rsid w:val="004F2326"/>
    <w:rsid w:val="004F259E"/>
    <w:rsid w:val="004F6517"/>
    <w:rsid w:val="004F78DB"/>
    <w:rsid w:val="00502078"/>
    <w:rsid w:val="00506C2D"/>
    <w:rsid w:val="00511F1D"/>
    <w:rsid w:val="005141E8"/>
    <w:rsid w:val="00514FF0"/>
    <w:rsid w:val="005155F3"/>
    <w:rsid w:val="00520F36"/>
    <w:rsid w:val="005213B4"/>
    <w:rsid w:val="005262CA"/>
    <w:rsid w:val="00530972"/>
    <w:rsid w:val="00534E13"/>
    <w:rsid w:val="00536BD6"/>
    <w:rsid w:val="005404E6"/>
    <w:rsid w:val="00540615"/>
    <w:rsid w:val="00540A6D"/>
    <w:rsid w:val="005503F4"/>
    <w:rsid w:val="00550518"/>
    <w:rsid w:val="0055385C"/>
    <w:rsid w:val="0056265F"/>
    <w:rsid w:val="00563ABD"/>
    <w:rsid w:val="00566679"/>
    <w:rsid w:val="0056790F"/>
    <w:rsid w:val="00571EEA"/>
    <w:rsid w:val="00572E08"/>
    <w:rsid w:val="005747B5"/>
    <w:rsid w:val="00575417"/>
    <w:rsid w:val="005757B5"/>
    <w:rsid w:val="005768E1"/>
    <w:rsid w:val="0058010C"/>
    <w:rsid w:val="00582E0C"/>
    <w:rsid w:val="00584A9C"/>
    <w:rsid w:val="005860FE"/>
    <w:rsid w:val="00591FE1"/>
    <w:rsid w:val="005A0A10"/>
    <w:rsid w:val="005B1938"/>
    <w:rsid w:val="005B1986"/>
    <w:rsid w:val="005B1989"/>
    <w:rsid w:val="005C0D5B"/>
    <w:rsid w:val="005C1160"/>
    <w:rsid w:val="005C3890"/>
    <w:rsid w:val="005C67F0"/>
    <w:rsid w:val="005C73E0"/>
    <w:rsid w:val="005C7561"/>
    <w:rsid w:val="005D0A2E"/>
    <w:rsid w:val="005E067D"/>
    <w:rsid w:val="005E6667"/>
    <w:rsid w:val="005F0B57"/>
    <w:rsid w:val="005F5D3E"/>
    <w:rsid w:val="005F7BFE"/>
    <w:rsid w:val="00600017"/>
    <w:rsid w:val="006029F4"/>
    <w:rsid w:val="006068EE"/>
    <w:rsid w:val="00611748"/>
    <w:rsid w:val="006119BD"/>
    <w:rsid w:val="00617E75"/>
    <w:rsid w:val="00620C5D"/>
    <w:rsid w:val="006235CA"/>
    <w:rsid w:val="00623C8A"/>
    <w:rsid w:val="006316E8"/>
    <w:rsid w:val="006351AC"/>
    <w:rsid w:val="00640E53"/>
    <w:rsid w:val="006524C6"/>
    <w:rsid w:val="006624D0"/>
    <w:rsid w:val="00663166"/>
    <w:rsid w:val="006643AB"/>
    <w:rsid w:val="00664EDF"/>
    <w:rsid w:val="00666EEA"/>
    <w:rsid w:val="0066726C"/>
    <w:rsid w:val="00667967"/>
    <w:rsid w:val="00674940"/>
    <w:rsid w:val="00676C68"/>
    <w:rsid w:val="0067724C"/>
    <w:rsid w:val="00677B66"/>
    <w:rsid w:val="00681436"/>
    <w:rsid w:val="006824CB"/>
    <w:rsid w:val="006876EB"/>
    <w:rsid w:val="0069355A"/>
    <w:rsid w:val="006935CD"/>
    <w:rsid w:val="006948A4"/>
    <w:rsid w:val="00696C5F"/>
    <w:rsid w:val="006A11AE"/>
    <w:rsid w:val="006A335E"/>
    <w:rsid w:val="006A51BE"/>
    <w:rsid w:val="006A58B2"/>
    <w:rsid w:val="006B0B98"/>
    <w:rsid w:val="006B0D27"/>
    <w:rsid w:val="006B30A3"/>
    <w:rsid w:val="006B31B1"/>
    <w:rsid w:val="006C6061"/>
    <w:rsid w:val="006D5D59"/>
    <w:rsid w:val="006E2243"/>
    <w:rsid w:val="006E7370"/>
    <w:rsid w:val="006E7DCA"/>
    <w:rsid w:val="006F0A53"/>
    <w:rsid w:val="00700A28"/>
    <w:rsid w:val="00701D7B"/>
    <w:rsid w:val="00703E6F"/>
    <w:rsid w:val="00707B49"/>
    <w:rsid w:val="00710B1B"/>
    <w:rsid w:val="00713160"/>
    <w:rsid w:val="0071344F"/>
    <w:rsid w:val="00715F31"/>
    <w:rsid w:val="00717164"/>
    <w:rsid w:val="007210CD"/>
    <w:rsid w:val="00721AE1"/>
    <w:rsid w:val="00725026"/>
    <w:rsid w:val="00730613"/>
    <w:rsid w:val="00732045"/>
    <w:rsid w:val="0073275D"/>
    <w:rsid w:val="007369DB"/>
    <w:rsid w:val="007417E7"/>
    <w:rsid w:val="00742B4D"/>
    <w:rsid w:val="00747021"/>
    <w:rsid w:val="00747233"/>
    <w:rsid w:val="007502D8"/>
    <w:rsid w:val="00750395"/>
    <w:rsid w:val="00751704"/>
    <w:rsid w:val="0075331D"/>
    <w:rsid w:val="00755CB3"/>
    <w:rsid w:val="00757E9D"/>
    <w:rsid w:val="00760A8A"/>
    <w:rsid w:val="00761020"/>
    <w:rsid w:val="00761F2A"/>
    <w:rsid w:val="0076454D"/>
    <w:rsid w:val="007704E7"/>
    <w:rsid w:val="00770703"/>
    <w:rsid w:val="00772A30"/>
    <w:rsid w:val="00790486"/>
    <w:rsid w:val="007935A7"/>
    <w:rsid w:val="007949F1"/>
    <w:rsid w:val="007956C2"/>
    <w:rsid w:val="00797AC0"/>
    <w:rsid w:val="007A187E"/>
    <w:rsid w:val="007A3540"/>
    <w:rsid w:val="007A4D3A"/>
    <w:rsid w:val="007A68B8"/>
    <w:rsid w:val="007A72F7"/>
    <w:rsid w:val="007B117F"/>
    <w:rsid w:val="007B127E"/>
    <w:rsid w:val="007B2B1D"/>
    <w:rsid w:val="007C72C2"/>
    <w:rsid w:val="007C7D57"/>
    <w:rsid w:val="007D14C9"/>
    <w:rsid w:val="007D4436"/>
    <w:rsid w:val="007D71FB"/>
    <w:rsid w:val="007F09F2"/>
    <w:rsid w:val="007F0FBF"/>
    <w:rsid w:val="007F2007"/>
    <w:rsid w:val="007F257A"/>
    <w:rsid w:val="007F3665"/>
    <w:rsid w:val="00800037"/>
    <w:rsid w:val="00803459"/>
    <w:rsid w:val="00804767"/>
    <w:rsid w:val="00806372"/>
    <w:rsid w:val="0081077D"/>
    <w:rsid w:val="0081417E"/>
    <w:rsid w:val="00817640"/>
    <w:rsid w:val="00821FBD"/>
    <w:rsid w:val="008228DD"/>
    <w:rsid w:val="0082299A"/>
    <w:rsid w:val="008301F3"/>
    <w:rsid w:val="0083311A"/>
    <w:rsid w:val="0083391C"/>
    <w:rsid w:val="00834CF4"/>
    <w:rsid w:val="00835BDD"/>
    <w:rsid w:val="00835BFF"/>
    <w:rsid w:val="008404AA"/>
    <w:rsid w:val="00841737"/>
    <w:rsid w:val="0084370E"/>
    <w:rsid w:val="008447F2"/>
    <w:rsid w:val="008479F6"/>
    <w:rsid w:val="00850C04"/>
    <w:rsid w:val="0085433E"/>
    <w:rsid w:val="00861D73"/>
    <w:rsid w:val="00862667"/>
    <w:rsid w:val="008658FC"/>
    <w:rsid w:val="0086600C"/>
    <w:rsid w:val="008716DE"/>
    <w:rsid w:val="00883B13"/>
    <w:rsid w:val="008878B0"/>
    <w:rsid w:val="00891B32"/>
    <w:rsid w:val="00895275"/>
    <w:rsid w:val="008964A5"/>
    <w:rsid w:val="00897553"/>
    <w:rsid w:val="008A06F9"/>
    <w:rsid w:val="008A4E87"/>
    <w:rsid w:val="008A6339"/>
    <w:rsid w:val="008A6A85"/>
    <w:rsid w:val="008B6E67"/>
    <w:rsid w:val="008C253B"/>
    <w:rsid w:val="008C3A91"/>
    <w:rsid w:val="008D2A15"/>
    <w:rsid w:val="008D2A9D"/>
    <w:rsid w:val="008D76E6"/>
    <w:rsid w:val="008E0A8A"/>
    <w:rsid w:val="008E58D9"/>
    <w:rsid w:val="008E70C5"/>
    <w:rsid w:val="008F29AA"/>
    <w:rsid w:val="008F5EA3"/>
    <w:rsid w:val="008F7158"/>
    <w:rsid w:val="009045B6"/>
    <w:rsid w:val="009058D9"/>
    <w:rsid w:val="00906461"/>
    <w:rsid w:val="00910743"/>
    <w:rsid w:val="0091441A"/>
    <w:rsid w:val="00914794"/>
    <w:rsid w:val="009149C0"/>
    <w:rsid w:val="009233EA"/>
    <w:rsid w:val="0092392D"/>
    <w:rsid w:val="0092603F"/>
    <w:rsid w:val="009301F7"/>
    <w:rsid w:val="0093234A"/>
    <w:rsid w:val="00934F36"/>
    <w:rsid w:val="00941190"/>
    <w:rsid w:val="00941ABA"/>
    <w:rsid w:val="00943FE4"/>
    <w:rsid w:val="0095066E"/>
    <w:rsid w:val="009533D8"/>
    <w:rsid w:val="00956A78"/>
    <w:rsid w:val="00956F54"/>
    <w:rsid w:val="00956F78"/>
    <w:rsid w:val="0096046C"/>
    <w:rsid w:val="009627CD"/>
    <w:rsid w:val="00963B4B"/>
    <w:rsid w:val="0097212C"/>
    <w:rsid w:val="0097363B"/>
    <w:rsid w:val="00973F53"/>
    <w:rsid w:val="00980D29"/>
    <w:rsid w:val="00990DA0"/>
    <w:rsid w:val="00993D60"/>
    <w:rsid w:val="00994D13"/>
    <w:rsid w:val="009953B9"/>
    <w:rsid w:val="009A516B"/>
    <w:rsid w:val="009A6BAA"/>
    <w:rsid w:val="009A7A93"/>
    <w:rsid w:val="009A7F5D"/>
    <w:rsid w:val="009B2632"/>
    <w:rsid w:val="009B3ECC"/>
    <w:rsid w:val="009B410F"/>
    <w:rsid w:val="009B41FE"/>
    <w:rsid w:val="009B61C3"/>
    <w:rsid w:val="009B6577"/>
    <w:rsid w:val="009B75B8"/>
    <w:rsid w:val="009C307F"/>
    <w:rsid w:val="009C353C"/>
    <w:rsid w:val="009D3834"/>
    <w:rsid w:val="009D3D4B"/>
    <w:rsid w:val="009D617B"/>
    <w:rsid w:val="009E167D"/>
    <w:rsid w:val="009E32C7"/>
    <w:rsid w:val="009E3E4C"/>
    <w:rsid w:val="009E6C6E"/>
    <w:rsid w:val="009F3810"/>
    <w:rsid w:val="009F5A85"/>
    <w:rsid w:val="00A01E23"/>
    <w:rsid w:val="00A036AC"/>
    <w:rsid w:val="00A03B71"/>
    <w:rsid w:val="00A040AC"/>
    <w:rsid w:val="00A04FC2"/>
    <w:rsid w:val="00A05FA2"/>
    <w:rsid w:val="00A14326"/>
    <w:rsid w:val="00A20949"/>
    <w:rsid w:val="00A2113E"/>
    <w:rsid w:val="00A239B3"/>
    <w:rsid w:val="00A23A51"/>
    <w:rsid w:val="00A24607"/>
    <w:rsid w:val="00A256F4"/>
    <w:rsid w:val="00A25CD3"/>
    <w:rsid w:val="00A2626A"/>
    <w:rsid w:val="00A3234E"/>
    <w:rsid w:val="00A35041"/>
    <w:rsid w:val="00A4150E"/>
    <w:rsid w:val="00A4229B"/>
    <w:rsid w:val="00A422FD"/>
    <w:rsid w:val="00A43D07"/>
    <w:rsid w:val="00A452FB"/>
    <w:rsid w:val="00A50E07"/>
    <w:rsid w:val="00A51849"/>
    <w:rsid w:val="00A55FD3"/>
    <w:rsid w:val="00A564F5"/>
    <w:rsid w:val="00A57FFA"/>
    <w:rsid w:val="00A653DF"/>
    <w:rsid w:val="00A709FE"/>
    <w:rsid w:val="00A70EF6"/>
    <w:rsid w:val="00A73C60"/>
    <w:rsid w:val="00A73F08"/>
    <w:rsid w:val="00A74346"/>
    <w:rsid w:val="00A75FEF"/>
    <w:rsid w:val="00A7727B"/>
    <w:rsid w:val="00A80280"/>
    <w:rsid w:val="00A82767"/>
    <w:rsid w:val="00A8494C"/>
    <w:rsid w:val="00A84EA3"/>
    <w:rsid w:val="00A8684F"/>
    <w:rsid w:val="00A905CA"/>
    <w:rsid w:val="00A90E7A"/>
    <w:rsid w:val="00A96781"/>
    <w:rsid w:val="00AA332F"/>
    <w:rsid w:val="00AA4782"/>
    <w:rsid w:val="00AA5CFF"/>
    <w:rsid w:val="00AA7BBB"/>
    <w:rsid w:val="00AB2870"/>
    <w:rsid w:val="00AB34CA"/>
    <w:rsid w:val="00AB3D61"/>
    <w:rsid w:val="00AB64A8"/>
    <w:rsid w:val="00AB6635"/>
    <w:rsid w:val="00AC0266"/>
    <w:rsid w:val="00AC3C7F"/>
    <w:rsid w:val="00AC76D2"/>
    <w:rsid w:val="00AD24EC"/>
    <w:rsid w:val="00AD3814"/>
    <w:rsid w:val="00AD4D1F"/>
    <w:rsid w:val="00AE06F9"/>
    <w:rsid w:val="00AE0C0B"/>
    <w:rsid w:val="00AE108D"/>
    <w:rsid w:val="00AF2C7F"/>
    <w:rsid w:val="00AF4997"/>
    <w:rsid w:val="00B0122D"/>
    <w:rsid w:val="00B01A73"/>
    <w:rsid w:val="00B04A01"/>
    <w:rsid w:val="00B06171"/>
    <w:rsid w:val="00B07F26"/>
    <w:rsid w:val="00B10366"/>
    <w:rsid w:val="00B127A9"/>
    <w:rsid w:val="00B13FC3"/>
    <w:rsid w:val="00B15728"/>
    <w:rsid w:val="00B163A5"/>
    <w:rsid w:val="00B16667"/>
    <w:rsid w:val="00B2647C"/>
    <w:rsid w:val="00B309F9"/>
    <w:rsid w:val="00B32B60"/>
    <w:rsid w:val="00B42406"/>
    <w:rsid w:val="00B4304B"/>
    <w:rsid w:val="00B437A4"/>
    <w:rsid w:val="00B57618"/>
    <w:rsid w:val="00B60141"/>
    <w:rsid w:val="00B60F92"/>
    <w:rsid w:val="00B61619"/>
    <w:rsid w:val="00B65010"/>
    <w:rsid w:val="00B65439"/>
    <w:rsid w:val="00B754B8"/>
    <w:rsid w:val="00B81A44"/>
    <w:rsid w:val="00B8343D"/>
    <w:rsid w:val="00B838CF"/>
    <w:rsid w:val="00B8615A"/>
    <w:rsid w:val="00B87814"/>
    <w:rsid w:val="00B90BFE"/>
    <w:rsid w:val="00B93D7F"/>
    <w:rsid w:val="00B9582F"/>
    <w:rsid w:val="00B971A8"/>
    <w:rsid w:val="00B97BEA"/>
    <w:rsid w:val="00BA078D"/>
    <w:rsid w:val="00BA1550"/>
    <w:rsid w:val="00BA21DE"/>
    <w:rsid w:val="00BA4E95"/>
    <w:rsid w:val="00BB4545"/>
    <w:rsid w:val="00BC3BDD"/>
    <w:rsid w:val="00BC40ED"/>
    <w:rsid w:val="00BC54B2"/>
    <w:rsid w:val="00BD13A0"/>
    <w:rsid w:val="00BD15E3"/>
    <w:rsid w:val="00BD1986"/>
    <w:rsid w:val="00BD1FD8"/>
    <w:rsid w:val="00BD2987"/>
    <w:rsid w:val="00BD3625"/>
    <w:rsid w:val="00BD5873"/>
    <w:rsid w:val="00BD680C"/>
    <w:rsid w:val="00BD79A0"/>
    <w:rsid w:val="00BE0E40"/>
    <w:rsid w:val="00BE5239"/>
    <w:rsid w:val="00BE61A8"/>
    <w:rsid w:val="00BF4773"/>
    <w:rsid w:val="00BF4B60"/>
    <w:rsid w:val="00C04BE3"/>
    <w:rsid w:val="00C10D9F"/>
    <w:rsid w:val="00C15EEC"/>
    <w:rsid w:val="00C161DC"/>
    <w:rsid w:val="00C16DC9"/>
    <w:rsid w:val="00C16EEE"/>
    <w:rsid w:val="00C1733F"/>
    <w:rsid w:val="00C205C9"/>
    <w:rsid w:val="00C21077"/>
    <w:rsid w:val="00C22049"/>
    <w:rsid w:val="00C25BA0"/>
    <w:rsid w:val="00C25D29"/>
    <w:rsid w:val="00C27A7C"/>
    <w:rsid w:val="00C42437"/>
    <w:rsid w:val="00C425E6"/>
    <w:rsid w:val="00C42E04"/>
    <w:rsid w:val="00C4557A"/>
    <w:rsid w:val="00C45F10"/>
    <w:rsid w:val="00C46AE5"/>
    <w:rsid w:val="00C559AF"/>
    <w:rsid w:val="00C5649E"/>
    <w:rsid w:val="00C57B36"/>
    <w:rsid w:val="00C605C0"/>
    <w:rsid w:val="00C619A1"/>
    <w:rsid w:val="00C6318E"/>
    <w:rsid w:val="00C646B4"/>
    <w:rsid w:val="00C657BD"/>
    <w:rsid w:val="00C72CF8"/>
    <w:rsid w:val="00C7592E"/>
    <w:rsid w:val="00C77041"/>
    <w:rsid w:val="00C81F97"/>
    <w:rsid w:val="00C8435A"/>
    <w:rsid w:val="00C85137"/>
    <w:rsid w:val="00C855D2"/>
    <w:rsid w:val="00C860B6"/>
    <w:rsid w:val="00C863C4"/>
    <w:rsid w:val="00C867E9"/>
    <w:rsid w:val="00C927D5"/>
    <w:rsid w:val="00C938DA"/>
    <w:rsid w:val="00C95B7D"/>
    <w:rsid w:val="00C96AB4"/>
    <w:rsid w:val="00CA08ED"/>
    <w:rsid w:val="00CA4E64"/>
    <w:rsid w:val="00CB22C8"/>
    <w:rsid w:val="00CC0D53"/>
    <w:rsid w:val="00CC38C4"/>
    <w:rsid w:val="00CC3E07"/>
    <w:rsid w:val="00CC6BD5"/>
    <w:rsid w:val="00CC7799"/>
    <w:rsid w:val="00CC7FE1"/>
    <w:rsid w:val="00CD3DCB"/>
    <w:rsid w:val="00CD7406"/>
    <w:rsid w:val="00CE7E1D"/>
    <w:rsid w:val="00CF07F9"/>
    <w:rsid w:val="00CF15B7"/>
    <w:rsid w:val="00CF183B"/>
    <w:rsid w:val="00CF3BA5"/>
    <w:rsid w:val="00D00C73"/>
    <w:rsid w:val="00D0210F"/>
    <w:rsid w:val="00D05494"/>
    <w:rsid w:val="00D1024C"/>
    <w:rsid w:val="00D1029A"/>
    <w:rsid w:val="00D13891"/>
    <w:rsid w:val="00D15C73"/>
    <w:rsid w:val="00D2028A"/>
    <w:rsid w:val="00D22A35"/>
    <w:rsid w:val="00D254B7"/>
    <w:rsid w:val="00D25544"/>
    <w:rsid w:val="00D3021F"/>
    <w:rsid w:val="00D3405F"/>
    <w:rsid w:val="00D375CD"/>
    <w:rsid w:val="00D41B59"/>
    <w:rsid w:val="00D43CC7"/>
    <w:rsid w:val="00D44CF6"/>
    <w:rsid w:val="00D4554F"/>
    <w:rsid w:val="00D50472"/>
    <w:rsid w:val="00D52BD4"/>
    <w:rsid w:val="00D553A2"/>
    <w:rsid w:val="00D62F44"/>
    <w:rsid w:val="00D70D8F"/>
    <w:rsid w:val="00D72F49"/>
    <w:rsid w:val="00D741CE"/>
    <w:rsid w:val="00D774D3"/>
    <w:rsid w:val="00D814DD"/>
    <w:rsid w:val="00D904E8"/>
    <w:rsid w:val="00D97B3A"/>
    <w:rsid w:val="00DA08C3"/>
    <w:rsid w:val="00DB3C06"/>
    <w:rsid w:val="00DB5A3E"/>
    <w:rsid w:val="00DB6DE7"/>
    <w:rsid w:val="00DC22AA"/>
    <w:rsid w:val="00DC66F3"/>
    <w:rsid w:val="00DD18F2"/>
    <w:rsid w:val="00DD3179"/>
    <w:rsid w:val="00DF17DE"/>
    <w:rsid w:val="00DF1928"/>
    <w:rsid w:val="00DF74DD"/>
    <w:rsid w:val="00E025AD"/>
    <w:rsid w:val="00E03950"/>
    <w:rsid w:val="00E10DC3"/>
    <w:rsid w:val="00E207FA"/>
    <w:rsid w:val="00E2407C"/>
    <w:rsid w:val="00E2558B"/>
    <w:rsid w:val="00E25AD0"/>
    <w:rsid w:val="00E31C96"/>
    <w:rsid w:val="00E4428F"/>
    <w:rsid w:val="00E46F0F"/>
    <w:rsid w:val="00E470B2"/>
    <w:rsid w:val="00E47F5F"/>
    <w:rsid w:val="00E47FD0"/>
    <w:rsid w:val="00E506FA"/>
    <w:rsid w:val="00E516AC"/>
    <w:rsid w:val="00E52FC4"/>
    <w:rsid w:val="00E565EB"/>
    <w:rsid w:val="00E85721"/>
    <w:rsid w:val="00E860BA"/>
    <w:rsid w:val="00E872F3"/>
    <w:rsid w:val="00E916DA"/>
    <w:rsid w:val="00E93668"/>
    <w:rsid w:val="00E95647"/>
    <w:rsid w:val="00EA0905"/>
    <w:rsid w:val="00EA0BB7"/>
    <w:rsid w:val="00EA1458"/>
    <w:rsid w:val="00EA23E8"/>
    <w:rsid w:val="00EA3842"/>
    <w:rsid w:val="00EA6137"/>
    <w:rsid w:val="00EB0DCB"/>
    <w:rsid w:val="00EB50F2"/>
    <w:rsid w:val="00EB6350"/>
    <w:rsid w:val="00EC0F62"/>
    <w:rsid w:val="00EE145E"/>
    <w:rsid w:val="00EE170D"/>
    <w:rsid w:val="00EE26C3"/>
    <w:rsid w:val="00EF030C"/>
    <w:rsid w:val="00EF65D3"/>
    <w:rsid w:val="00EF6E5C"/>
    <w:rsid w:val="00F0373C"/>
    <w:rsid w:val="00F06B36"/>
    <w:rsid w:val="00F1399B"/>
    <w:rsid w:val="00F15056"/>
    <w:rsid w:val="00F15B57"/>
    <w:rsid w:val="00F17098"/>
    <w:rsid w:val="00F2119F"/>
    <w:rsid w:val="00F253F4"/>
    <w:rsid w:val="00F26F1B"/>
    <w:rsid w:val="00F30A3B"/>
    <w:rsid w:val="00F35712"/>
    <w:rsid w:val="00F35EF4"/>
    <w:rsid w:val="00F37C6C"/>
    <w:rsid w:val="00F37FE5"/>
    <w:rsid w:val="00F427DB"/>
    <w:rsid w:val="00F436DC"/>
    <w:rsid w:val="00F5027E"/>
    <w:rsid w:val="00F51612"/>
    <w:rsid w:val="00F52A3B"/>
    <w:rsid w:val="00F53482"/>
    <w:rsid w:val="00F53B19"/>
    <w:rsid w:val="00F54183"/>
    <w:rsid w:val="00F6214D"/>
    <w:rsid w:val="00F6312D"/>
    <w:rsid w:val="00F63A38"/>
    <w:rsid w:val="00F666B6"/>
    <w:rsid w:val="00F711B5"/>
    <w:rsid w:val="00F80293"/>
    <w:rsid w:val="00F81E20"/>
    <w:rsid w:val="00F8484D"/>
    <w:rsid w:val="00F869B9"/>
    <w:rsid w:val="00F912A3"/>
    <w:rsid w:val="00F92F8A"/>
    <w:rsid w:val="00F938C2"/>
    <w:rsid w:val="00F93C08"/>
    <w:rsid w:val="00FA369E"/>
    <w:rsid w:val="00FA5EB1"/>
    <w:rsid w:val="00FA7439"/>
    <w:rsid w:val="00FB48D1"/>
    <w:rsid w:val="00FB5784"/>
    <w:rsid w:val="00FC4EC0"/>
    <w:rsid w:val="00FC5DC1"/>
    <w:rsid w:val="00FD0918"/>
    <w:rsid w:val="00FD34AF"/>
    <w:rsid w:val="00FD45F5"/>
    <w:rsid w:val="00FE0600"/>
    <w:rsid w:val="00FE2C13"/>
    <w:rsid w:val="00FE31E1"/>
    <w:rsid w:val="00FE3382"/>
    <w:rsid w:val="00FE49AE"/>
    <w:rsid w:val="00FF0181"/>
    <w:rsid w:val="00FF13EE"/>
    <w:rsid w:val="00FF64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7F2007"/>
    <w:rPr>
      <w:rFonts w:asciiTheme="minorHAnsi" w:hAnsiTheme="minorHAnsi" w:cstheme="minorHAnsi"/>
    </w:rPr>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A4229B"/>
    <w:rPr>
      <w:rFonts w:ascii="Calibri" w:hAnsi="Calibri"/>
      <w:sz w:val="24"/>
      <w:lang w:val="fr-FR" w:eastAsia="en-US"/>
    </w:rPr>
  </w:style>
  <w:style w:type="character" w:customStyle="1" w:styleId="CallChar">
    <w:name w:val="Call Char"/>
    <w:basedOn w:val="DefaultParagraphFont"/>
    <w:link w:val="Call"/>
    <w:rsid w:val="00A4229B"/>
    <w:rPr>
      <w:rFonts w:ascii="Calibri" w:hAnsi="Calibri"/>
      <w:i/>
      <w:sz w:val="24"/>
      <w:lang w:val="fr-FR" w:eastAsia="en-US"/>
    </w:rPr>
  </w:style>
  <w:style w:type="character" w:customStyle="1" w:styleId="RestitleChar">
    <w:name w:val="Res_title Char"/>
    <w:basedOn w:val="DefaultParagraphFont"/>
    <w:link w:val="Restitle"/>
    <w:locked/>
    <w:rsid w:val="00A4229B"/>
    <w:rPr>
      <w:rFonts w:ascii="Calibri" w:hAnsi="Calibri"/>
      <w:b/>
      <w:sz w:val="28"/>
      <w:lang w:val="fr-FR" w:eastAsia="en-US"/>
    </w:rPr>
  </w:style>
  <w:style w:type="character" w:customStyle="1" w:styleId="AnnexNoChar">
    <w:name w:val="Annex_No Char"/>
    <w:basedOn w:val="DefaultParagraphFont"/>
    <w:link w:val="AnnexNo"/>
    <w:rsid w:val="00A4229B"/>
    <w:rPr>
      <w:rFonts w:ascii="Calibri" w:hAnsi="Calibri"/>
      <w:caps/>
      <w:sz w:val="28"/>
      <w:lang w:val="fr-FR" w:eastAsia="en-US"/>
    </w:rPr>
  </w:style>
  <w:style w:type="character" w:customStyle="1" w:styleId="AnnextitleChar">
    <w:name w:val="Annex_title Char"/>
    <w:basedOn w:val="DefaultParagraphFont"/>
    <w:link w:val="Annextitle"/>
    <w:rsid w:val="00A4229B"/>
    <w:rPr>
      <w:rFonts w:ascii="Calibri" w:hAnsi="Calibri"/>
      <w:b/>
      <w:sz w:val="28"/>
      <w:lang w:val="fr-FR" w:eastAsia="en-US"/>
    </w:rPr>
  </w:style>
  <w:style w:type="character" w:styleId="UnresolvedMention">
    <w:name w:val="Unresolved Mention"/>
    <w:basedOn w:val="DefaultParagraphFont"/>
    <w:uiPriority w:val="99"/>
    <w:semiHidden/>
    <w:unhideWhenUsed/>
    <w:rsid w:val="00F80293"/>
    <w:rPr>
      <w:color w:val="605E5C"/>
      <w:shd w:val="clear" w:color="auto" w:fill="E1DFDD"/>
    </w:rPr>
  </w:style>
  <w:style w:type="character" w:customStyle="1" w:styleId="Heading1Char">
    <w:name w:val="Heading 1 Char"/>
    <w:basedOn w:val="DefaultParagraphFont"/>
    <w:link w:val="Heading1"/>
    <w:rsid w:val="002F1481"/>
    <w:rPr>
      <w:rFonts w:ascii="Calibri" w:hAnsi="Calibri"/>
      <w:b/>
      <w:sz w:val="28"/>
      <w:lang w:val="fr-FR" w:eastAsia="en-US"/>
    </w:rPr>
  </w:style>
  <w:style w:type="character" w:styleId="CommentReference">
    <w:name w:val="annotation reference"/>
    <w:basedOn w:val="DefaultParagraphFont"/>
    <w:semiHidden/>
    <w:unhideWhenUsed/>
    <w:rsid w:val="00E85721"/>
    <w:rPr>
      <w:sz w:val="16"/>
      <w:szCs w:val="16"/>
    </w:rPr>
  </w:style>
  <w:style w:type="paragraph" w:styleId="CommentText">
    <w:name w:val="annotation text"/>
    <w:basedOn w:val="Normal"/>
    <w:link w:val="CommentTextChar"/>
    <w:unhideWhenUsed/>
    <w:rsid w:val="00E85721"/>
    <w:rPr>
      <w:sz w:val="20"/>
    </w:rPr>
  </w:style>
  <w:style w:type="character" w:customStyle="1" w:styleId="CommentTextChar">
    <w:name w:val="Comment Text Char"/>
    <w:basedOn w:val="DefaultParagraphFont"/>
    <w:link w:val="CommentText"/>
    <w:rsid w:val="00E85721"/>
    <w:rPr>
      <w:rFonts w:ascii="Calibri" w:hAnsi="Calibri"/>
      <w:lang w:val="fr-FR" w:eastAsia="en-US"/>
    </w:rPr>
  </w:style>
  <w:style w:type="paragraph" w:styleId="CommentSubject">
    <w:name w:val="annotation subject"/>
    <w:basedOn w:val="CommentText"/>
    <w:next w:val="CommentText"/>
    <w:link w:val="CommentSubjectChar"/>
    <w:semiHidden/>
    <w:unhideWhenUsed/>
    <w:rsid w:val="00E85721"/>
    <w:rPr>
      <w:b/>
      <w:bCs/>
    </w:rPr>
  </w:style>
  <w:style w:type="character" w:customStyle="1" w:styleId="CommentSubjectChar">
    <w:name w:val="Comment Subject Char"/>
    <w:basedOn w:val="CommentTextChar"/>
    <w:link w:val="CommentSubject"/>
    <w:semiHidden/>
    <w:rsid w:val="00E85721"/>
    <w:rPr>
      <w:rFonts w:ascii="Calibri" w:hAnsi="Calibri"/>
      <w:b/>
      <w:bCs/>
      <w:lang w:val="fr-FR" w:eastAsia="en-US"/>
    </w:rPr>
  </w:style>
  <w:style w:type="paragraph" w:styleId="TOCHeading">
    <w:name w:val="TOC Heading"/>
    <w:basedOn w:val="Heading1"/>
    <w:next w:val="Normal"/>
    <w:uiPriority w:val="39"/>
    <w:unhideWhenUsed/>
    <w:qFormat/>
    <w:rsid w:val="00B60141"/>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eastAsia="fr-FR"/>
    </w:rPr>
  </w:style>
  <w:style w:type="character" w:customStyle="1" w:styleId="Heading3Char">
    <w:name w:val="Heading 3 Char"/>
    <w:basedOn w:val="DefaultParagraphFont"/>
    <w:link w:val="Heading3"/>
    <w:rsid w:val="007F09F2"/>
    <w:rPr>
      <w:rFonts w:ascii="Calibri" w:hAnsi="Calibri"/>
      <w:b/>
      <w:sz w:val="24"/>
      <w:lang w:val="fr-FR" w:eastAsia="en-US"/>
    </w:rPr>
  </w:style>
  <w:style w:type="paragraph" w:styleId="ListParagraph">
    <w:name w:val="List Paragraph"/>
    <w:basedOn w:val="Normal"/>
    <w:uiPriority w:val="34"/>
    <w:qFormat/>
    <w:rsid w:val="009B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0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8B22-7252-4EE6-83C9-A23B7477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1372 - CWG-LANG</vt:lpstr>
      <vt:lpstr/>
    </vt:vector>
  </TitlesOfParts>
  <Company>Union internationale des télécommunications (UIT)</Company>
  <LinksUpToDate>false</LinksUpToDate>
  <CharactersWithSpaces>8162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1372 - CWG-LANG</dc:title>
  <dc:subject>2024 session of the Council</dc:subject>
  <dc:creator>Brouard, Ricarda</dc:creator>
  <cp:keywords>Council-24; C24; Council 2024</cp:keywords>
  <dc:description/>
  <cp:lastModifiedBy>GBS</cp:lastModifiedBy>
  <cp:revision>2</cp:revision>
  <cp:lastPrinted>2000-07-18T08:55:00Z</cp:lastPrinted>
  <dcterms:created xsi:type="dcterms:W3CDTF">2025-02-25T07:53:00Z</dcterms:created>
  <dcterms:modified xsi:type="dcterms:W3CDTF">2025-02-25T07:53:00Z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