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024709" w14:paraId="2592CC74" w14:textId="77777777" w:rsidTr="00D72F49">
        <w:trPr>
          <w:cantSplit/>
          <w:trHeight w:val="23"/>
        </w:trPr>
        <w:tc>
          <w:tcPr>
            <w:tcW w:w="3969" w:type="dxa"/>
            <w:vMerge w:val="restart"/>
            <w:tcMar>
              <w:left w:w="0" w:type="dxa"/>
            </w:tcMar>
          </w:tcPr>
          <w:p w14:paraId="27E56DEB" w14:textId="5E456F93" w:rsidR="00D72F49" w:rsidRPr="00024709" w:rsidRDefault="00D72F49" w:rsidP="00D72F49">
            <w:pPr>
              <w:tabs>
                <w:tab w:val="left" w:pos="851"/>
              </w:tabs>
              <w:spacing w:before="0" w:line="240" w:lineRule="atLeast"/>
              <w:rPr>
                <w:b/>
              </w:rPr>
            </w:pPr>
          </w:p>
        </w:tc>
        <w:tc>
          <w:tcPr>
            <w:tcW w:w="5245" w:type="dxa"/>
          </w:tcPr>
          <w:p w14:paraId="27B6A98A" w14:textId="6EDA0B1D" w:rsidR="00D72F49" w:rsidRPr="00024709" w:rsidRDefault="00D72F49" w:rsidP="00D72F49">
            <w:pPr>
              <w:tabs>
                <w:tab w:val="left" w:pos="851"/>
              </w:tabs>
              <w:spacing w:before="0" w:line="240" w:lineRule="atLeast"/>
              <w:jc w:val="right"/>
              <w:rPr>
                <w:b/>
              </w:rPr>
            </w:pPr>
            <w:r w:rsidRPr="00024709">
              <w:rPr>
                <w:b/>
              </w:rPr>
              <w:t>Document C2</w:t>
            </w:r>
            <w:r w:rsidR="0073275D" w:rsidRPr="00024709">
              <w:rPr>
                <w:b/>
              </w:rPr>
              <w:t>4</w:t>
            </w:r>
            <w:r w:rsidRPr="00024709">
              <w:rPr>
                <w:b/>
              </w:rPr>
              <w:t>/</w:t>
            </w:r>
            <w:r w:rsidR="00E83569">
              <w:rPr>
                <w:b/>
              </w:rPr>
              <w:t>136</w:t>
            </w:r>
            <w:r w:rsidRPr="00024709">
              <w:rPr>
                <w:b/>
              </w:rPr>
              <w:t>-F</w:t>
            </w:r>
          </w:p>
        </w:tc>
      </w:tr>
      <w:tr w:rsidR="00D72F49" w:rsidRPr="00024709" w14:paraId="41096C77" w14:textId="77777777" w:rsidTr="00D72F49">
        <w:trPr>
          <w:cantSplit/>
        </w:trPr>
        <w:tc>
          <w:tcPr>
            <w:tcW w:w="3969" w:type="dxa"/>
            <w:vMerge/>
          </w:tcPr>
          <w:p w14:paraId="0BBA5643" w14:textId="77777777" w:rsidR="00D72F49" w:rsidRPr="00024709" w:rsidRDefault="00D72F49" w:rsidP="00D72F49">
            <w:pPr>
              <w:tabs>
                <w:tab w:val="left" w:pos="851"/>
              </w:tabs>
              <w:spacing w:line="240" w:lineRule="atLeast"/>
              <w:rPr>
                <w:b/>
              </w:rPr>
            </w:pPr>
          </w:p>
        </w:tc>
        <w:tc>
          <w:tcPr>
            <w:tcW w:w="5245" w:type="dxa"/>
          </w:tcPr>
          <w:p w14:paraId="068BECD5" w14:textId="3714F63E" w:rsidR="00D72F49" w:rsidRPr="00024709" w:rsidRDefault="00BB5C1F" w:rsidP="00D72F49">
            <w:pPr>
              <w:tabs>
                <w:tab w:val="left" w:pos="851"/>
              </w:tabs>
              <w:spacing w:before="0"/>
              <w:jc w:val="right"/>
              <w:rPr>
                <w:b/>
              </w:rPr>
            </w:pPr>
            <w:r w:rsidRPr="00024709">
              <w:rPr>
                <w:b/>
              </w:rPr>
              <w:t>1</w:t>
            </w:r>
            <w:r w:rsidR="00E83569">
              <w:rPr>
                <w:b/>
              </w:rPr>
              <w:t>4</w:t>
            </w:r>
            <w:r w:rsidRPr="00024709">
              <w:rPr>
                <w:b/>
              </w:rPr>
              <w:t xml:space="preserve"> juin</w:t>
            </w:r>
            <w:r w:rsidR="00D72F49" w:rsidRPr="00024709">
              <w:rPr>
                <w:b/>
              </w:rPr>
              <w:t xml:space="preserve"> 202</w:t>
            </w:r>
            <w:r w:rsidR="0073275D" w:rsidRPr="00024709">
              <w:rPr>
                <w:b/>
              </w:rPr>
              <w:t>4</w:t>
            </w:r>
          </w:p>
        </w:tc>
      </w:tr>
      <w:tr w:rsidR="00D72F49" w:rsidRPr="00024709" w14:paraId="17E5B988" w14:textId="77777777" w:rsidTr="00D72F49">
        <w:trPr>
          <w:cantSplit/>
          <w:trHeight w:val="23"/>
        </w:trPr>
        <w:tc>
          <w:tcPr>
            <w:tcW w:w="3969" w:type="dxa"/>
            <w:vMerge/>
          </w:tcPr>
          <w:p w14:paraId="2192D6D7" w14:textId="77777777" w:rsidR="00D72F49" w:rsidRPr="00024709" w:rsidRDefault="00D72F49" w:rsidP="00D72F49">
            <w:pPr>
              <w:tabs>
                <w:tab w:val="left" w:pos="851"/>
              </w:tabs>
              <w:spacing w:line="240" w:lineRule="atLeast"/>
              <w:rPr>
                <w:b/>
              </w:rPr>
            </w:pPr>
          </w:p>
        </w:tc>
        <w:tc>
          <w:tcPr>
            <w:tcW w:w="5245" w:type="dxa"/>
          </w:tcPr>
          <w:p w14:paraId="1948C622" w14:textId="77777777" w:rsidR="00D72F49" w:rsidRPr="00024709" w:rsidRDefault="00D72F49" w:rsidP="00D72F49">
            <w:pPr>
              <w:tabs>
                <w:tab w:val="left" w:pos="851"/>
              </w:tabs>
              <w:spacing w:before="0" w:line="240" w:lineRule="atLeast"/>
              <w:jc w:val="right"/>
              <w:rPr>
                <w:b/>
              </w:rPr>
            </w:pPr>
            <w:r w:rsidRPr="00024709">
              <w:rPr>
                <w:b/>
              </w:rPr>
              <w:t>Original: anglais</w:t>
            </w:r>
          </w:p>
        </w:tc>
      </w:tr>
      <w:tr w:rsidR="00D72F49" w:rsidRPr="00024709" w14:paraId="53623BEE" w14:textId="77777777" w:rsidTr="00D72F49">
        <w:trPr>
          <w:cantSplit/>
          <w:trHeight w:val="23"/>
        </w:trPr>
        <w:tc>
          <w:tcPr>
            <w:tcW w:w="3969" w:type="dxa"/>
          </w:tcPr>
          <w:p w14:paraId="630B4C34" w14:textId="77777777" w:rsidR="00D72F49" w:rsidRPr="00024709" w:rsidRDefault="00D72F49" w:rsidP="00D72F49">
            <w:pPr>
              <w:tabs>
                <w:tab w:val="left" w:pos="851"/>
              </w:tabs>
              <w:spacing w:line="240" w:lineRule="atLeast"/>
              <w:rPr>
                <w:b/>
              </w:rPr>
            </w:pPr>
          </w:p>
        </w:tc>
        <w:tc>
          <w:tcPr>
            <w:tcW w:w="5245" w:type="dxa"/>
          </w:tcPr>
          <w:p w14:paraId="437750C4" w14:textId="77777777" w:rsidR="00D72F49" w:rsidRPr="00024709" w:rsidRDefault="00D72F49" w:rsidP="00D72F49">
            <w:pPr>
              <w:tabs>
                <w:tab w:val="left" w:pos="851"/>
              </w:tabs>
              <w:spacing w:before="0" w:line="240" w:lineRule="atLeast"/>
              <w:jc w:val="right"/>
              <w:rPr>
                <w:b/>
              </w:rPr>
            </w:pPr>
          </w:p>
        </w:tc>
      </w:tr>
    </w:tbl>
    <w:p w14:paraId="34039E22" w14:textId="14BA7D02" w:rsidR="00BB5C1F" w:rsidRDefault="00BB5C1F" w:rsidP="00BB5C1F">
      <w:pPr>
        <w:pStyle w:val="AnnexNo"/>
      </w:pPr>
      <w:r w:rsidRPr="00024709">
        <w:t xml:space="preserve">DÉCISION </w:t>
      </w:r>
      <w:r w:rsidR="00E83569">
        <w:t>641</w:t>
      </w:r>
    </w:p>
    <w:p w14:paraId="039AC53B" w14:textId="5F2D2721" w:rsidR="00CD4CBF" w:rsidRPr="00CD4CBF" w:rsidRDefault="00CD4CBF" w:rsidP="00CD4CBF">
      <w:pPr>
        <w:pStyle w:val="Annexref"/>
        <w:rPr>
          <w:sz w:val="24"/>
          <w:szCs w:val="24"/>
        </w:rPr>
      </w:pPr>
      <w:bookmarkStart w:id="0" w:name="_Hlk169259509"/>
      <w:r w:rsidRPr="00CD4CBF">
        <w:rPr>
          <w:sz w:val="24"/>
          <w:szCs w:val="24"/>
        </w:rPr>
        <w:t>(adoptée à la dixième séance plénière)</w:t>
      </w:r>
      <w:bookmarkEnd w:id="0"/>
    </w:p>
    <w:p w14:paraId="09D657D2" w14:textId="403F5F4B" w:rsidR="00BB5C1F" w:rsidRPr="00024709" w:rsidRDefault="00BB5C1F" w:rsidP="00BB5C1F">
      <w:pPr>
        <w:pStyle w:val="Annextitle"/>
      </w:pPr>
      <w:r w:rsidRPr="00024709">
        <w:t>Septième Forum mondial des politiques de télécommunication/technologies de l'information et de la communication</w:t>
      </w:r>
    </w:p>
    <w:p w14:paraId="7EF3C21E" w14:textId="77777777" w:rsidR="00BB5C1F" w:rsidRPr="00024709" w:rsidRDefault="00BB5C1F" w:rsidP="00BB5170">
      <w:pPr>
        <w:pStyle w:val="Normalaftertitle"/>
      </w:pPr>
      <w:r w:rsidRPr="00024709">
        <w:t>Le Conseil de l'UIT,</w:t>
      </w:r>
    </w:p>
    <w:p w14:paraId="686AE6E4" w14:textId="77777777" w:rsidR="00BB5C1F" w:rsidRPr="00024709" w:rsidRDefault="00BB5C1F" w:rsidP="00BB5170">
      <w:pPr>
        <w:pStyle w:val="Call"/>
      </w:pPr>
      <w:r w:rsidRPr="00024709">
        <w:t>reconnaissant</w:t>
      </w:r>
    </w:p>
    <w:p w14:paraId="6828AB8B" w14:textId="5A37A9F8" w:rsidR="00BB5C1F" w:rsidRPr="00024709" w:rsidRDefault="00BB5C1F" w:rsidP="00BB5170">
      <w:r w:rsidRPr="00024709">
        <w:t>la Résolution 2 (Rév. Bucarest, 2022) de la Conférence de plénipotentiaires relative au Forum mondial des politiques de télécommunication et des technologies de l'information et des communications (FMPT),</w:t>
      </w:r>
    </w:p>
    <w:p w14:paraId="7B49D0DA" w14:textId="77777777" w:rsidR="00BB5C1F" w:rsidRPr="00024709" w:rsidRDefault="00BB5C1F" w:rsidP="00BB5170">
      <w:pPr>
        <w:pStyle w:val="Call"/>
      </w:pPr>
      <w:r w:rsidRPr="00024709">
        <w:t>considérant</w:t>
      </w:r>
    </w:p>
    <w:p w14:paraId="59DE47D6" w14:textId="4CF8D904" w:rsidR="00BB5C1F" w:rsidRPr="00024709" w:rsidRDefault="00BB5C1F" w:rsidP="00BB5170">
      <w:r w:rsidRPr="00024709">
        <w:t>que l'objet du FMPT est de servir de cadre à l'échange de vues et d'informations et, partant, à l'élaboration, par des décideurs du monde entier, d'une vision commune des défis et des possibilités découlant des services et des technologies de télécommunication/TIC nouveaux et émergents et d'étudier toute autre question de politique générale des télécommunications/TIC pour laquelle un échange de vues au niveau mondial serait utile, en plus de l'adoption d'avis reflétant des points de vue communs,</w:t>
      </w:r>
    </w:p>
    <w:p w14:paraId="3F76B455" w14:textId="77777777" w:rsidR="00BB5C1F" w:rsidRPr="00024709" w:rsidRDefault="00BB5C1F" w:rsidP="00BB5170">
      <w:pPr>
        <w:pStyle w:val="Call"/>
      </w:pPr>
      <w:r w:rsidRPr="00024709">
        <w:t>décide</w:t>
      </w:r>
    </w:p>
    <w:p w14:paraId="47F107AE" w14:textId="5FF73101" w:rsidR="00BB5C1F" w:rsidRPr="00024709" w:rsidRDefault="00BB5C1F" w:rsidP="00BB5170">
      <w:r w:rsidRPr="00024709">
        <w:t>1</w:t>
      </w:r>
      <w:r w:rsidRPr="00024709">
        <w:tab/>
        <w:t>de convoquer le septième FMPT pour une durée de trois jours pendant le premier</w:t>
      </w:r>
      <w:r w:rsidR="00BB5170" w:rsidRPr="00024709">
        <w:t> </w:t>
      </w:r>
      <w:r w:rsidRPr="00024709">
        <w:t>semestre de 2026 (FMPT-26), en un lieu et à des dates qui seront déterminés par le Conseil à sa prochaine session;</w:t>
      </w:r>
    </w:p>
    <w:p w14:paraId="04C08025" w14:textId="2307DA86" w:rsidR="00BB5C1F" w:rsidRPr="00024709" w:rsidRDefault="00BB5C1F" w:rsidP="00BB5170">
      <w:r w:rsidRPr="00024709">
        <w:t>2</w:t>
      </w:r>
      <w:r w:rsidRPr="00024709">
        <w:tab/>
        <w:t>que le FMPT-26 sera placé sous le thème suivant:</w:t>
      </w:r>
    </w:p>
    <w:p w14:paraId="01FC1447" w14:textId="60CBD943" w:rsidR="00BB5C1F" w:rsidRPr="00024709" w:rsidRDefault="00981B60" w:rsidP="00981B60">
      <w:pPr>
        <w:pStyle w:val="enumlev1"/>
      </w:pPr>
      <w:r>
        <w:tab/>
      </w:r>
      <w:r w:rsidR="00BB5C1F" w:rsidRPr="00024709">
        <w:t>"</w:t>
      </w:r>
      <w:r w:rsidR="00BB5C1F" w:rsidRPr="00024709">
        <w:rPr>
          <w:b/>
          <w:bCs/>
          <w:i/>
          <w:iCs/>
        </w:rPr>
        <w:t>Accélérer la marche vers un avenir numérique inclusif, durable, résilient et propice à l'innovation</w:t>
      </w:r>
      <w:r w:rsidR="00BB5C1F" w:rsidRPr="00024709">
        <w:rPr>
          <w:i/>
          <w:iCs/>
        </w:rPr>
        <w:t>:</w:t>
      </w:r>
      <w:r w:rsidR="00BB5C1F" w:rsidRPr="00024709">
        <w:t xml:space="preserve"> À cet égard, les participants au FMPT-26 examineront les perspectives, les difficultés ainsi que les politiques dans les domaines suivants:</w:t>
      </w:r>
    </w:p>
    <w:p w14:paraId="3EA291C1" w14:textId="0C558194" w:rsidR="00BB5C1F" w:rsidRPr="00024709" w:rsidRDefault="00BB5C1F" w:rsidP="00981B60">
      <w:pPr>
        <w:pStyle w:val="enumlev2"/>
      </w:pPr>
      <w:r w:rsidRPr="00024709">
        <w:t>–</w:t>
      </w:r>
      <w:r w:rsidRPr="00024709">
        <w:tab/>
      </w:r>
      <w:r w:rsidR="00071AEB" w:rsidRPr="00024709">
        <w:t xml:space="preserve">réduction </w:t>
      </w:r>
      <w:r w:rsidRPr="00024709">
        <w:t>des fractures numériques, notamment entre les hommes et les femmes et entre les générations, ainsi qu'en matière de compétences et de connectivité</w:t>
      </w:r>
    </w:p>
    <w:p w14:paraId="7DBE6829" w14:textId="5F05E46E" w:rsidR="00BB5C1F" w:rsidRPr="00024709" w:rsidRDefault="00BB5C1F" w:rsidP="00981B60">
      <w:pPr>
        <w:pStyle w:val="enumlev2"/>
      </w:pPr>
      <w:r w:rsidRPr="00024709">
        <w:t>–</w:t>
      </w:r>
      <w:r w:rsidRPr="00024709">
        <w:tab/>
      </w:r>
      <w:r w:rsidR="00071AEB" w:rsidRPr="00024709">
        <w:t xml:space="preserve">transformation </w:t>
      </w:r>
      <w:r w:rsidRPr="00024709">
        <w:t>numérique écologique: changements climatiques et durabilité environnementale</w:t>
      </w:r>
    </w:p>
    <w:p w14:paraId="0CAEF5F1" w14:textId="7C6A5F83" w:rsidR="00BB5C1F" w:rsidRPr="00024709" w:rsidRDefault="00BB5C1F" w:rsidP="00981B60">
      <w:pPr>
        <w:pStyle w:val="enumlev2"/>
      </w:pPr>
      <w:r w:rsidRPr="00024709">
        <w:t>–</w:t>
      </w:r>
      <w:r w:rsidRPr="00024709">
        <w:tab/>
      </w:r>
      <w:r w:rsidR="00071AEB" w:rsidRPr="00024709">
        <w:t xml:space="preserve">résilience </w:t>
      </w:r>
      <w:r w:rsidRPr="00024709">
        <w:t>des télécommunications/TIC</w:t>
      </w:r>
    </w:p>
    <w:p w14:paraId="2F1DDA92" w14:textId="60311DE5" w:rsidR="00BB5C1F" w:rsidRPr="00024709" w:rsidRDefault="00BB5C1F" w:rsidP="00981B60">
      <w:pPr>
        <w:pStyle w:val="enumlev2"/>
      </w:pPr>
      <w:r w:rsidRPr="00024709">
        <w:lastRenderedPageBreak/>
        <w:t>–</w:t>
      </w:r>
      <w:r w:rsidRPr="00024709">
        <w:tab/>
      </w:r>
      <w:r w:rsidR="00071AEB" w:rsidRPr="00024709">
        <w:t xml:space="preserve">connectivité </w:t>
      </w:r>
      <w:r w:rsidRPr="00024709">
        <w:t>spatiale</w:t>
      </w:r>
    </w:p>
    <w:p w14:paraId="2756D979" w14:textId="38668248" w:rsidR="00BB5C1F" w:rsidRPr="00024709" w:rsidRDefault="00BB5C1F" w:rsidP="00981B60">
      <w:pPr>
        <w:pStyle w:val="enumlev2"/>
      </w:pPr>
      <w:r w:rsidRPr="00024709">
        <w:t>–</w:t>
      </w:r>
      <w:r w:rsidRPr="00024709">
        <w:tab/>
      </w:r>
      <w:r w:rsidR="00071AEB" w:rsidRPr="00024709">
        <w:t xml:space="preserve">renforcement </w:t>
      </w:r>
      <w:r w:rsidRPr="00024709">
        <w:t>des écosystèmes de l'innovation et de l'entrepreneuriat centrés sur les TIC</w:t>
      </w:r>
      <w:r w:rsidR="00BB5170" w:rsidRPr="00024709">
        <w:t>"</w:t>
      </w:r>
      <w:r w:rsidR="007F3168" w:rsidRPr="00024709">
        <w:t>;</w:t>
      </w:r>
    </w:p>
    <w:p w14:paraId="49E1C6E8" w14:textId="0522828A" w:rsidR="00BB5C1F" w:rsidRPr="00024709" w:rsidRDefault="00BB5C1F" w:rsidP="00DB77B4">
      <w:r w:rsidRPr="00024709">
        <w:t>3</w:t>
      </w:r>
      <w:r w:rsidRPr="00024709">
        <w:tab/>
        <w:t>que le processus de préparation du FMPT-26 sera conforme aux dispositions de la Résolution 2 (Rév. Bucarest, 2022);</w:t>
      </w:r>
    </w:p>
    <w:p w14:paraId="759884D9" w14:textId="17F68C1A" w:rsidR="00BB5C1F" w:rsidRPr="00024709" w:rsidRDefault="00BB5C1F" w:rsidP="00DB77B4">
      <w:r w:rsidRPr="00024709">
        <w:t>4</w:t>
      </w:r>
      <w:r w:rsidRPr="00024709">
        <w:tab/>
        <w:t>que l'ordre du jour du FMPT-26 sera fondé sur le projet d'ordre du jour reproduit dans l'Annexe 1 de la présente Décision;</w:t>
      </w:r>
    </w:p>
    <w:p w14:paraId="772D7F7A" w14:textId="31CB46FE" w:rsidR="00BB5C1F" w:rsidRPr="00024709" w:rsidRDefault="00BB5C1F" w:rsidP="00DB77B4">
      <w:r w:rsidRPr="00024709">
        <w:t>5</w:t>
      </w:r>
      <w:r w:rsidRPr="00024709">
        <w:tab/>
        <w:t>que le FMPT-26 ne doit pas produire de règlements contraignants; toutefois, il établira des rapports et adoptera des avis, par consensus, qu'il soumettra aux États Membres et aux Membres de Secteur ainsi qu'aux réunions compétentes de l'UIT, pour examen;</w:t>
      </w:r>
    </w:p>
    <w:p w14:paraId="278054E5" w14:textId="62213F8A" w:rsidR="00BB5C1F" w:rsidRPr="00024709" w:rsidRDefault="00BB5C1F" w:rsidP="00DB77B4">
      <w:r w:rsidRPr="00024709">
        <w:t>6</w:t>
      </w:r>
      <w:r w:rsidRPr="00024709">
        <w:tab/>
        <w:t>que le rapport du Secrétaire général sera élaboré selon les modalités suivantes:</w:t>
      </w:r>
    </w:p>
    <w:p w14:paraId="0145AC7D" w14:textId="1EFFB3AF" w:rsidR="00BB5C1F" w:rsidRPr="00024709" w:rsidRDefault="00BB5C1F" w:rsidP="00621BBE">
      <w:pPr>
        <w:pStyle w:val="enumlev1"/>
      </w:pPr>
      <w:r w:rsidRPr="00024709">
        <w:t>a</w:t>
      </w:r>
      <w:r w:rsidR="00981B60">
        <w:t>.</w:t>
      </w:r>
      <w:r w:rsidRPr="00024709">
        <w:tab/>
        <w:t>le Secrétaire général convoquera un groupe d'experts informel équilibré, dont chacun participera activement à la préparation du FMPT-26 dans son pays, pour prêter son concours;</w:t>
      </w:r>
    </w:p>
    <w:p w14:paraId="68F6DBF9" w14:textId="6D22A7AC" w:rsidR="00BB5C1F" w:rsidRPr="00024709" w:rsidRDefault="00BB5C1F" w:rsidP="00621BBE">
      <w:pPr>
        <w:pStyle w:val="enumlev1"/>
      </w:pPr>
      <w:r w:rsidRPr="00024709">
        <w:t>b</w:t>
      </w:r>
      <w:r w:rsidR="00981B60">
        <w:t>.</w:t>
      </w:r>
      <w:r w:rsidRPr="00024709">
        <w:tab/>
        <w:t>le rapport du FMPT-26 sera élaboré par le Secrétaire général conformément aux dispositions de l'Annexe 2 de la présente Décision;</w:t>
      </w:r>
    </w:p>
    <w:p w14:paraId="6161D1DF" w14:textId="170A6B4E" w:rsidR="00BB5C1F" w:rsidRPr="00024709" w:rsidRDefault="00BB5C1F" w:rsidP="00621BBE">
      <w:pPr>
        <w:pStyle w:val="enumlev1"/>
      </w:pPr>
      <w:r w:rsidRPr="00024709">
        <w:t>c</w:t>
      </w:r>
      <w:r w:rsidR="00981B60">
        <w:t>.</w:t>
      </w:r>
      <w:r w:rsidRPr="00024709">
        <w:tab/>
        <w:t>les séances du FMPT-26 se tiendront conformément aux dispositions du Règlement intérieur appliqué lors des deux Forums précédents;</w:t>
      </w:r>
    </w:p>
    <w:p w14:paraId="00BD4B55" w14:textId="33566427" w:rsidR="00BB5C1F" w:rsidRPr="00024709" w:rsidRDefault="00BB5C1F" w:rsidP="00621BBE">
      <w:pPr>
        <w:pStyle w:val="enumlev1"/>
      </w:pPr>
      <w:r w:rsidRPr="00024709">
        <w:t>d</w:t>
      </w:r>
      <w:r w:rsidR="00981B60">
        <w:t>.</w:t>
      </w:r>
      <w:r w:rsidRPr="00024709">
        <w:tab/>
        <w:t>le rapport final du Secrétaire général sera diffusé au moins six semaines avant l'ouverture du FMPT-26.</w:t>
      </w:r>
    </w:p>
    <w:p w14:paraId="78FF9DE5" w14:textId="3002ABF1" w:rsidR="00BB5C1F" w:rsidRPr="00024709" w:rsidRDefault="00BB5C1F" w:rsidP="00DB77B4">
      <w:r w:rsidRPr="00024709">
        <w:t>7</w:t>
      </w:r>
      <w:r w:rsidRPr="00024709">
        <w:tab/>
        <w:t>que le FMPT-26 sera ouvert à la participation de tous les États Membres et Membres de Secteur;</w:t>
      </w:r>
    </w:p>
    <w:p w14:paraId="015945DE" w14:textId="7C4C1583" w:rsidR="00BB5C1F" w:rsidRPr="00024709" w:rsidRDefault="00BB5C1F" w:rsidP="00DB77B4">
      <w:r w:rsidRPr="00024709">
        <w:t>8</w:t>
      </w:r>
      <w:r w:rsidRPr="00024709">
        <w:tab/>
        <w:t>que les dispositions prises pour le FMPT-26 seront conformes aux décisions de la Conférence de plénipotentiaires et du Conseil applicables aux forums de ce type,</w:t>
      </w:r>
    </w:p>
    <w:p w14:paraId="58DA1569" w14:textId="77777777" w:rsidR="00BB5C1F" w:rsidRPr="00024709" w:rsidRDefault="00BB5C1F" w:rsidP="00BB5170">
      <w:pPr>
        <w:pStyle w:val="Call"/>
      </w:pPr>
      <w:r w:rsidRPr="00024709">
        <w:t>charge le Secrétaire général</w:t>
      </w:r>
    </w:p>
    <w:p w14:paraId="41744D17" w14:textId="5127FC99" w:rsidR="00BB5C1F" w:rsidRPr="00024709" w:rsidRDefault="00BB5C1F" w:rsidP="00DB77B4">
      <w:r w:rsidRPr="00024709">
        <w:t>d'encourager les États Membres et les Membres de Secteur de l'UIT, ainsi que les autres parties intéressées, à verser des contributions volontaires pour aider à payer les dépenses du FMPT-26 et pour faciliter la participation des PMA.</w:t>
      </w:r>
    </w:p>
    <w:p w14:paraId="0D8B96B2" w14:textId="2A982F9F" w:rsidR="00BB5C1F" w:rsidRPr="000C3F64" w:rsidRDefault="00BB5C1F" w:rsidP="00981B60">
      <w:pPr>
        <w:spacing w:before="480"/>
      </w:pPr>
      <w:r w:rsidRPr="000C3F64">
        <w:rPr>
          <w:b/>
          <w:bCs/>
        </w:rPr>
        <w:t>Annexes:</w:t>
      </w:r>
      <w:r w:rsidRPr="000C3F64">
        <w:t xml:space="preserve"> 2</w:t>
      </w:r>
      <w:r w:rsidRPr="000C3F64">
        <w:br w:type="page"/>
      </w:r>
    </w:p>
    <w:p w14:paraId="3F20E39C" w14:textId="77777777" w:rsidR="00BB5C1F" w:rsidRPr="00024709" w:rsidRDefault="00BB5C1F" w:rsidP="00BB5C1F">
      <w:pPr>
        <w:pStyle w:val="AnnexNo"/>
      </w:pPr>
      <w:r w:rsidRPr="00024709">
        <w:lastRenderedPageBreak/>
        <w:t>ANNEXE 1</w:t>
      </w:r>
    </w:p>
    <w:p w14:paraId="6BC8B34F" w14:textId="55367B6E" w:rsidR="00BB5C1F" w:rsidRPr="00024709" w:rsidRDefault="00BB5C1F" w:rsidP="00EB50D0">
      <w:pPr>
        <w:pStyle w:val="Annextitle"/>
        <w:rPr>
          <w:b w:val="0"/>
          <w:bCs/>
          <w:szCs w:val="22"/>
        </w:rPr>
      </w:pPr>
      <w:r w:rsidRPr="00024709">
        <w:t>Projet d'ordre du jour</w:t>
      </w:r>
      <w:r w:rsidR="00EB50D0">
        <w:br/>
      </w:r>
      <w:r w:rsidR="00EB50D0">
        <w:br/>
      </w:r>
      <w:r w:rsidRPr="00024709">
        <w:rPr>
          <w:bCs/>
          <w:szCs w:val="22"/>
        </w:rPr>
        <w:t>Septième Forum mondial des politiques de télécommunication/technologies</w:t>
      </w:r>
      <w:r w:rsidR="000C3F64">
        <w:rPr>
          <w:bCs/>
          <w:szCs w:val="22"/>
        </w:rPr>
        <w:t xml:space="preserve"> </w:t>
      </w:r>
      <w:r w:rsidRPr="00024709">
        <w:rPr>
          <w:bCs/>
          <w:szCs w:val="22"/>
        </w:rPr>
        <w:t>de</w:t>
      </w:r>
      <w:r w:rsidR="000C3F64">
        <w:rPr>
          <w:bCs/>
          <w:szCs w:val="22"/>
        </w:rPr>
        <w:t> </w:t>
      </w:r>
      <w:r w:rsidRPr="00024709">
        <w:rPr>
          <w:bCs/>
          <w:szCs w:val="22"/>
        </w:rPr>
        <w:t>l'information</w:t>
      </w:r>
      <w:r w:rsidR="000C3F64">
        <w:rPr>
          <w:bCs/>
          <w:szCs w:val="22"/>
        </w:rPr>
        <w:t> </w:t>
      </w:r>
      <w:r w:rsidRPr="00024709">
        <w:rPr>
          <w:bCs/>
          <w:szCs w:val="22"/>
        </w:rPr>
        <w:t>et de la communication</w:t>
      </w:r>
    </w:p>
    <w:p w14:paraId="0D93BD29" w14:textId="64E1F4B5" w:rsidR="00BB5C1F" w:rsidRPr="00024709" w:rsidRDefault="00BB5C1F" w:rsidP="00EB50D0">
      <w:pPr>
        <w:pStyle w:val="Normalaftertitle"/>
      </w:pPr>
      <w:r w:rsidRPr="00024709">
        <w:t>1</w:t>
      </w:r>
      <w:r w:rsidRPr="00024709">
        <w:tab/>
        <w:t>Ouverture du septième Forum mondial des politiques de télécommunication/TIC</w:t>
      </w:r>
    </w:p>
    <w:p w14:paraId="77CC9141" w14:textId="77777777" w:rsidR="00BB5C1F" w:rsidRPr="00024709" w:rsidRDefault="00BB5C1F" w:rsidP="00BB5C1F">
      <w:r w:rsidRPr="00024709">
        <w:t>2</w:t>
      </w:r>
      <w:r w:rsidRPr="00024709">
        <w:tab/>
        <w:t>Élection du Président</w:t>
      </w:r>
    </w:p>
    <w:p w14:paraId="7DED4FC3" w14:textId="77777777" w:rsidR="00BB5C1F" w:rsidRPr="00024709" w:rsidRDefault="00BB5C1F" w:rsidP="00BB5C1F">
      <w:r w:rsidRPr="00024709">
        <w:t>3</w:t>
      </w:r>
      <w:r w:rsidRPr="00024709">
        <w:tab/>
        <w:t>Remarques liminaires et exposés</w:t>
      </w:r>
    </w:p>
    <w:p w14:paraId="1419F470" w14:textId="77777777" w:rsidR="00BB5C1F" w:rsidRPr="00024709" w:rsidRDefault="00BB5C1F" w:rsidP="00BB5C1F">
      <w:r w:rsidRPr="00024709">
        <w:t>4</w:t>
      </w:r>
      <w:r w:rsidRPr="00024709">
        <w:tab/>
        <w:t>Organisation des travaux du FMPT</w:t>
      </w:r>
    </w:p>
    <w:p w14:paraId="42C32542" w14:textId="77777777" w:rsidR="00BB5C1F" w:rsidRPr="00024709" w:rsidRDefault="00BB5C1F" w:rsidP="00BB5C1F">
      <w:r w:rsidRPr="00024709">
        <w:t>5</w:t>
      </w:r>
      <w:r w:rsidRPr="00024709">
        <w:tab/>
        <w:t>Présentation du rapport du Secrétaire général</w:t>
      </w:r>
    </w:p>
    <w:p w14:paraId="53793422" w14:textId="77777777" w:rsidR="00BB5C1F" w:rsidRPr="00024709" w:rsidRDefault="00BB5C1F" w:rsidP="00BB5C1F">
      <w:r w:rsidRPr="00024709">
        <w:t>6</w:t>
      </w:r>
      <w:r w:rsidRPr="00024709">
        <w:tab/>
        <w:t>Présentation des observations des membres concernant le rapport</w:t>
      </w:r>
    </w:p>
    <w:p w14:paraId="6BD1F06A" w14:textId="77777777" w:rsidR="00BB5C1F" w:rsidRPr="00024709" w:rsidRDefault="00BB5C1F" w:rsidP="00BB5C1F">
      <w:r w:rsidRPr="00024709">
        <w:t>7</w:t>
      </w:r>
      <w:r w:rsidRPr="00024709">
        <w:tab/>
        <w:t>Débat</w:t>
      </w:r>
    </w:p>
    <w:p w14:paraId="7000FA35" w14:textId="77777777" w:rsidR="00BB5C1F" w:rsidRPr="00024709" w:rsidRDefault="00BB5C1F" w:rsidP="00BB5C1F">
      <w:r w:rsidRPr="00024709">
        <w:t>8</w:t>
      </w:r>
      <w:r w:rsidRPr="00024709">
        <w:tab/>
        <w:t>Examen des projets d'avis</w:t>
      </w:r>
    </w:p>
    <w:p w14:paraId="708BAC13" w14:textId="77777777" w:rsidR="00BB5C1F" w:rsidRPr="00024709" w:rsidRDefault="00BB5C1F" w:rsidP="00BB5C1F">
      <w:r w:rsidRPr="00024709">
        <w:t>9</w:t>
      </w:r>
      <w:r w:rsidRPr="00024709">
        <w:tab/>
        <w:t>Adoption du rapport du Président et des avis</w:t>
      </w:r>
    </w:p>
    <w:p w14:paraId="3955599A" w14:textId="77777777" w:rsidR="00BB5C1F" w:rsidRPr="00024709" w:rsidRDefault="00BB5C1F" w:rsidP="00BB5C1F">
      <w:r w:rsidRPr="00024709">
        <w:t>10</w:t>
      </w:r>
      <w:r w:rsidRPr="00024709">
        <w:tab/>
        <w:t>Divers</w:t>
      </w:r>
    </w:p>
    <w:p w14:paraId="1A5B36CC" w14:textId="77777777" w:rsidR="00BB5C1F" w:rsidRPr="00024709" w:rsidRDefault="00BB5C1F" w:rsidP="00BB5C1F">
      <w:pPr>
        <w:tabs>
          <w:tab w:val="clear" w:pos="567"/>
          <w:tab w:val="clear" w:pos="1134"/>
          <w:tab w:val="clear" w:pos="1701"/>
          <w:tab w:val="clear" w:pos="2268"/>
          <w:tab w:val="clear" w:pos="2835"/>
        </w:tabs>
        <w:overflowPunct/>
        <w:autoSpaceDE/>
        <w:autoSpaceDN/>
        <w:adjustRightInd/>
        <w:spacing w:before="0"/>
        <w:textAlignment w:val="auto"/>
      </w:pPr>
      <w:r w:rsidRPr="00024709">
        <w:br w:type="page"/>
      </w:r>
    </w:p>
    <w:p w14:paraId="3851FF62" w14:textId="77777777" w:rsidR="00BB5C1F" w:rsidRPr="00024709" w:rsidRDefault="00BB5C1F" w:rsidP="00BB5C1F">
      <w:pPr>
        <w:pStyle w:val="AnnexNo"/>
      </w:pPr>
      <w:r w:rsidRPr="00024709">
        <w:lastRenderedPageBreak/>
        <w:t>ANNEXE 2</w:t>
      </w:r>
    </w:p>
    <w:p w14:paraId="3CBF332F" w14:textId="7B861937" w:rsidR="00BB5C1F" w:rsidRPr="00024709" w:rsidRDefault="00BB5C1F" w:rsidP="00BB5C1F">
      <w:pPr>
        <w:pStyle w:val="Annextitle"/>
      </w:pPr>
      <w:r w:rsidRPr="00024709">
        <w:t>Procédure et calendrier concernant l'élaboration du rapport du FMPT-26</w:t>
      </w:r>
      <w:r w:rsidR="000C3F64">
        <w:t xml:space="preserve"> </w:t>
      </w:r>
      <w:r w:rsidRPr="00024709">
        <w:t>par</w:t>
      </w:r>
      <w:r w:rsidR="000C3F64">
        <w:t> </w:t>
      </w:r>
      <w:r w:rsidRPr="00024709">
        <w:t>le</w:t>
      </w:r>
      <w:r w:rsidR="000C3F64">
        <w:t> </w:t>
      </w:r>
      <w:r w:rsidRPr="00024709">
        <w:t>Secrétaire</w:t>
      </w:r>
      <w:r w:rsidR="000C3F64">
        <w:t> </w:t>
      </w:r>
      <w:r w:rsidRPr="00024709">
        <w:t>général</w:t>
      </w:r>
    </w:p>
    <w:tbl>
      <w:tblPr>
        <w:tblStyle w:val="TableGrid"/>
        <w:tblW w:w="9639" w:type="dxa"/>
        <w:jc w:val="center"/>
        <w:tblLook w:val="04A0" w:firstRow="1" w:lastRow="0" w:firstColumn="1" w:lastColumn="0" w:noHBand="0" w:noVBand="1"/>
      </w:tblPr>
      <w:tblGrid>
        <w:gridCol w:w="2692"/>
        <w:gridCol w:w="6947"/>
      </w:tblGrid>
      <w:tr w:rsidR="00BB5C1F" w:rsidRPr="00024709" w14:paraId="7698940E" w14:textId="77777777" w:rsidTr="00EB50D0">
        <w:trPr>
          <w:cantSplit/>
          <w:jc w:val="center"/>
        </w:trPr>
        <w:tc>
          <w:tcPr>
            <w:tcW w:w="2689" w:type="dxa"/>
          </w:tcPr>
          <w:p w14:paraId="0E1B7116" w14:textId="7CA12591" w:rsidR="00BB5C1F" w:rsidRPr="00024709" w:rsidRDefault="00BB5C1F" w:rsidP="00F5322C">
            <w:pPr>
              <w:pStyle w:val="Tabletext"/>
              <w:jc w:val="center"/>
              <w:rPr>
                <w:b/>
                <w:bCs/>
              </w:rPr>
            </w:pPr>
            <w:r w:rsidRPr="00024709">
              <w:rPr>
                <w:b/>
                <w:bCs/>
              </w:rPr>
              <w:t>5 août 2024</w:t>
            </w:r>
          </w:p>
        </w:tc>
        <w:tc>
          <w:tcPr>
            <w:tcW w:w="6940" w:type="dxa"/>
          </w:tcPr>
          <w:p w14:paraId="4DCE18C1" w14:textId="09A48F7B" w:rsidR="00BB5C1F" w:rsidRPr="00024709" w:rsidRDefault="00BB5C1F" w:rsidP="00DB77B4">
            <w:pPr>
              <w:pStyle w:val="Tabletext"/>
            </w:pPr>
            <w:r w:rsidRPr="00024709">
              <w:t>Un avant-projet de structure du rapport du Secrétaire général sera mis en ligne pour observations</w:t>
            </w:r>
            <w:r w:rsidR="00DB77B4" w:rsidRPr="00024709">
              <w:t>.</w:t>
            </w:r>
          </w:p>
        </w:tc>
      </w:tr>
      <w:tr w:rsidR="00BB5C1F" w:rsidRPr="00024709" w14:paraId="779EE6A4" w14:textId="77777777" w:rsidTr="00EB50D0">
        <w:trPr>
          <w:cantSplit/>
          <w:jc w:val="center"/>
        </w:trPr>
        <w:tc>
          <w:tcPr>
            <w:tcW w:w="2689" w:type="dxa"/>
          </w:tcPr>
          <w:p w14:paraId="5674C529" w14:textId="4D2B1746" w:rsidR="00BB5C1F" w:rsidRPr="00024709" w:rsidRDefault="00BB5C1F" w:rsidP="00F5322C">
            <w:pPr>
              <w:pStyle w:val="Tabletext"/>
              <w:jc w:val="center"/>
              <w:rPr>
                <w:b/>
                <w:bCs/>
              </w:rPr>
            </w:pPr>
            <w:r w:rsidRPr="00024709">
              <w:rPr>
                <w:b/>
                <w:bCs/>
              </w:rPr>
              <w:t>26 août 2024</w:t>
            </w:r>
          </w:p>
        </w:tc>
        <w:tc>
          <w:tcPr>
            <w:tcW w:w="6940" w:type="dxa"/>
          </w:tcPr>
          <w:p w14:paraId="58BC9B45" w14:textId="09211025" w:rsidR="00BB5C1F" w:rsidRPr="00024709" w:rsidRDefault="00BB5C1F" w:rsidP="00DB77B4">
            <w:pPr>
              <w:pStyle w:val="Tabletext"/>
            </w:pPr>
            <w:r w:rsidRPr="00024709">
              <w:t>Date limite de réception des observations sur l'avant-projet et des contributions relatives aux grandes lignes des possibles projets d'avis</w:t>
            </w:r>
            <w:r w:rsidR="00DB77B4" w:rsidRPr="00024709">
              <w:t>.</w:t>
            </w:r>
          </w:p>
          <w:p w14:paraId="569D9D0D" w14:textId="5475003B" w:rsidR="00BB5C1F" w:rsidRPr="00024709" w:rsidRDefault="00BB5C1F" w:rsidP="00DB77B4">
            <w:pPr>
              <w:pStyle w:val="Tabletext"/>
            </w:pPr>
            <w:r w:rsidRPr="00024709">
              <w:t>Date limite pour la désignation des membres du groupe d'experts équilibré qui donnera des avis au Secrétaire général sur la suite de l'élaboration du rapport et sur les projets d'avis associés à ce rapport</w:t>
            </w:r>
            <w:r w:rsidR="00DB77B4" w:rsidRPr="00024709">
              <w:t>.</w:t>
            </w:r>
          </w:p>
        </w:tc>
      </w:tr>
      <w:tr w:rsidR="00BB5C1F" w:rsidRPr="00024709" w14:paraId="78CD1562" w14:textId="77777777" w:rsidTr="00EB50D0">
        <w:trPr>
          <w:cantSplit/>
          <w:jc w:val="center"/>
        </w:trPr>
        <w:tc>
          <w:tcPr>
            <w:tcW w:w="2689" w:type="dxa"/>
          </w:tcPr>
          <w:p w14:paraId="26032980" w14:textId="0928ABFA" w:rsidR="00BB5C1F" w:rsidRPr="00024709" w:rsidRDefault="00BB5C1F" w:rsidP="00F5322C">
            <w:pPr>
              <w:pStyle w:val="Tabletext"/>
              <w:jc w:val="center"/>
              <w:rPr>
                <w:b/>
                <w:bCs/>
              </w:rPr>
            </w:pPr>
            <w:r w:rsidRPr="00024709">
              <w:rPr>
                <w:b/>
                <w:bCs/>
              </w:rPr>
              <w:t>1ère réunion du GEI (octobre 2024, pendant la série de réunions des GTC)</w:t>
            </w:r>
          </w:p>
        </w:tc>
        <w:tc>
          <w:tcPr>
            <w:tcW w:w="6940" w:type="dxa"/>
          </w:tcPr>
          <w:p w14:paraId="625BDA28" w14:textId="2796B865" w:rsidR="00BB5C1F" w:rsidRPr="00024709" w:rsidRDefault="00BB5C1F" w:rsidP="00DB77B4">
            <w:pPr>
              <w:pStyle w:val="Tabletext"/>
            </w:pPr>
            <w:r w:rsidRPr="00024709">
              <w:t>Première réunion du groupe d'experts pour examiner l'avant-projet de rapport du Secrétaire général et les observations reçues</w:t>
            </w:r>
            <w:r w:rsidR="00DB77B4" w:rsidRPr="00024709">
              <w:t>.</w:t>
            </w:r>
          </w:p>
        </w:tc>
      </w:tr>
      <w:tr w:rsidR="00BB5C1F" w:rsidRPr="00024709" w14:paraId="5EEAF455" w14:textId="77777777" w:rsidTr="00EB50D0">
        <w:trPr>
          <w:cantSplit/>
          <w:jc w:val="center"/>
        </w:trPr>
        <w:tc>
          <w:tcPr>
            <w:tcW w:w="2689" w:type="dxa"/>
          </w:tcPr>
          <w:p w14:paraId="6EBA3D2C" w14:textId="3DC5B73C" w:rsidR="00BB5C1F" w:rsidRPr="00024709" w:rsidRDefault="00BB5C1F" w:rsidP="00F5322C">
            <w:pPr>
              <w:pStyle w:val="Tabletext"/>
              <w:jc w:val="center"/>
              <w:rPr>
                <w:b/>
                <w:bCs/>
              </w:rPr>
            </w:pPr>
            <w:r w:rsidRPr="00024709">
              <w:rPr>
                <w:b/>
                <w:bCs/>
              </w:rPr>
              <w:t>4 novembre 2024</w:t>
            </w:r>
          </w:p>
        </w:tc>
        <w:tc>
          <w:tcPr>
            <w:tcW w:w="6940" w:type="dxa"/>
          </w:tcPr>
          <w:p w14:paraId="79C9A276" w14:textId="5C2CAFD0" w:rsidR="00BB5C1F" w:rsidRPr="00024709" w:rsidRDefault="00BB5C1F" w:rsidP="00DB77B4">
            <w:pPr>
              <w:pStyle w:val="Tabletext"/>
            </w:pPr>
            <w:r w:rsidRPr="00024709">
              <w:t>Une deuxième version du projet de rapport du Secrétaire général, intégrant les débats de la 1ère réunion du GEI et reprenant les grandes lignes des projets d'avis, sera publiée en ligne</w:t>
            </w:r>
            <w:r w:rsidR="00DB77B4" w:rsidRPr="00024709">
              <w:t>.</w:t>
            </w:r>
          </w:p>
          <w:p w14:paraId="476A9535" w14:textId="3961B673" w:rsidR="00BB5C1F" w:rsidRPr="00024709" w:rsidRDefault="00BB5C1F" w:rsidP="00DB77B4">
            <w:pPr>
              <w:pStyle w:val="Tabletext"/>
            </w:pPr>
            <w:r w:rsidRPr="00024709">
              <w:t>Cette version du projet de rapport sera également mise en ligne aux fins de consultations ouvertes publiques</w:t>
            </w:r>
            <w:r w:rsidR="00DB77B4" w:rsidRPr="00024709">
              <w:t>.</w:t>
            </w:r>
          </w:p>
        </w:tc>
      </w:tr>
      <w:tr w:rsidR="00BB5C1F" w:rsidRPr="00024709" w14:paraId="4B3C20C0" w14:textId="77777777" w:rsidTr="00EB50D0">
        <w:trPr>
          <w:cantSplit/>
          <w:jc w:val="center"/>
        </w:trPr>
        <w:tc>
          <w:tcPr>
            <w:tcW w:w="2689" w:type="dxa"/>
          </w:tcPr>
          <w:p w14:paraId="76AC5829" w14:textId="30A3D0E8" w:rsidR="00BB5C1F" w:rsidRPr="00024709" w:rsidRDefault="00BB5C1F" w:rsidP="00F5322C">
            <w:pPr>
              <w:pStyle w:val="Tabletext"/>
              <w:jc w:val="center"/>
              <w:rPr>
                <w:b/>
                <w:bCs/>
              </w:rPr>
            </w:pPr>
            <w:r w:rsidRPr="00024709">
              <w:rPr>
                <w:b/>
                <w:bCs/>
              </w:rPr>
              <w:t>20 décembre 2024</w:t>
            </w:r>
          </w:p>
        </w:tc>
        <w:tc>
          <w:tcPr>
            <w:tcW w:w="6940" w:type="dxa"/>
          </w:tcPr>
          <w:p w14:paraId="4CBF23B1" w14:textId="74A1253A" w:rsidR="00BB5C1F" w:rsidRPr="00024709" w:rsidRDefault="00BB5C1F" w:rsidP="00DB77B4">
            <w:pPr>
              <w:pStyle w:val="Tabletext"/>
            </w:pPr>
            <w:r w:rsidRPr="00024709">
              <w:t>Date limite de réception des observations sur la deuxième version du projet et des contributions relatives aux possibles projets d'avis</w:t>
            </w:r>
            <w:r w:rsidR="00DB77B4" w:rsidRPr="00024709">
              <w:t>.</w:t>
            </w:r>
          </w:p>
          <w:p w14:paraId="5BC90E72" w14:textId="4F944F12" w:rsidR="00BB5C1F" w:rsidRPr="00024709" w:rsidRDefault="00BB5C1F" w:rsidP="00DB77B4">
            <w:pPr>
              <w:pStyle w:val="Tabletext"/>
            </w:pPr>
            <w:r w:rsidRPr="00024709">
              <w:t>Date limite de soumission des contributions issues des consultations ouvertes publiques</w:t>
            </w:r>
            <w:r w:rsidR="00DB77B4" w:rsidRPr="00024709">
              <w:t>.</w:t>
            </w:r>
          </w:p>
        </w:tc>
      </w:tr>
      <w:tr w:rsidR="00BB5C1F" w:rsidRPr="00024709" w14:paraId="4D6E1849" w14:textId="77777777" w:rsidTr="00EB50D0">
        <w:trPr>
          <w:cantSplit/>
          <w:jc w:val="center"/>
        </w:trPr>
        <w:tc>
          <w:tcPr>
            <w:tcW w:w="2689" w:type="dxa"/>
          </w:tcPr>
          <w:p w14:paraId="5CC150D2" w14:textId="25F4F5B6" w:rsidR="00BB5C1F" w:rsidRPr="00024709" w:rsidRDefault="00BB5C1F" w:rsidP="00F5322C">
            <w:pPr>
              <w:pStyle w:val="Tabletext"/>
              <w:jc w:val="center"/>
              <w:rPr>
                <w:b/>
                <w:bCs/>
              </w:rPr>
            </w:pPr>
            <w:r w:rsidRPr="00024709">
              <w:rPr>
                <w:b/>
                <w:bCs/>
              </w:rPr>
              <w:t>2ème réunion du GEI (février 2025, pendant la série de réunions des GTC)</w:t>
            </w:r>
          </w:p>
        </w:tc>
        <w:tc>
          <w:tcPr>
            <w:tcW w:w="6940" w:type="dxa"/>
          </w:tcPr>
          <w:p w14:paraId="7F4677C7" w14:textId="07AA4680" w:rsidR="00BB5C1F" w:rsidRPr="00024709" w:rsidRDefault="00BB5C1F" w:rsidP="00DB77B4">
            <w:pPr>
              <w:pStyle w:val="Tabletext"/>
            </w:pPr>
            <w:r w:rsidRPr="00024709">
              <w:t>Deuxième réunion du groupe d'experts pour examiner la deuxième version du projet de rapport du Secrétaire général ainsi que les possibles projets d'avis et les observations reçues, y compris celles résultant des consultations ouvertes publiques</w:t>
            </w:r>
            <w:r w:rsidR="00DB77B4" w:rsidRPr="00024709">
              <w:t>.</w:t>
            </w:r>
          </w:p>
        </w:tc>
      </w:tr>
      <w:tr w:rsidR="00BB5C1F" w:rsidRPr="00024709" w14:paraId="33C0E1CC" w14:textId="77777777" w:rsidTr="00EB50D0">
        <w:trPr>
          <w:cantSplit/>
          <w:jc w:val="center"/>
        </w:trPr>
        <w:tc>
          <w:tcPr>
            <w:tcW w:w="2689" w:type="dxa"/>
          </w:tcPr>
          <w:p w14:paraId="13A68043" w14:textId="41830096" w:rsidR="00BB5C1F" w:rsidRPr="00024709" w:rsidRDefault="00BB5C1F" w:rsidP="00F5322C">
            <w:pPr>
              <w:pStyle w:val="Tabletext"/>
              <w:jc w:val="center"/>
              <w:rPr>
                <w:b/>
                <w:bCs/>
              </w:rPr>
            </w:pPr>
            <w:r w:rsidRPr="00024709">
              <w:rPr>
                <w:b/>
                <w:bCs/>
              </w:rPr>
              <w:t>31 mars 2025</w:t>
            </w:r>
          </w:p>
        </w:tc>
        <w:tc>
          <w:tcPr>
            <w:tcW w:w="6940" w:type="dxa"/>
          </w:tcPr>
          <w:p w14:paraId="759358B6" w14:textId="2A5F51A0" w:rsidR="00BB5C1F" w:rsidRPr="00024709" w:rsidRDefault="00BB5C1F" w:rsidP="00DB77B4">
            <w:pPr>
              <w:pStyle w:val="Tabletext"/>
            </w:pPr>
            <w:r w:rsidRPr="00024709">
              <w:t>La troisième version du projet de rapport du Secrétaire général, intégrant les débats de la 2ème réunion du GEI et reprenant le texte des possibles projets d'avis en annexe, sera mise en ligne</w:t>
            </w:r>
            <w:r w:rsidR="00DB77B4" w:rsidRPr="00024709">
              <w:t>.</w:t>
            </w:r>
          </w:p>
          <w:p w14:paraId="30BF3E2C" w14:textId="25CB38A6" w:rsidR="00BB5C1F" w:rsidRPr="00024709" w:rsidRDefault="00BB5C1F" w:rsidP="00DB77B4">
            <w:pPr>
              <w:pStyle w:val="Tabletext"/>
            </w:pPr>
            <w:r w:rsidRPr="00024709">
              <w:t>Cette version du projet de rapport sera également mise en ligne aux fins de consultations ouvertes publiques</w:t>
            </w:r>
            <w:r w:rsidR="00DB77B4" w:rsidRPr="00024709">
              <w:t>.</w:t>
            </w:r>
          </w:p>
        </w:tc>
      </w:tr>
      <w:tr w:rsidR="00BB5C1F" w:rsidRPr="00024709" w14:paraId="13BD307A" w14:textId="77777777" w:rsidTr="00EB50D0">
        <w:trPr>
          <w:cantSplit/>
          <w:jc w:val="center"/>
        </w:trPr>
        <w:tc>
          <w:tcPr>
            <w:tcW w:w="2689" w:type="dxa"/>
          </w:tcPr>
          <w:p w14:paraId="09A3115A" w14:textId="24A3F0CB" w:rsidR="00BB5C1F" w:rsidRPr="00024709" w:rsidRDefault="00BB5C1F" w:rsidP="00F5322C">
            <w:pPr>
              <w:pStyle w:val="Tabletext"/>
              <w:jc w:val="center"/>
              <w:rPr>
                <w:b/>
                <w:bCs/>
              </w:rPr>
            </w:pPr>
            <w:r w:rsidRPr="00024709">
              <w:rPr>
                <w:b/>
                <w:bCs/>
              </w:rPr>
              <w:t>16 juin 2025</w:t>
            </w:r>
          </w:p>
        </w:tc>
        <w:tc>
          <w:tcPr>
            <w:tcW w:w="6940" w:type="dxa"/>
          </w:tcPr>
          <w:p w14:paraId="4FDD4CB0" w14:textId="004903C3" w:rsidR="00BB5C1F" w:rsidRPr="00024709" w:rsidRDefault="00BB5C1F" w:rsidP="00DB77B4">
            <w:pPr>
              <w:pStyle w:val="Tabletext"/>
            </w:pPr>
            <w:r w:rsidRPr="00024709">
              <w:t>Date limite de réception des observations sur la troisième version du projet, incluant les possibles projets d'avis</w:t>
            </w:r>
            <w:r w:rsidR="00DB77B4" w:rsidRPr="00024709">
              <w:t>.</w:t>
            </w:r>
          </w:p>
          <w:p w14:paraId="77D3CF1B" w14:textId="0C21FFF3" w:rsidR="00BB5C1F" w:rsidRPr="00024709" w:rsidRDefault="00BB5C1F" w:rsidP="00DB77B4">
            <w:pPr>
              <w:pStyle w:val="Tabletext"/>
            </w:pPr>
            <w:r w:rsidRPr="00024709">
              <w:t>Date limite de réception des observations issues de la consultation ouverte publique</w:t>
            </w:r>
            <w:r w:rsidR="00DB77B4" w:rsidRPr="00024709">
              <w:t>.</w:t>
            </w:r>
          </w:p>
        </w:tc>
      </w:tr>
      <w:tr w:rsidR="00BB5C1F" w:rsidRPr="00024709" w14:paraId="14047137" w14:textId="77777777" w:rsidTr="00EB50D0">
        <w:trPr>
          <w:cantSplit/>
          <w:jc w:val="center"/>
        </w:trPr>
        <w:tc>
          <w:tcPr>
            <w:tcW w:w="2689" w:type="dxa"/>
          </w:tcPr>
          <w:p w14:paraId="5BF980ED" w14:textId="41862BAC" w:rsidR="00BB5C1F" w:rsidRPr="00024709" w:rsidRDefault="00BB5C1F" w:rsidP="00F5322C">
            <w:pPr>
              <w:pStyle w:val="Tabletext"/>
              <w:jc w:val="center"/>
              <w:rPr>
                <w:b/>
                <w:bCs/>
              </w:rPr>
            </w:pPr>
            <w:r w:rsidRPr="00024709">
              <w:rPr>
                <w:b/>
                <w:bCs/>
              </w:rPr>
              <w:t>3ème réunion du GEI (septembre 2025, pendant la série de réunions des GTC)</w:t>
            </w:r>
          </w:p>
        </w:tc>
        <w:tc>
          <w:tcPr>
            <w:tcW w:w="6940" w:type="dxa"/>
          </w:tcPr>
          <w:p w14:paraId="0DD3DE51" w14:textId="6226E684" w:rsidR="00BB5C1F" w:rsidRPr="00024709" w:rsidRDefault="00BB5C1F" w:rsidP="00DB77B4">
            <w:pPr>
              <w:pStyle w:val="Tabletext"/>
            </w:pPr>
            <w:r w:rsidRPr="00024709">
              <w:t>Troisième réunion du groupe d'experts pour examiner la troisième</w:t>
            </w:r>
            <w:r w:rsidR="00DB77B4" w:rsidRPr="00024709">
              <w:t> </w:t>
            </w:r>
            <w:r w:rsidRPr="00024709">
              <w:t>version du projet de rapport du Secrétaire général ainsi que les projets d'avis et les observations reçues, y compris celles résultant des consultations ouvertes publiques</w:t>
            </w:r>
            <w:r w:rsidR="00DB77B4" w:rsidRPr="00024709">
              <w:t>.</w:t>
            </w:r>
          </w:p>
        </w:tc>
      </w:tr>
      <w:tr w:rsidR="00BB5C1F" w:rsidRPr="00024709" w14:paraId="7FBC447A" w14:textId="77777777" w:rsidTr="00EB50D0">
        <w:trPr>
          <w:cantSplit/>
          <w:jc w:val="center"/>
        </w:trPr>
        <w:tc>
          <w:tcPr>
            <w:tcW w:w="2689" w:type="dxa"/>
          </w:tcPr>
          <w:p w14:paraId="09780FC5" w14:textId="4893895A" w:rsidR="00BB5C1F" w:rsidRPr="00024709" w:rsidRDefault="00BB5C1F" w:rsidP="00F5322C">
            <w:pPr>
              <w:pStyle w:val="Tabletext"/>
              <w:jc w:val="center"/>
              <w:rPr>
                <w:b/>
                <w:bCs/>
              </w:rPr>
            </w:pPr>
            <w:r w:rsidRPr="00024709">
              <w:rPr>
                <w:b/>
                <w:bCs/>
              </w:rPr>
              <w:t>3 novembre 2025</w:t>
            </w:r>
          </w:p>
        </w:tc>
        <w:tc>
          <w:tcPr>
            <w:tcW w:w="6940" w:type="dxa"/>
          </w:tcPr>
          <w:p w14:paraId="5E01A24D" w14:textId="250A65C5" w:rsidR="00BB5C1F" w:rsidRPr="00024709" w:rsidRDefault="00BB5C1F" w:rsidP="00DB77B4">
            <w:pPr>
              <w:pStyle w:val="Tabletext"/>
            </w:pPr>
            <w:r w:rsidRPr="00024709">
              <w:t>La quatrième version du projet de rapport du Secrétaire général, reprenant les débats de la 3ème réunion du GEI et intégrant les projets d'avis en annexe, sera mise en ligne</w:t>
            </w:r>
            <w:r w:rsidR="00DB77B4" w:rsidRPr="00024709">
              <w:t>.</w:t>
            </w:r>
          </w:p>
        </w:tc>
      </w:tr>
      <w:tr w:rsidR="00BB5C1F" w:rsidRPr="00024709" w14:paraId="3D1FB2A8" w14:textId="77777777" w:rsidTr="00EB50D0">
        <w:trPr>
          <w:cantSplit/>
          <w:jc w:val="center"/>
        </w:trPr>
        <w:tc>
          <w:tcPr>
            <w:tcW w:w="2689" w:type="dxa"/>
          </w:tcPr>
          <w:p w14:paraId="749BFAB9" w14:textId="540AF48B" w:rsidR="00BB5C1F" w:rsidRPr="00024709" w:rsidRDefault="00BB5C1F" w:rsidP="00F5322C">
            <w:pPr>
              <w:pStyle w:val="Tabletext"/>
              <w:jc w:val="center"/>
              <w:rPr>
                <w:b/>
                <w:bCs/>
              </w:rPr>
            </w:pPr>
            <w:r w:rsidRPr="00024709">
              <w:rPr>
                <w:b/>
                <w:bCs/>
              </w:rPr>
              <w:lastRenderedPageBreak/>
              <w:t>19 décembre 2025</w:t>
            </w:r>
          </w:p>
        </w:tc>
        <w:tc>
          <w:tcPr>
            <w:tcW w:w="6940" w:type="dxa"/>
          </w:tcPr>
          <w:p w14:paraId="1EEE7588" w14:textId="1AEF0641" w:rsidR="00BB5C1F" w:rsidRPr="00024709" w:rsidRDefault="00BB5C1F" w:rsidP="00DB77B4">
            <w:pPr>
              <w:pStyle w:val="Tabletext"/>
            </w:pPr>
            <w:r w:rsidRPr="00024709">
              <w:t>Date limite de réception des observations sur la quatrième version du projet de rapport, comprenant le texte des projets d'avis</w:t>
            </w:r>
            <w:r w:rsidR="00DB77B4" w:rsidRPr="00024709">
              <w:t>.</w:t>
            </w:r>
          </w:p>
        </w:tc>
      </w:tr>
      <w:tr w:rsidR="00BB5C1F" w:rsidRPr="00024709" w14:paraId="48A206E0" w14:textId="77777777" w:rsidTr="00EB50D0">
        <w:trPr>
          <w:cantSplit/>
          <w:jc w:val="center"/>
        </w:trPr>
        <w:tc>
          <w:tcPr>
            <w:tcW w:w="2689" w:type="dxa"/>
          </w:tcPr>
          <w:p w14:paraId="04159F1E" w14:textId="4354631F" w:rsidR="00BB5C1F" w:rsidRPr="00024709" w:rsidRDefault="00BB5C1F" w:rsidP="00F5322C">
            <w:pPr>
              <w:pStyle w:val="Tabletext"/>
              <w:jc w:val="center"/>
              <w:rPr>
                <w:b/>
                <w:bCs/>
              </w:rPr>
            </w:pPr>
            <w:r w:rsidRPr="00024709">
              <w:rPr>
                <w:b/>
                <w:bCs/>
              </w:rPr>
              <w:t>4ème réunion virtuelle du GEI (février 2026, pendant la série de réunions des GTC)</w:t>
            </w:r>
          </w:p>
        </w:tc>
        <w:tc>
          <w:tcPr>
            <w:tcW w:w="6940" w:type="dxa"/>
          </w:tcPr>
          <w:p w14:paraId="4C85EB55" w14:textId="5ECFB8FA" w:rsidR="00BB5C1F" w:rsidRPr="00024709" w:rsidRDefault="00BB5C1F" w:rsidP="00DB77B4">
            <w:pPr>
              <w:pStyle w:val="Tabletext"/>
            </w:pPr>
            <w:r w:rsidRPr="00024709">
              <w:t>Quatrième réunion du groupe d'experts pour achever le projet de rapport du Secrétaire général, comprenant la version définitive des projets d'avis, qui sera soumis au septième FMPT</w:t>
            </w:r>
            <w:r w:rsidR="00DB77B4" w:rsidRPr="00024709">
              <w:t>.</w:t>
            </w:r>
          </w:p>
        </w:tc>
      </w:tr>
      <w:tr w:rsidR="00BB5C1F" w:rsidRPr="00024709" w14:paraId="633A86A0" w14:textId="77777777" w:rsidTr="00EB50D0">
        <w:trPr>
          <w:cantSplit/>
          <w:jc w:val="center"/>
        </w:trPr>
        <w:tc>
          <w:tcPr>
            <w:tcW w:w="2689" w:type="dxa"/>
          </w:tcPr>
          <w:p w14:paraId="0AEEA7E7" w14:textId="44D1E1AA" w:rsidR="00BB5C1F" w:rsidRPr="00024709" w:rsidRDefault="00BB5C1F" w:rsidP="00F5322C">
            <w:pPr>
              <w:pStyle w:val="Tabletext"/>
              <w:jc w:val="center"/>
              <w:rPr>
                <w:b/>
                <w:bCs/>
              </w:rPr>
            </w:pPr>
            <w:r w:rsidRPr="00024709">
              <w:rPr>
                <w:b/>
                <w:bCs/>
              </w:rPr>
              <w:t>13 avril 2026</w:t>
            </w:r>
          </w:p>
        </w:tc>
        <w:tc>
          <w:tcPr>
            <w:tcW w:w="6940" w:type="dxa"/>
          </w:tcPr>
          <w:p w14:paraId="00AC0B4F" w14:textId="61F82A58" w:rsidR="00BB5C1F" w:rsidRPr="00024709" w:rsidRDefault="00BB5C1F" w:rsidP="00DB77B4">
            <w:pPr>
              <w:pStyle w:val="Tabletext"/>
            </w:pPr>
            <w:r w:rsidRPr="00024709">
              <w:t>Le rapport final du Secrétaire général au FMPT sera mis en ligne, avec les projets d'avis</w:t>
            </w:r>
            <w:r w:rsidR="00DB77B4" w:rsidRPr="00024709">
              <w:t>.</w:t>
            </w:r>
          </w:p>
        </w:tc>
      </w:tr>
      <w:tr w:rsidR="00BB5C1F" w:rsidRPr="00024709" w14:paraId="3F2936CC" w14:textId="77777777" w:rsidTr="00EB50D0">
        <w:trPr>
          <w:cantSplit/>
          <w:jc w:val="center"/>
        </w:trPr>
        <w:tc>
          <w:tcPr>
            <w:tcW w:w="2689" w:type="dxa"/>
          </w:tcPr>
          <w:p w14:paraId="574B996B" w14:textId="42CB153E" w:rsidR="00BB5C1F" w:rsidRPr="00024709" w:rsidRDefault="00BB5C1F" w:rsidP="00F5322C">
            <w:pPr>
              <w:pStyle w:val="Tabletext"/>
              <w:jc w:val="center"/>
              <w:rPr>
                <w:b/>
                <w:bCs/>
              </w:rPr>
            </w:pPr>
            <w:r w:rsidRPr="00024709">
              <w:rPr>
                <w:b/>
                <w:bCs/>
              </w:rPr>
              <w:t>Premier semestre de 2026</w:t>
            </w:r>
          </w:p>
        </w:tc>
        <w:tc>
          <w:tcPr>
            <w:tcW w:w="6940" w:type="dxa"/>
          </w:tcPr>
          <w:p w14:paraId="0A497564" w14:textId="087D5A1F" w:rsidR="00BB5C1F" w:rsidRPr="00024709" w:rsidRDefault="00BB5C1F" w:rsidP="00DB77B4">
            <w:pPr>
              <w:pStyle w:val="Tabletext"/>
            </w:pPr>
            <w:r w:rsidRPr="00024709">
              <w:t>Septième Forum mondial des politiques de télécommunication/technologies de l'information et de la communication</w:t>
            </w:r>
            <w:r w:rsidR="00DB77B4" w:rsidRPr="00024709">
              <w:t>.</w:t>
            </w:r>
          </w:p>
        </w:tc>
      </w:tr>
    </w:tbl>
    <w:p w14:paraId="2B28162A" w14:textId="77777777" w:rsidR="00BB5C1F" w:rsidRPr="00024709" w:rsidRDefault="00BB5C1F" w:rsidP="00DB77B4">
      <w:pPr>
        <w:spacing w:before="360"/>
        <w:jc w:val="center"/>
      </w:pPr>
      <w:r w:rsidRPr="00024709">
        <w:t>______________</w:t>
      </w:r>
    </w:p>
    <w:sectPr w:rsidR="00BB5C1F" w:rsidRPr="00024709" w:rsidSect="00D72F49">
      <w:headerReference w:type="even" r:id="rId6"/>
      <w:footerReference w:type="even" r:id="rId7"/>
      <w:footerReference w:type="default" r:id="rId8"/>
      <w:headerReference w:type="first" r:id="rId9"/>
      <w:footerReference w:type="first" r:id="rId10"/>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9419E" w14:textId="77777777" w:rsidR="006F6622" w:rsidRDefault="006F6622">
      <w:r>
        <w:separator/>
      </w:r>
    </w:p>
  </w:endnote>
  <w:endnote w:type="continuationSeparator" w:id="0">
    <w:p w14:paraId="54D21459" w14:textId="77777777" w:rsidR="006F6622" w:rsidRDefault="006F6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0A98" w14:textId="57ED0D8D" w:rsidR="00732045" w:rsidRPr="00291F71" w:rsidRDefault="00BB5C1F">
    <w:pPr>
      <w:pStyle w:val="Footer"/>
      <w:rPr>
        <w:lang w:val="en-US"/>
      </w:rPr>
    </w:pPr>
    <w:r>
      <w:fldChar w:fldCharType="begin"/>
    </w:r>
    <w:r w:rsidRPr="00291F71">
      <w:rPr>
        <w:lang w:val="en-US"/>
      </w:rPr>
      <w:instrText xml:space="preserve"> FILENAME \p \* MERGEFORMAT </w:instrText>
    </w:r>
    <w:r>
      <w:fldChar w:fldCharType="separate"/>
    </w:r>
    <w:r w:rsidR="00291F71" w:rsidRPr="00291F71">
      <w:rPr>
        <w:lang w:val="en-US"/>
      </w:rPr>
      <w:t>P:\FRA\gDoc\SG\C24\24-01010F.docx</w:t>
    </w:r>
    <w:r>
      <w:fldChar w:fldCharType="end"/>
    </w:r>
    <w:r w:rsidR="00732045" w:rsidRPr="00291F71">
      <w:rPr>
        <w:lang w:val="en-US"/>
      </w:rPr>
      <w:tab/>
    </w:r>
    <w:r w:rsidR="002F1B76">
      <w:fldChar w:fldCharType="begin"/>
    </w:r>
    <w:r w:rsidR="00732045">
      <w:instrText xml:space="preserve"> savedate \@ dd.MM.yy </w:instrText>
    </w:r>
    <w:r w:rsidR="002F1B76">
      <w:fldChar w:fldCharType="separate"/>
    </w:r>
    <w:r w:rsidR="00621BBE">
      <w:t>19.06.24</w:t>
    </w:r>
    <w:r w:rsidR="002F1B76">
      <w:fldChar w:fldCharType="end"/>
    </w:r>
    <w:r w:rsidR="00732045" w:rsidRPr="00291F71">
      <w:rPr>
        <w:lang w:val="en-US"/>
      </w:rPr>
      <w:tab/>
    </w:r>
    <w:r w:rsidR="002F1B76">
      <w:fldChar w:fldCharType="begin"/>
    </w:r>
    <w:r w:rsidR="00732045">
      <w:instrText xml:space="preserve"> printdate \@ dd.MM.yy </w:instrText>
    </w:r>
    <w:r w:rsidR="002F1B76">
      <w:fldChar w:fldCharType="separate"/>
    </w:r>
    <w:r w:rsidR="00291F71">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70F1AC13" w:rsidR="00A51849" w:rsidRDefault="00A51849" w:rsidP="00A51849">
          <w:pPr>
            <w:pStyle w:val="Header"/>
            <w:jc w:val="left"/>
            <w:rPr>
              <w:noProof/>
            </w:rPr>
          </w:pPr>
        </w:p>
      </w:tc>
      <w:tc>
        <w:tcPr>
          <w:tcW w:w="8261" w:type="dxa"/>
        </w:tcPr>
        <w:p w14:paraId="0DB0A3C6" w14:textId="68647537" w:rsidR="00A51849" w:rsidRPr="00E06FD5" w:rsidRDefault="00A51849" w:rsidP="00BB5170">
          <w:pPr>
            <w:pStyle w:val="Header"/>
            <w:tabs>
              <w:tab w:val="left" w:pos="6873"/>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E83569">
            <w:rPr>
              <w:bCs/>
            </w:rPr>
            <w:t>136</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2530C040"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7C06D8"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0A7F409D" w:rsidR="00A51849" w:rsidRPr="00E06FD5" w:rsidRDefault="00A51849" w:rsidP="00BB5170">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E83569">
            <w:rPr>
              <w:bCs/>
            </w:rPr>
            <w:t>136</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2A0B4AAA"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87344" w14:textId="77777777" w:rsidR="006F6622" w:rsidRDefault="006F6622">
      <w:r>
        <w:t>____________________</w:t>
      </w:r>
    </w:p>
  </w:footnote>
  <w:footnote w:type="continuationSeparator" w:id="0">
    <w:p w14:paraId="66E77EAE" w14:textId="77777777" w:rsidR="006F6622" w:rsidRDefault="006F6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24709"/>
    <w:rsid w:val="00071AEB"/>
    <w:rsid w:val="00076A2C"/>
    <w:rsid w:val="000C3F64"/>
    <w:rsid w:val="000D0D0A"/>
    <w:rsid w:val="00103163"/>
    <w:rsid w:val="00106B19"/>
    <w:rsid w:val="001133EF"/>
    <w:rsid w:val="00115D93"/>
    <w:rsid w:val="001247A8"/>
    <w:rsid w:val="001378C0"/>
    <w:rsid w:val="0018694A"/>
    <w:rsid w:val="001A3287"/>
    <w:rsid w:val="001A6508"/>
    <w:rsid w:val="001D4C31"/>
    <w:rsid w:val="001E4D21"/>
    <w:rsid w:val="00207CD1"/>
    <w:rsid w:val="00226657"/>
    <w:rsid w:val="002477A2"/>
    <w:rsid w:val="00263A51"/>
    <w:rsid w:val="00267E02"/>
    <w:rsid w:val="00291F71"/>
    <w:rsid w:val="002A5D44"/>
    <w:rsid w:val="002E0BC4"/>
    <w:rsid w:val="002F1B76"/>
    <w:rsid w:val="0033568E"/>
    <w:rsid w:val="00355FF5"/>
    <w:rsid w:val="00361350"/>
    <w:rsid w:val="003C3FAE"/>
    <w:rsid w:val="004038CB"/>
    <w:rsid w:val="0040546F"/>
    <w:rsid w:val="0042404A"/>
    <w:rsid w:val="0044618F"/>
    <w:rsid w:val="0046769A"/>
    <w:rsid w:val="00475FB3"/>
    <w:rsid w:val="004C37A9"/>
    <w:rsid w:val="004D1D50"/>
    <w:rsid w:val="004F259E"/>
    <w:rsid w:val="00511F1D"/>
    <w:rsid w:val="00520F36"/>
    <w:rsid w:val="00533E87"/>
    <w:rsid w:val="00534E13"/>
    <w:rsid w:val="00540615"/>
    <w:rsid w:val="00540A6D"/>
    <w:rsid w:val="00566679"/>
    <w:rsid w:val="00571EEA"/>
    <w:rsid w:val="00575417"/>
    <w:rsid w:val="005768E1"/>
    <w:rsid w:val="005B1938"/>
    <w:rsid w:val="005C3890"/>
    <w:rsid w:val="005F7BFE"/>
    <w:rsid w:val="00600017"/>
    <w:rsid w:val="00621BBE"/>
    <w:rsid w:val="006235CA"/>
    <w:rsid w:val="006643AB"/>
    <w:rsid w:val="006A11AE"/>
    <w:rsid w:val="006F0A53"/>
    <w:rsid w:val="006F6622"/>
    <w:rsid w:val="007210CD"/>
    <w:rsid w:val="00732045"/>
    <w:rsid w:val="0073275D"/>
    <w:rsid w:val="007369DB"/>
    <w:rsid w:val="0075286D"/>
    <w:rsid w:val="007956C2"/>
    <w:rsid w:val="007A0E87"/>
    <w:rsid w:val="007A187E"/>
    <w:rsid w:val="007C06D8"/>
    <w:rsid w:val="007C72C2"/>
    <w:rsid w:val="007D4436"/>
    <w:rsid w:val="007F257A"/>
    <w:rsid w:val="007F3168"/>
    <w:rsid w:val="007F3665"/>
    <w:rsid w:val="00800037"/>
    <w:rsid w:val="008035B7"/>
    <w:rsid w:val="0082299A"/>
    <w:rsid w:val="0083391C"/>
    <w:rsid w:val="00861D73"/>
    <w:rsid w:val="00897553"/>
    <w:rsid w:val="008A4E87"/>
    <w:rsid w:val="008D76E6"/>
    <w:rsid w:val="0092392D"/>
    <w:rsid w:val="0093234A"/>
    <w:rsid w:val="00956A78"/>
    <w:rsid w:val="0097363B"/>
    <w:rsid w:val="00973F53"/>
    <w:rsid w:val="00981B60"/>
    <w:rsid w:val="009A6BAA"/>
    <w:rsid w:val="009C307F"/>
    <w:rsid w:val="009C353C"/>
    <w:rsid w:val="009C5361"/>
    <w:rsid w:val="00A2113E"/>
    <w:rsid w:val="00A23A51"/>
    <w:rsid w:val="00A24607"/>
    <w:rsid w:val="00A25CD3"/>
    <w:rsid w:val="00A25F93"/>
    <w:rsid w:val="00A51849"/>
    <w:rsid w:val="00A709FE"/>
    <w:rsid w:val="00A73C60"/>
    <w:rsid w:val="00A82767"/>
    <w:rsid w:val="00A93FA3"/>
    <w:rsid w:val="00AA332F"/>
    <w:rsid w:val="00AA7BBB"/>
    <w:rsid w:val="00AB64A8"/>
    <w:rsid w:val="00AC0266"/>
    <w:rsid w:val="00AD24EC"/>
    <w:rsid w:val="00B309F9"/>
    <w:rsid w:val="00B32B60"/>
    <w:rsid w:val="00B61619"/>
    <w:rsid w:val="00BB4545"/>
    <w:rsid w:val="00BB5170"/>
    <w:rsid w:val="00BB5C1F"/>
    <w:rsid w:val="00BD5873"/>
    <w:rsid w:val="00BF4B60"/>
    <w:rsid w:val="00C04BE3"/>
    <w:rsid w:val="00C25D29"/>
    <w:rsid w:val="00C27A7C"/>
    <w:rsid w:val="00C42437"/>
    <w:rsid w:val="00CA08ED"/>
    <w:rsid w:val="00CD4CBF"/>
    <w:rsid w:val="00CF183B"/>
    <w:rsid w:val="00D375CD"/>
    <w:rsid w:val="00D553A2"/>
    <w:rsid w:val="00D72F49"/>
    <w:rsid w:val="00D774D3"/>
    <w:rsid w:val="00D904E8"/>
    <w:rsid w:val="00DA08C3"/>
    <w:rsid w:val="00DB5A3E"/>
    <w:rsid w:val="00DB77B4"/>
    <w:rsid w:val="00DC22AA"/>
    <w:rsid w:val="00DF74DD"/>
    <w:rsid w:val="00E25AD0"/>
    <w:rsid w:val="00E4428F"/>
    <w:rsid w:val="00E65EC9"/>
    <w:rsid w:val="00E83569"/>
    <w:rsid w:val="00E93668"/>
    <w:rsid w:val="00E95647"/>
    <w:rsid w:val="00EB50D0"/>
    <w:rsid w:val="00EB6350"/>
    <w:rsid w:val="00F15B57"/>
    <w:rsid w:val="00F35EF4"/>
    <w:rsid w:val="00F37FE5"/>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link w:val="AnnexNoChar"/>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link w:val="AnnextitleChar"/>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customStyle="1" w:styleId="NormalaftertitleChar">
    <w:name w:val="Normal after title Char"/>
    <w:basedOn w:val="DefaultParagraphFont"/>
    <w:link w:val="Normalaftertitle"/>
    <w:rsid w:val="00BB5C1F"/>
    <w:rPr>
      <w:rFonts w:ascii="Calibri" w:hAnsi="Calibri"/>
      <w:sz w:val="24"/>
      <w:lang w:val="fr-FR" w:eastAsia="en-US"/>
    </w:rPr>
  </w:style>
  <w:style w:type="character" w:customStyle="1" w:styleId="CallChar">
    <w:name w:val="Call Char"/>
    <w:basedOn w:val="DefaultParagraphFont"/>
    <w:link w:val="Call"/>
    <w:rsid w:val="00BB5C1F"/>
    <w:rPr>
      <w:rFonts w:ascii="Calibri" w:hAnsi="Calibri"/>
      <w:i/>
      <w:sz w:val="24"/>
      <w:lang w:val="fr-FR" w:eastAsia="en-US"/>
    </w:rPr>
  </w:style>
  <w:style w:type="character" w:customStyle="1" w:styleId="RestitleChar">
    <w:name w:val="Res_title Char"/>
    <w:basedOn w:val="DefaultParagraphFont"/>
    <w:link w:val="Restitle"/>
    <w:locked/>
    <w:rsid w:val="00BB5C1F"/>
    <w:rPr>
      <w:rFonts w:ascii="Calibri" w:hAnsi="Calibri"/>
      <w:b/>
      <w:sz w:val="28"/>
      <w:lang w:val="fr-FR" w:eastAsia="en-US"/>
    </w:rPr>
  </w:style>
  <w:style w:type="character" w:customStyle="1" w:styleId="AnnexNoChar">
    <w:name w:val="Annex_No Char"/>
    <w:basedOn w:val="DefaultParagraphFont"/>
    <w:link w:val="AnnexNo"/>
    <w:rsid w:val="00BB5C1F"/>
    <w:rPr>
      <w:rFonts w:ascii="Calibri" w:hAnsi="Calibri"/>
      <w:caps/>
      <w:sz w:val="28"/>
      <w:lang w:val="fr-FR" w:eastAsia="en-US"/>
    </w:rPr>
  </w:style>
  <w:style w:type="character" w:customStyle="1" w:styleId="AnnextitleChar">
    <w:name w:val="Annex_title Char"/>
    <w:basedOn w:val="DefaultParagraphFont"/>
    <w:link w:val="Annextitle"/>
    <w:locked/>
    <w:rsid w:val="00BB5C1F"/>
    <w:rPr>
      <w:rFonts w:ascii="Calibri" w:hAnsi="Calibri"/>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1128</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Decision 641 - Seventh World Telecommunication/Information and Communication Technology Policy Forum</vt:lpstr>
    </vt:vector>
  </TitlesOfParts>
  <Manager/>
  <Company/>
  <LinksUpToDate>false</LinksUpToDate>
  <CharactersWithSpaces>7441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641 - WTPF26</dc:title>
  <dc:subject>2024 session of the Council</dc:subject>
  <dc:creator/>
  <cp:keywords>Council-24, C24, Council 2024</cp:keywords>
  <dc:description/>
  <cp:lastModifiedBy/>
  <cp:revision>1</cp:revision>
  <dcterms:created xsi:type="dcterms:W3CDTF">2024-06-19T14:48:00Z</dcterms:created>
  <dcterms:modified xsi:type="dcterms:W3CDTF">2024-06-28T14:14:00Z</dcterms:modified>
  <cp:category>Conference document</cp:category>
</cp:coreProperties>
</file>