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15FC7" w14:paraId="16C8DD02" w14:textId="77777777" w:rsidTr="00C538FC">
        <w:trPr>
          <w:cantSplit/>
          <w:trHeight w:val="23"/>
        </w:trPr>
        <w:tc>
          <w:tcPr>
            <w:tcW w:w="3969" w:type="dxa"/>
            <w:vMerge w:val="restart"/>
            <w:tcMar>
              <w:left w:w="0" w:type="dxa"/>
            </w:tcMar>
          </w:tcPr>
          <w:p w14:paraId="380780FF" w14:textId="69A7BF0D" w:rsidR="00FE57F6" w:rsidRPr="00B15FC7" w:rsidRDefault="00FE57F6" w:rsidP="00D43B85">
            <w:pPr>
              <w:tabs>
                <w:tab w:val="left" w:pos="851"/>
              </w:tabs>
              <w:spacing w:before="0" w:line="240" w:lineRule="atLeast"/>
              <w:rPr>
                <w:b/>
              </w:rPr>
            </w:pPr>
            <w:bookmarkStart w:id="0" w:name="_Hlk133421839"/>
          </w:p>
        </w:tc>
        <w:tc>
          <w:tcPr>
            <w:tcW w:w="5245" w:type="dxa"/>
          </w:tcPr>
          <w:p w14:paraId="12EC8577" w14:textId="69FD1F7D" w:rsidR="00FE57F6" w:rsidRPr="00B15FC7" w:rsidRDefault="00FE57F6" w:rsidP="00C538FC">
            <w:pPr>
              <w:tabs>
                <w:tab w:val="left" w:pos="851"/>
              </w:tabs>
              <w:spacing w:before="0" w:line="240" w:lineRule="atLeast"/>
              <w:jc w:val="right"/>
              <w:rPr>
                <w:b/>
              </w:rPr>
            </w:pPr>
            <w:r w:rsidRPr="00B15FC7">
              <w:rPr>
                <w:b/>
              </w:rPr>
              <w:t>Document</w:t>
            </w:r>
            <w:r w:rsidR="00F24B71" w:rsidRPr="00B15FC7">
              <w:rPr>
                <w:b/>
              </w:rPr>
              <w:t>o</w:t>
            </w:r>
            <w:r w:rsidRPr="00B15FC7">
              <w:rPr>
                <w:b/>
              </w:rPr>
              <w:t xml:space="preserve"> C2</w:t>
            </w:r>
            <w:r w:rsidR="0064481D" w:rsidRPr="00B15FC7">
              <w:rPr>
                <w:b/>
              </w:rPr>
              <w:t>4</w:t>
            </w:r>
            <w:r w:rsidRPr="00B15FC7">
              <w:rPr>
                <w:b/>
              </w:rPr>
              <w:t>/</w:t>
            </w:r>
            <w:r w:rsidR="00321C6E" w:rsidRPr="00B15FC7">
              <w:rPr>
                <w:b/>
              </w:rPr>
              <w:t>135</w:t>
            </w:r>
            <w:r w:rsidRPr="00B15FC7">
              <w:rPr>
                <w:b/>
              </w:rPr>
              <w:t>-</w:t>
            </w:r>
            <w:r w:rsidR="00F24B71" w:rsidRPr="00B15FC7">
              <w:rPr>
                <w:b/>
              </w:rPr>
              <w:t>S</w:t>
            </w:r>
          </w:p>
        </w:tc>
      </w:tr>
      <w:tr w:rsidR="00FE57F6" w:rsidRPr="00B15FC7" w14:paraId="2F7BAD0F" w14:textId="77777777" w:rsidTr="00C538FC">
        <w:trPr>
          <w:cantSplit/>
        </w:trPr>
        <w:tc>
          <w:tcPr>
            <w:tcW w:w="3969" w:type="dxa"/>
            <w:vMerge/>
          </w:tcPr>
          <w:p w14:paraId="32D340BD" w14:textId="77777777" w:rsidR="00FE57F6" w:rsidRPr="00B15FC7" w:rsidRDefault="00FE57F6" w:rsidP="00C538FC">
            <w:pPr>
              <w:tabs>
                <w:tab w:val="left" w:pos="851"/>
              </w:tabs>
              <w:spacing w:line="240" w:lineRule="atLeast"/>
              <w:rPr>
                <w:b/>
              </w:rPr>
            </w:pPr>
          </w:p>
        </w:tc>
        <w:tc>
          <w:tcPr>
            <w:tcW w:w="5245" w:type="dxa"/>
          </w:tcPr>
          <w:p w14:paraId="6D67502D" w14:textId="13F64452" w:rsidR="00FE57F6" w:rsidRPr="00B15FC7" w:rsidRDefault="00DB7EC6" w:rsidP="00C538FC">
            <w:pPr>
              <w:tabs>
                <w:tab w:val="left" w:pos="851"/>
              </w:tabs>
              <w:spacing w:before="0"/>
              <w:jc w:val="right"/>
              <w:rPr>
                <w:b/>
              </w:rPr>
            </w:pPr>
            <w:r w:rsidRPr="00B15FC7">
              <w:rPr>
                <w:b/>
              </w:rPr>
              <w:t xml:space="preserve">14 de junio de </w:t>
            </w:r>
            <w:r w:rsidR="00FE57F6" w:rsidRPr="00B15FC7">
              <w:rPr>
                <w:b/>
              </w:rPr>
              <w:t>202</w:t>
            </w:r>
            <w:r w:rsidR="0064481D" w:rsidRPr="00B15FC7">
              <w:rPr>
                <w:b/>
              </w:rPr>
              <w:t>4</w:t>
            </w:r>
          </w:p>
        </w:tc>
      </w:tr>
      <w:tr w:rsidR="00FE57F6" w:rsidRPr="00B15FC7" w14:paraId="14ED61B8" w14:textId="77777777" w:rsidTr="00C538FC">
        <w:trPr>
          <w:cantSplit/>
          <w:trHeight w:val="23"/>
        </w:trPr>
        <w:tc>
          <w:tcPr>
            <w:tcW w:w="3969" w:type="dxa"/>
            <w:vMerge/>
          </w:tcPr>
          <w:p w14:paraId="36AAE2B4" w14:textId="77777777" w:rsidR="00FE57F6" w:rsidRPr="00B15FC7" w:rsidRDefault="00FE57F6" w:rsidP="00C538FC">
            <w:pPr>
              <w:tabs>
                <w:tab w:val="left" w:pos="851"/>
              </w:tabs>
              <w:spacing w:line="240" w:lineRule="atLeast"/>
              <w:rPr>
                <w:b/>
              </w:rPr>
            </w:pPr>
          </w:p>
        </w:tc>
        <w:tc>
          <w:tcPr>
            <w:tcW w:w="5245" w:type="dxa"/>
          </w:tcPr>
          <w:p w14:paraId="54C7ED74" w14:textId="77777777" w:rsidR="00FE57F6" w:rsidRPr="00B15FC7" w:rsidRDefault="00F24B71" w:rsidP="00C538FC">
            <w:pPr>
              <w:tabs>
                <w:tab w:val="left" w:pos="851"/>
              </w:tabs>
              <w:spacing w:before="0" w:line="240" w:lineRule="atLeast"/>
              <w:jc w:val="right"/>
              <w:rPr>
                <w:b/>
                <w:bCs/>
              </w:rPr>
            </w:pPr>
            <w:r w:rsidRPr="00B15FC7">
              <w:rPr>
                <w:rFonts w:cstheme="minorHAnsi"/>
                <w:b/>
                <w:bCs/>
              </w:rPr>
              <w:t>Original: inglés</w:t>
            </w:r>
          </w:p>
        </w:tc>
      </w:tr>
      <w:tr w:rsidR="00FE57F6" w:rsidRPr="00B15FC7" w14:paraId="28C23F0D" w14:textId="77777777" w:rsidTr="00C538FC">
        <w:trPr>
          <w:cantSplit/>
          <w:trHeight w:val="23"/>
        </w:trPr>
        <w:tc>
          <w:tcPr>
            <w:tcW w:w="3969" w:type="dxa"/>
          </w:tcPr>
          <w:p w14:paraId="71CA9CDE" w14:textId="77777777" w:rsidR="00FE57F6" w:rsidRPr="00B15FC7" w:rsidRDefault="00FE57F6" w:rsidP="00C538FC">
            <w:pPr>
              <w:tabs>
                <w:tab w:val="left" w:pos="851"/>
              </w:tabs>
              <w:spacing w:line="240" w:lineRule="atLeast"/>
              <w:rPr>
                <w:b/>
              </w:rPr>
            </w:pPr>
          </w:p>
        </w:tc>
        <w:tc>
          <w:tcPr>
            <w:tcW w:w="5245" w:type="dxa"/>
          </w:tcPr>
          <w:p w14:paraId="04F0E65D" w14:textId="77777777" w:rsidR="00FE57F6" w:rsidRPr="00B15FC7" w:rsidRDefault="00FE57F6" w:rsidP="00C538FC">
            <w:pPr>
              <w:tabs>
                <w:tab w:val="left" w:pos="851"/>
              </w:tabs>
              <w:spacing w:before="0" w:line="240" w:lineRule="atLeast"/>
              <w:jc w:val="right"/>
              <w:rPr>
                <w:b/>
              </w:rPr>
            </w:pPr>
          </w:p>
        </w:tc>
      </w:tr>
    </w:tbl>
    <w:bookmarkEnd w:id="0"/>
    <w:p w14:paraId="052ADE7B" w14:textId="44D52C7C" w:rsidR="005B7E53" w:rsidRPr="00B15FC7" w:rsidRDefault="005B7E53" w:rsidP="005B7E53">
      <w:pPr>
        <w:pStyle w:val="ResNo"/>
      </w:pPr>
      <w:r w:rsidRPr="00B15FC7">
        <w:t xml:space="preserve">ACUERDO 482 (C01, </w:t>
      </w:r>
      <w:r w:rsidRPr="00B15FC7">
        <w:rPr>
          <w:caps w:val="0"/>
        </w:rPr>
        <w:t xml:space="preserve">modificado por última vez </w:t>
      </w:r>
      <w:r w:rsidRPr="00B15FC7">
        <w:t>C24)</w:t>
      </w:r>
    </w:p>
    <w:p w14:paraId="7C72D764" w14:textId="5F53A8F3" w:rsidR="00CE2F0F" w:rsidRPr="00B15FC7" w:rsidRDefault="00CE2F0F" w:rsidP="00CE2F0F">
      <w:pPr>
        <w:pStyle w:val="Resref"/>
      </w:pPr>
      <w:r w:rsidRPr="00B15FC7">
        <w:t>(adoptad</w:t>
      </w:r>
      <w:r w:rsidR="005B7E53" w:rsidRPr="00B15FC7">
        <w:t>o</w:t>
      </w:r>
      <w:r w:rsidRPr="00B15FC7">
        <w:t xml:space="preserve"> en la décima Sesión Plenaria)</w:t>
      </w:r>
    </w:p>
    <w:p w14:paraId="11FF06FC" w14:textId="5F6E4A53" w:rsidR="005B7E53" w:rsidRPr="00B15FC7" w:rsidRDefault="005B7E53" w:rsidP="004759A3">
      <w:pPr>
        <w:pStyle w:val="Restitle"/>
      </w:pPr>
      <w:bookmarkStart w:id="1" w:name="_Toc21334405"/>
      <w:bookmarkStart w:id="2" w:name="_Toc21336797"/>
      <w:bookmarkStart w:id="3" w:name="_Toc58570091"/>
      <w:bookmarkStart w:id="4" w:name="_Toc119584348"/>
      <w:bookmarkStart w:id="5" w:name="_Toc119585348"/>
      <w:bookmarkStart w:id="6" w:name="_Toc152058605"/>
      <w:bookmarkStart w:id="7" w:name="_Toc152058902"/>
      <w:r w:rsidRPr="00B15FC7">
        <w:t>Aplicación de la recuperación de costes a la tramitación de</w:t>
      </w:r>
      <w:r w:rsidR="00321C6E" w:rsidRPr="00B15FC7">
        <w:t> </w:t>
      </w:r>
      <w:r w:rsidRPr="00B15FC7">
        <w:t>las</w:t>
      </w:r>
      <w:r w:rsidR="00321C6E" w:rsidRPr="00B15FC7">
        <w:t> </w:t>
      </w:r>
      <w:r w:rsidRPr="00B15FC7">
        <w:t>notificaciones</w:t>
      </w:r>
      <w:r w:rsidR="00321C6E" w:rsidRPr="00B15FC7">
        <w:t> </w:t>
      </w:r>
      <w:r w:rsidRPr="00B15FC7">
        <w:t>de redes de satélite</w:t>
      </w:r>
      <w:bookmarkEnd w:id="1"/>
      <w:bookmarkEnd w:id="2"/>
      <w:bookmarkEnd w:id="3"/>
      <w:bookmarkEnd w:id="4"/>
      <w:bookmarkEnd w:id="5"/>
      <w:bookmarkEnd w:id="6"/>
      <w:bookmarkEnd w:id="7"/>
    </w:p>
    <w:p w14:paraId="7FBBB50E" w14:textId="5A501A9E" w:rsidR="005B7E53" w:rsidRPr="00B15FC7" w:rsidRDefault="005B7E53" w:rsidP="005B7E53">
      <w:pPr>
        <w:pStyle w:val="Normalaftertitle"/>
      </w:pPr>
      <w:r w:rsidRPr="00B15FC7">
        <w:t>El Consejo</w:t>
      </w:r>
      <w:r w:rsidR="00321C6E" w:rsidRPr="00B15FC7">
        <w:t xml:space="preserve"> de la UIT</w:t>
      </w:r>
      <w:r w:rsidRPr="00B15FC7">
        <w:t>,</w:t>
      </w:r>
    </w:p>
    <w:p w14:paraId="5F1DCD2D" w14:textId="77777777" w:rsidR="005B7E53" w:rsidRPr="00B15FC7" w:rsidRDefault="005B7E53" w:rsidP="005B7E53">
      <w:pPr>
        <w:pStyle w:val="Call"/>
      </w:pPr>
      <w:r w:rsidRPr="00B15FC7">
        <w:t>considerando</w:t>
      </w:r>
    </w:p>
    <w:p w14:paraId="1871A204" w14:textId="77777777" w:rsidR="005B7E53" w:rsidRPr="00B15FC7" w:rsidRDefault="005B7E53" w:rsidP="005B7E53">
      <w:r w:rsidRPr="00B15FC7">
        <w:rPr>
          <w:i/>
          <w:iCs/>
        </w:rPr>
        <w:t>a)</w:t>
      </w:r>
      <w:r w:rsidRPr="00B15FC7">
        <w:tab/>
        <w:t>la Resolución 88 (Rev. Marrakech, 2002) de la Conferencia de Plenipotenciarios, sobre la aplicación de la recuperación de costes a las notificaciones de redes de satélites;</w:t>
      </w:r>
    </w:p>
    <w:p w14:paraId="5A61273A" w14:textId="77777777" w:rsidR="005B7E53" w:rsidRPr="00B15FC7" w:rsidRDefault="005B7E53" w:rsidP="005B7E53">
      <w:r w:rsidRPr="00B15FC7">
        <w:rPr>
          <w:i/>
          <w:iCs/>
        </w:rPr>
        <w:t>b)</w:t>
      </w:r>
      <w:r w:rsidRPr="00B15FC7">
        <w:tab/>
        <w:t>la Resolución 91 (Rev. Guadalajara, 2010) de la Conferencia de Plenipotenciarios, sobre recuperación de costes para algunos productos y servicios de la UIT;</w:t>
      </w:r>
    </w:p>
    <w:p w14:paraId="5C2AC99D" w14:textId="77777777" w:rsidR="005B7E53" w:rsidRPr="00B15FC7" w:rsidRDefault="005B7E53" w:rsidP="005B7E53">
      <w:r w:rsidRPr="00B15FC7">
        <w:rPr>
          <w:i/>
          <w:iCs/>
        </w:rPr>
        <w:t>c)</w:t>
      </w:r>
      <w:r w:rsidRPr="00B15FC7">
        <w:tab/>
        <w:t>la Resolución 1113, sobre recuperación de los costes de tramitación de las notificaciones espaciales por la Oficina de Radiocomunicaciones;</w:t>
      </w:r>
    </w:p>
    <w:p w14:paraId="70857B4D" w14:textId="77777777" w:rsidR="005B7E53" w:rsidRPr="00B15FC7" w:rsidRDefault="005B7E53" w:rsidP="005B7E53">
      <w:r w:rsidRPr="00B15FC7">
        <w:rPr>
          <w:i/>
          <w:iCs/>
        </w:rPr>
        <w:t>d)</w:t>
      </w:r>
      <w:r w:rsidRPr="00B15FC7">
        <w:tab/>
        <w:t xml:space="preserve">el Documento </w:t>
      </w:r>
      <w:hyperlink r:id="rId7" w:history="1">
        <w:r w:rsidRPr="00B15FC7">
          <w:rPr>
            <w:color w:val="0000FF"/>
            <w:u w:val="single"/>
          </w:rPr>
          <w:t>C99/68</w:t>
        </w:r>
      </w:hyperlink>
      <w:r w:rsidRPr="00B15FC7">
        <w:t xml:space="preserve"> que informa sobre las deliberaciones del Grupo de Trabajo del Consejo acerca de la aplicación de la recuperación de costes a las notificaciones de redes de satélite;</w:t>
      </w:r>
    </w:p>
    <w:p w14:paraId="4BD82F0F" w14:textId="77777777" w:rsidR="005B7E53" w:rsidRPr="00B15FC7" w:rsidRDefault="005B7E53" w:rsidP="005B7E53">
      <w:r w:rsidRPr="00B15FC7">
        <w:rPr>
          <w:i/>
          <w:iCs/>
        </w:rPr>
        <w:t>e)</w:t>
      </w:r>
      <w:r w:rsidRPr="00B15FC7">
        <w:tab/>
        <w:t xml:space="preserve">el Documento </w:t>
      </w:r>
      <w:hyperlink r:id="rId8" w:history="1">
        <w:r w:rsidRPr="00B15FC7">
          <w:rPr>
            <w:color w:val="0000FF"/>
            <w:u w:val="single"/>
          </w:rPr>
          <w:t>C99/47</w:t>
        </w:r>
      </w:hyperlink>
      <w:r w:rsidRPr="00B15FC7">
        <w:t xml:space="preserve"> sobre recuperación de costes de algunos productos y servicios de la UIT;</w:t>
      </w:r>
    </w:p>
    <w:p w14:paraId="3F92367B" w14:textId="77777777" w:rsidR="005B7E53" w:rsidRPr="00B15FC7" w:rsidRDefault="005B7E53" w:rsidP="005B7E53">
      <w:r w:rsidRPr="00B15FC7">
        <w:rPr>
          <w:i/>
          <w:iCs/>
        </w:rPr>
        <w:t>e</w:t>
      </w:r>
      <w:r w:rsidRPr="00B15FC7">
        <w:rPr>
          <w:i/>
          <w:iCs/>
          <w:sz w:val="6"/>
          <w:szCs w:val="6"/>
        </w:rPr>
        <w:t> </w:t>
      </w:r>
      <w:r w:rsidRPr="00B15FC7">
        <w:rPr>
          <w:i/>
          <w:iCs/>
        </w:rPr>
        <w:t>bis)</w:t>
      </w:r>
      <w:r w:rsidRPr="00B15FC7">
        <w:tab/>
        <w:t xml:space="preserve">el Documento </w:t>
      </w:r>
      <w:hyperlink r:id="rId9" w:history="1">
        <w:r w:rsidRPr="00B15FC7">
          <w:rPr>
            <w:color w:val="0000FF"/>
            <w:u w:val="single"/>
          </w:rPr>
          <w:t>C05/29</w:t>
        </w:r>
      </w:hyperlink>
      <w:r w:rsidRPr="00B15FC7">
        <w:t xml:space="preserve"> sobre recuperación de los costes del tratamiento de notificaciones de redes de satélites;</w:t>
      </w:r>
    </w:p>
    <w:p w14:paraId="5F22714D" w14:textId="77777777" w:rsidR="005B7E53" w:rsidRPr="00B15FC7" w:rsidRDefault="005B7E53" w:rsidP="005B7E53">
      <w:r w:rsidRPr="00B15FC7">
        <w:rPr>
          <w:i/>
          <w:iCs/>
        </w:rPr>
        <w:t>f)</w:t>
      </w:r>
      <w:r w:rsidRPr="00B15FC7">
        <w:tab/>
        <w:t>que la CMR-03 y la CMR-07 aprobaron disposiciones que remitían al Acuerdo 482 del Consejo, modificado, según las cuales se cancela una notificación de red de satélites cuando el pago no se recibe de conformidad con lo dispuesto en este Acuerdo;</w:t>
      </w:r>
    </w:p>
    <w:p w14:paraId="47617DED" w14:textId="77777777" w:rsidR="005B7E53" w:rsidRPr="00B15FC7" w:rsidRDefault="005B7E53" w:rsidP="005B7E53">
      <w:r w:rsidRPr="00B15FC7">
        <w:rPr>
          <w:i/>
          <w:iCs/>
        </w:rPr>
        <w:t>g)</w:t>
      </w:r>
      <w:r w:rsidRPr="00B15FC7">
        <w:tab/>
        <w:t xml:space="preserve">que la CMR-07 revisó considerablemente los procedimientos reglamentarios asociados con el Plan del servicio fijo por satélite contenido en el Apéndice </w:t>
      </w:r>
      <w:r w:rsidRPr="00B15FC7">
        <w:rPr>
          <w:b/>
          <w:bCs/>
        </w:rPr>
        <w:t>30B</w:t>
      </w:r>
      <w:r w:rsidRPr="00B15FC7">
        <w:t>, que entró en vigor el 17 de noviembre de 2007;</w:t>
      </w:r>
    </w:p>
    <w:p w14:paraId="0228B69B" w14:textId="77777777" w:rsidR="005B7E53" w:rsidRPr="00B15FC7" w:rsidRDefault="005B7E53" w:rsidP="005B7E53">
      <w:r w:rsidRPr="00B15FC7">
        <w:rPr>
          <w:i/>
          <w:iCs/>
        </w:rPr>
        <w:t>h)</w:t>
      </w:r>
      <w:r w:rsidRPr="00B15FC7">
        <w:tab/>
        <w:t>que la fecha de entrada en vigor del Acuerdo 482 (modificado en 2005) fue el 1 de enero de 2006,</w:t>
      </w:r>
    </w:p>
    <w:p w14:paraId="7B81301B" w14:textId="77777777" w:rsidR="005B7E53" w:rsidRPr="00B15FC7" w:rsidRDefault="005B7E53" w:rsidP="005B7E53">
      <w:pPr>
        <w:pStyle w:val="Call"/>
      </w:pPr>
      <w:r w:rsidRPr="00B15FC7">
        <w:t>reconociendo</w:t>
      </w:r>
    </w:p>
    <w:p w14:paraId="35D0D2E9" w14:textId="77777777" w:rsidR="005B7E53" w:rsidRPr="00B15FC7" w:rsidRDefault="005B7E53" w:rsidP="005B7E53">
      <w:r w:rsidRPr="00B15FC7">
        <w:t xml:space="preserve">la experiencia práctica de la Oficina de Radiocomunicaciones en la fijación de precios para las notificaciones destinados a recuperar los costes de tramitación y la metodología afín, tal </w:t>
      </w:r>
      <w:r w:rsidRPr="00B15FC7">
        <w:lastRenderedPageBreak/>
        <w:t>como se ha informado a las reuniones de 2001 a 2007 del Consejo de conformidad con el Acuerdo 482 revisado por el Consejo,</w:t>
      </w:r>
    </w:p>
    <w:p w14:paraId="20D4119D" w14:textId="77777777" w:rsidR="005B7E53" w:rsidRPr="00B15FC7" w:rsidRDefault="005B7E53" w:rsidP="005B7E53">
      <w:pPr>
        <w:pStyle w:val="Call"/>
      </w:pPr>
      <w:r w:rsidRPr="00B15FC7">
        <w:t>acuerda</w:t>
      </w:r>
    </w:p>
    <w:p w14:paraId="02B486C3" w14:textId="77777777" w:rsidR="005B7E53" w:rsidRPr="00B15FC7" w:rsidRDefault="005B7E53" w:rsidP="005B7E53">
      <w:r w:rsidRPr="00B15FC7">
        <w:t>1</w:t>
      </w:r>
      <w:r w:rsidRPr="00B15FC7">
        <w:tab/>
        <w:t xml:space="preserve">que se aplique la recuperación de costes a todas las notificaciones de redes de satélites para publicación anticipada y sus solicitudes asociadas de coordinación o acuerdo (Artículo </w:t>
      </w:r>
      <w:r w:rsidRPr="00B15FC7">
        <w:rPr>
          <w:b/>
          <w:bCs/>
        </w:rPr>
        <w:t>9</w:t>
      </w:r>
      <w:r w:rsidRPr="00B15FC7">
        <w:t xml:space="preserve"> del Reglamento de Radiocomunicaciones (RR), Artículo 7 de los Apéndices </w:t>
      </w:r>
      <w:r w:rsidRPr="00B15FC7">
        <w:rPr>
          <w:b/>
          <w:bCs/>
        </w:rPr>
        <w:t>30</w:t>
      </w:r>
      <w:r w:rsidRPr="00B15FC7">
        <w:t xml:space="preserve"> y </w:t>
      </w:r>
      <w:r w:rsidRPr="00B15FC7">
        <w:rPr>
          <w:b/>
          <w:bCs/>
        </w:rPr>
        <w:t>30A</w:t>
      </w:r>
      <w:r w:rsidRPr="00B15FC7">
        <w:t xml:space="preserve"> al RR, Resolución </w:t>
      </w:r>
      <w:r w:rsidRPr="00B15FC7">
        <w:rPr>
          <w:b/>
          <w:bCs/>
        </w:rPr>
        <w:t>539 (Rev.CMR-19)</w:t>
      </w:r>
      <w:r w:rsidRPr="00B15FC7">
        <w:t>), la utilización de bandas de guarda (Artículo 2A de los Apéndices </w:t>
      </w:r>
      <w:r w:rsidRPr="00B15FC7">
        <w:rPr>
          <w:b/>
          <w:bCs/>
        </w:rPr>
        <w:t>30</w:t>
      </w:r>
      <w:r w:rsidRPr="00B15FC7">
        <w:t xml:space="preserve"> y </w:t>
      </w:r>
      <w:r w:rsidRPr="00B15FC7">
        <w:rPr>
          <w:b/>
          <w:bCs/>
        </w:rPr>
        <w:t>30A</w:t>
      </w:r>
      <w:r w:rsidRPr="00B15FC7">
        <w:t xml:space="preserve"> al RR), las solicitudes de modificación de los Planes y Listas de servicios espaciales (Artículo 4 de los Apéndices </w:t>
      </w:r>
      <w:r w:rsidRPr="00B15FC7">
        <w:rPr>
          <w:b/>
          <w:bCs/>
        </w:rPr>
        <w:t>30</w:t>
      </w:r>
      <w:r w:rsidRPr="00B15FC7">
        <w:t xml:space="preserve"> y </w:t>
      </w:r>
      <w:r w:rsidRPr="00B15FC7">
        <w:rPr>
          <w:b/>
          <w:bCs/>
        </w:rPr>
        <w:t>30A</w:t>
      </w:r>
      <w:r w:rsidRPr="00B15FC7">
        <w:t xml:space="preserve"> al RR), las solicitudes de aplicación del Plan del servicio fijo por satélite (antiguas Secciones IB y II del Artículo 6 del Apéndice </w:t>
      </w:r>
      <w:r w:rsidRPr="00B15FC7">
        <w:rPr>
          <w:b/>
          <w:bCs/>
        </w:rPr>
        <w:t>30B</w:t>
      </w:r>
      <w:r w:rsidRPr="00B15FC7">
        <w:t xml:space="preserve">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w:t>
      </w:r>
      <w:r w:rsidRPr="00B15FC7">
        <w:rPr>
          <w:b/>
          <w:bCs/>
        </w:rPr>
        <w:t>30B</w:t>
      </w:r>
      <w:r w:rsidRPr="00B15FC7">
        <w:t xml:space="preserve"> al RR (Artículo 6 del Apéndice </w:t>
      </w:r>
      <w:r w:rsidRPr="00B15FC7">
        <w:rPr>
          <w:b/>
          <w:bCs/>
        </w:rPr>
        <w:t>30B</w:t>
      </w:r>
      <w:r w:rsidRPr="00B15FC7">
        <w:t xml:space="preserve"> al RR a partir del 17 de noviembre de 2007) únicamente si éstas han sido recibidas por la Oficina de Radiocomunicaciones a partir del 8 de noviembre de 1998 inclusive;</w:t>
      </w:r>
    </w:p>
    <w:p w14:paraId="62A28855" w14:textId="77777777" w:rsidR="005B7E53" w:rsidRPr="00B15FC7" w:rsidRDefault="005B7E53" w:rsidP="005B7E53">
      <w:r w:rsidRPr="00B15FC7">
        <w:t>1</w:t>
      </w:r>
      <w:r w:rsidRPr="00B15FC7">
        <w:rPr>
          <w:i/>
          <w:iCs/>
        </w:rPr>
        <w:t>bis</w:t>
      </w:r>
      <w:r w:rsidRPr="00B15FC7">
        <w:tab/>
        <w:t>que todas las notificaciones de redes de satélites relacionadas con la notificación para el registro de asignaciones de frecuencias en el Registro Internacional (Artículo </w:t>
      </w:r>
      <w:r w:rsidRPr="00B15FC7">
        <w:rPr>
          <w:b/>
          <w:bCs/>
        </w:rPr>
        <w:t>11</w:t>
      </w:r>
      <w:r w:rsidRPr="00B15FC7">
        <w:t xml:space="preserve"> del RR, Artículo 5 de los Apéndices </w:t>
      </w:r>
      <w:r w:rsidRPr="00B15FC7">
        <w:rPr>
          <w:b/>
          <w:bCs/>
        </w:rPr>
        <w:t>30</w:t>
      </w:r>
      <w:r w:rsidRPr="00B15FC7">
        <w:t>/</w:t>
      </w:r>
      <w:r w:rsidRPr="00B15FC7">
        <w:rPr>
          <w:b/>
          <w:bCs/>
        </w:rPr>
        <w:t>30A</w:t>
      </w:r>
      <w:r w:rsidRPr="00B15FC7">
        <w:t xml:space="preserve"> al RR y Artículo 8 del Apéndice </w:t>
      </w:r>
      <w:r w:rsidRPr="00B15FC7">
        <w:rPr>
          <w:b/>
          <w:bCs/>
        </w:rPr>
        <w:t>30B</w:t>
      </w:r>
      <w:r w:rsidRPr="00B15FC7">
        <w:t xml:space="preserve">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w:t>
      </w:r>
      <w:r w:rsidRPr="00B15FC7">
        <w:rPr>
          <w:b/>
          <w:bCs/>
        </w:rPr>
        <w:t>30B</w:t>
      </w:r>
      <w:r w:rsidRPr="00B15FC7">
        <w:t xml:space="preserve"> al RR, según proceda, recibidas el 19 de octubre de 2002 o en fecha posterior;</w:t>
      </w:r>
    </w:p>
    <w:p w14:paraId="10550624" w14:textId="77777777" w:rsidR="005B7E53" w:rsidRPr="00B15FC7" w:rsidRDefault="005B7E53" w:rsidP="005B7E53">
      <w:r w:rsidRPr="00B15FC7">
        <w:t>1</w:t>
      </w:r>
      <w:r w:rsidRPr="00B15FC7">
        <w:rPr>
          <w:i/>
          <w:iCs/>
        </w:rPr>
        <w:t>ter</w:t>
      </w:r>
      <w:r w:rsidRPr="00B15FC7">
        <w:tab/>
        <w:t>que todas las solicitudes de aplicación del Plan del servicio fijo por satélite (antiguas Secciones IA y III del Artículo 6 del Apéndice </w:t>
      </w:r>
      <w:r w:rsidRPr="00B15FC7">
        <w:rPr>
          <w:b/>
          <w:bCs/>
        </w:rPr>
        <w:t>30B</w:t>
      </w:r>
      <w:r w:rsidRPr="00B15FC7">
        <w:t xml:space="preserve"> al RR) estén sujetas a tasas de recuperación de costes únicamente si han sido recibidas por la Oficina de Radiocomunicaciones a partir del 1 de enero de 2006 inclusive;</w:t>
      </w:r>
    </w:p>
    <w:p w14:paraId="28D954B8" w14:textId="77777777" w:rsidR="005B7E53" w:rsidRPr="00B15FC7" w:rsidRDefault="005B7E53" w:rsidP="005B7E53">
      <w:r w:rsidRPr="00B15FC7">
        <w:t>1</w:t>
      </w:r>
      <w:r w:rsidRPr="00B15FC7">
        <w:rPr>
          <w:i/>
          <w:iCs/>
        </w:rPr>
        <w:t>quater</w:t>
      </w:r>
      <w:r w:rsidRPr="00B15FC7">
        <w:rPr>
          <w:i/>
          <w:iCs/>
        </w:rPr>
        <w:tab/>
      </w:r>
      <w:r w:rsidRPr="00B15FC7">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14:paraId="3493CED1" w14:textId="77777777" w:rsidR="005B7E53" w:rsidRPr="00B15FC7" w:rsidRDefault="005B7E53" w:rsidP="005B7E53">
      <w:r w:rsidRPr="00B15FC7">
        <w:t>1</w:t>
      </w:r>
      <w:r w:rsidRPr="00B15FC7">
        <w:rPr>
          <w:i/>
          <w:iCs/>
        </w:rPr>
        <w:t>quinquies</w:t>
      </w:r>
      <w:r w:rsidRPr="00B15FC7">
        <w:rPr>
          <w:i/>
          <w:iCs/>
        </w:rPr>
        <w:tab/>
      </w:r>
      <w:r w:rsidRPr="00B15FC7">
        <w:t xml:space="preserve">que todas las solicitudes presentadas de conformidad con la Resolución </w:t>
      </w:r>
      <w:r w:rsidRPr="00B15FC7">
        <w:rPr>
          <w:b/>
          <w:bCs/>
        </w:rPr>
        <w:t>121 (CMR-23)</w:t>
      </w:r>
      <w:r w:rsidRPr="00B15FC7">
        <w:t xml:space="preserve"> para utilizar las asignaciones de frecuencias recogidas en la Lista del Apéndice </w:t>
      </w:r>
      <w:r w:rsidRPr="00B15FC7">
        <w:rPr>
          <w:b/>
          <w:bCs/>
        </w:rPr>
        <w:t>30B</w:t>
      </w:r>
      <w:r w:rsidRPr="00B15FC7">
        <w:t xml:space="preserve"> y en el Registro Internacional de Frecuencias en apoyo de las operaciones de las estaciones terrenas en movimiento (ETEM del Apéndice </w:t>
      </w:r>
      <w:r w:rsidRPr="00B15FC7">
        <w:rPr>
          <w:b/>
          <w:bCs/>
        </w:rPr>
        <w:t>30B</w:t>
      </w:r>
      <w:r w:rsidRPr="00B15FC7">
        <w:t>) y recibidas por la Oficina de Radiocomunicaciones el 1 de enero de 2025 o posteriormente a dicha fecha, estarán sujetas a tasas de recuperación de costes;</w:t>
      </w:r>
    </w:p>
    <w:p w14:paraId="2571F5B4" w14:textId="77777777" w:rsidR="005B7E53" w:rsidRPr="00B15FC7" w:rsidRDefault="005B7E53" w:rsidP="005B7E53">
      <w:r w:rsidRPr="00B15FC7">
        <w:lastRenderedPageBreak/>
        <w:t>2</w:t>
      </w:r>
      <w:r w:rsidRPr="00B15FC7">
        <w:tab/>
        <w:t>que para cada notificación de red de satélites</w:t>
      </w:r>
      <w:r w:rsidRPr="00B15FC7">
        <w:rPr>
          <w:rStyle w:val="FootnoteReference"/>
        </w:rPr>
        <w:footnoteReference w:id="1"/>
      </w:r>
      <w:r w:rsidRPr="00B15FC7">
        <w:t xml:space="preserve"> comunicada a la Oficina de Radiocomunicaciones se apliquen las siguientes tasas</w:t>
      </w:r>
      <w:r w:rsidRPr="00B15FC7">
        <w:rPr>
          <w:rStyle w:val="FootnoteReference"/>
        </w:rPr>
        <w:footnoteReference w:id="2"/>
      </w:r>
      <w:r w:rsidRPr="00B15FC7">
        <w:t>:</w:t>
      </w:r>
    </w:p>
    <w:p w14:paraId="1FEBC2B3" w14:textId="77777777" w:rsidR="005B7E53" w:rsidRPr="00B15FC7" w:rsidRDefault="005B7E53" w:rsidP="005B7E53">
      <w:pPr>
        <w:pStyle w:val="enumlev1"/>
      </w:pPr>
      <w:r w:rsidRPr="00B15FC7">
        <w:t>a)</w:t>
      </w:r>
      <w:r w:rsidRPr="00B15FC7">
        <w:tab/>
        <w:t>tratándose de las notificaciones que se reciban hasta el 29 de junio de 2001 incluido, se aplicará el Acuerdo 482 (C-99); esas notificaciones se tasan una vez publicadas de conformidad con la lista de precios en vigor en la fecha de publicación;</w:t>
      </w:r>
    </w:p>
    <w:p w14:paraId="32990B5E" w14:textId="77777777" w:rsidR="005B7E53" w:rsidRPr="00B15FC7" w:rsidRDefault="005B7E53" w:rsidP="005B7E53">
      <w:pPr>
        <w:pStyle w:val="enumlev1"/>
      </w:pPr>
      <w:r w:rsidRPr="00B15FC7">
        <w:t>b)</w:t>
      </w:r>
      <w:r w:rsidRPr="00B15FC7">
        <w:tab/>
        <w: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14:paraId="3455F3C9" w14:textId="77777777" w:rsidR="005B7E53" w:rsidRPr="00B15FC7" w:rsidRDefault="005B7E53" w:rsidP="005B7E53">
      <w:pPr>
        <w:pStyle w:val="enumlev1"/>
      </w:pPr>
      <w:r w:rsidRPr="00B15FC7">
        <w:t>c)</w:t>
      </w:r>
      <w:r w:rsidRPr="00B15FC7">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14:paraId="6076294E" w14:textId="77777777" w:rsidR="005B7E53" w:rsidRPr="00B15FC7" w:rsidRDefault="005B7E53" w:rsidP="005B7E53">
      <w:pPr>
        <w:pStyle w:val="enumlev1"/>
      </w:pPr>
      <w:r w:rsidRPr="00B15FC7">
        <w:t>d)</w:t>
      </w:r>
      <w:r w:rsidRPr="00B15FC7">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14:paraId="301B7386" w14:textId="77777777" w:rsidR="005B7E53" w:rsidRPr="00B15FC7" w:rsidRDefault="005B7E53" w:rsidP="005B7E53">
      <w:pPr>
        <w:pStyle w:val="enumlev1"/>
      </w:pPr>
      <w:r w:rsidRPr="00B15FC7">
        <w:t>e)</w:t>
      </w:r>
      <w:r w:rsidRPr="00B15FC7">
        <w:tab/>
        <w:t>tratándose de las notificaciones recibidas a partir o después del 31 de diciembre de 2004 inclusive, pero antes del 1 de enero de 2006, se aplicará el Acuerdo 482 (C</w:t>
      </w:r>
      <w:r w:rsidRPr="00B15FC7">
        <w:noBreakHyphen/>
        <w:t>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14:paraId="282B9B85" w14:textId="77777777" w:rsidR="005B7E53" w:rsidRPr="00B15FC7" w:rsidRDefault="005B7E53" w:rsidP="005B7E53">
      <w:pPr>
        <w:pStyle w:val="enumlev1"/>
      </w:pPr>
      <w:r w:rsidRPr="00B15FC7">
        <w:t>f)</w:t>
      </w:r>
      <w:r w:rsidRPr="00B15FC7">
        <w:tab/>
        <w:t>tratándose de las notificaciones recibidas a partir del 1 de enero de 2006 inclusive pero antes del 1 de enero de 2009 salvo las recibidas con arreglo al Apéndice </w:t>
      </w:r>
      <w:r w:rsidRPr="00B15FC7">
        <w:rPr>
          <w:b/>
          <w:bCs/>
        </w:rPr>
        <w:t>30B</w:t>
      </w:r>
      <w:r w:rsidRPr="00B15FC7">
        <w:t xml:space="preserve"> a partir del 17 de noviembre de 2007, se aplicará el Acuerdo 482 (C-05) y el canon, calculado con arreglo a la lista de precios en vigor en el momento de la recepción, se abonará tras la recepción de la notificación;</w:t>
      </w:r>
    </w:p>
    <w:p w14:paraId="2BFA0DDE" w14:textId="77777777" w:rsidR="005B7E53" w:rsidRPr="00B15FC7" w:rsidRDefault="005B7E53" w:rsidP="005B7E53">
      <w:pPr>
        <w:pStyle w:val="enumlev1"/>
      </w:pPr>
      <w:r w:rsidRPr="00B15FC7">
        <w:t>g)</w:t>
      </w:r>
      <w:r w:rsidRPr="00B15FC7">
        <w:tab/>
        <w:t xml:space="preserve">tratándose de las notificaciones recibidas a partir del 1 de enero de 2009 inclusive, incluidas las recibidas con arreglo al Apéndice </w:t>
      </w:r>
      <w:r w:rsidRPr="00B15FC7">
        <w:rPr>
          <w:b/>
          <w:bCs/>
        </w:rPr>
        <w:t>30B</w:t>
      </w:r>
      <w:r w:rsidRPr="00B15FC7">
        <w:t xml:space="preserve"> a partir del 17 de noviembre de 2007, pero antes del 14 de julio de 2012, se aplicará el Acuerdo 482 (C-08); la tasa, calculada de conformidad con la lista de precios en vigor en la fecha de recepción, se abonará tras la recepción de la notificación;</w:t>
      </w:r>
    </w:p>
    <w:p w14:paraId="32F2BB3E" w14:textId="77777777" w:rsidR="005B7E53" w:rsidRPr="00B15FC7" w:rsidRDefault="005B7E53" w:rsidP="005B7E53">
      <w:pPr>
        <w:pStyle w:val="enumlev1"/>
      </w:pPr>
      <w:r w:rsidRPr="00B15FC7">
        <w:lastRenderedPageBreak/>
        <w:t>h)</w:t>
      </w:r>
      <w:r w:rsidRPr="00B15FC7">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14:paraId="2505F8D7" w14:textId="77777777" w:rsidR="005B7E53" w:rsidRPr="00B15FC7" w:rsidRDefault="005B7E53" w:rsidP="005B7E53">
      <w:pPr>
        <w:pStyle w:val="enumlev1"/>
      </w:pPr>
      <w:r w:rsidRPr="00B15FC7">
        <w:t>i)</w:t>
      </w:r>
      <w:r w:rsidRPr="00B15FC7">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14:paraId="7128163C" w14:textId="77777777" w:rsidR="005B7E53" w:rsidRPr="00B15FC7" w:rsidRDefault="005B7E53" w:rsidP="005B7E53">
      <w:pPr>
        <w:pStyle w:val="enumlev1"/>
      </w:pPr>
      <w:r w:rsidRPr="00B15FC7">
        <w:t>j)</w:t>
      </w:r>
      <w:r w:rsidRPr="00B15FC7">
        <w:tab/>
        <w:t>en el caso de las notificaciones recibidas a partir del 1 de julio de 2017, se aplica el Acuerdo 482 (C-17); el precio, calculado con arreglo a la lista de precios en vigor en la fecha de recepción, se abonará tras la recepción de la notificación;</w:t>
      </w:r>
    </w:p>
    <w:p w14:paraId="29E9FC9A" w14:textId="77777777" w:rsidR="005B7E53" w:rsidRPr="00B15FC7" w:rsidRDefault="005B7E53" w:rsidP="005B7E53">
      <w:pPr>
        <w:pStyle w:val="enumlev1"/>
      </w:pPr>
      <w:r w:rsidRPr="00B15FC7">
        <w:t>k)</w:t>
      </w:r>
      <w:r w:rsidRPr="00B15FC7">
        <w:tab/>
        <w:t>en el caso de las notificaciones recibidas a partir del 1 de julio de 2018, se aplica el Acuerdo 482 (C-18); la tasa, calculada de conformidad con la lista de precios en vigor en la fecha de recepción, se abonará tras la recepción de la notificación;</w:t>
      </w:r>
    </w:p>
    <w:p w14:paraId="108C5CB7" w14:textId="77777777" w:rsidR="005B7E53" w:rsidRPr="00B15FC7" w:rsidRDefault="005B7E53" w:rsidP="005B7E53">
      <w:pPr>
        <w:pStyle w:val="enumlev1"/>
      </w:pPr>
      <w:r w:rsidRPr="00B15FC7">
        <w:t>l)</w:t>
      </w:r>
      <w:r w:rsidRPr="00B15FC7">
        <w:tab/>
        <w:t>en el caso de las notificaciones recibidas a partir del 1 de julio de 2019, se aplica el Acuerdo 482 (C-19); la tasa, calculada de conformidad con la lista de precios en vigor en la fecha de recepción, se abonará tras la recepción de la notificación;</w:t>
      </w:r>
    </w:p>
    <w:p w14:paraId="73CD97DE" w14:textId="77777777" w:rsidR="005B7E53" w:rsidRPr="00B15FC7" w:rsidRDefault="005B7E53" w:rsidP="005B7E53">
      <w:pPr>
        <w:pStyle w:val="enumlev1"/>
      </w:pPr>
      <w:r w:rsidRPr="00B15FC7">
        <w:t>m)</w:t>
      </w:r>
      <w:r w:rsidRPr="00B15FC7">
        <w:tab/>
        <w:t>en el caso de las notificaciones recibidas a partir del 1 de septiembre de 2020, se aplica el Acuerdo 482 (C-20); la tasa, calculada de conformidad con la lista de precios en vigor en la fecha de recepción, se abonará tras la recepción de la notificación;</w:t>
      </w:r>
    </w:p>
    <w:p w14:paraId="3148131D" w14:textId="04B15706" w:rsidR="005B7E53" w:rsidRPr="00B15FC7" w:rsidRDefault="005B7E53" w:rsidP="005B7E53">
      <w:pPr>
        <w:pStyle w:val="enumlev1"/>
      </w:pPr>
      <w:r w:rsidRPr="00B15FC7">
        <w:t>n)</w:t>
      </w:r>
      <w:r w:rsidRPr="00B15FC7">
        <w:tab/>
        <w:t>en el caso de las notificaciones recibidas a partir del 1 de julio de 2024, se aplica el Acuerdo 482 (C-24); la tasa, calculada de conformidad con la lista de precios en vigor en la fecha de recepción, se abonará tras la recepción de la notificación</w:t>
      </w:r>
      <w:r w:rsidR="00321C6E" w:rsidRPr="00B15FC7">
        <w:t>;</w:t>
      </w:r>
    </w:p>
    <w:p w14:paraId="3EB65238" w14:textId="77777777" w:rsidR="005B7E53" w:rsidRPr="00B15FC7" w:rsidRDefault="005B7E53" w:rsidP="005B7E53">
      <w:r w:rsidRPr="00B15FC7">
        <w:t>3</w:t>
      </w:r>
      <w:r w:rsidRPr="00B15FC7">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B15FC7">
        <w:rPr>
          <w:i/>
          <w:iCs/>
        </w:rPr>
        <w:t>acuerda</w:t>
      </w:r>
      <w:r w:rsidRPr="00B15FC7">
        <w:t xml:space="preserve"> 1</w:t>
      </w:r>
      <w:r w:rsidRPr="00B15FC7">
        <w:rPr>
          <w:i/>
          <w:iCs/>
        </w:rPr>
        <w:t>quater supra</w:t>
      </w:r>
      <w:r w:rsidRPr="00B15FC7">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14:paraId="737D040F" w14:textId="77777777" w:rsidR="005B7E53" w:rsidRPr="00B15FC7" w:rsidRDefault="005B7E53" w:rsidP="005B7E53">
      <w:r w:rsidRPr="00B15FC7">
        <w:t>4</w:t>
      </w:r>
      <w:r w:rsidRPr="00B15FC7">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B15FC7">
        <w:rPr>
          <w:position w:val="6"/>
          <w:sz w:val="16"/>
        </w:rPr>
        <w:footnoteReference w:id="3"/>
      </w:r>
      <w:r w:rsidRPr="00B15FC7">
        <w:t>;</w:t>
      </w:r>
    </w:p>
    <w:p w14:paraId="1E11ABDD" w14:textId="77777777" w:rsidR="005B7E53" w:rsidRPr="00B15FC7" w:rsidRDefault="005B7E53" w:rsidP="005B7E53">
      <w:r w:rsidRPr="00B15FC7">
        <w:t>5</w:t>
      </w:r>
      <w:r w:rsidRPr="00B15FC7">
        <w:tab/>
        <w:t xml:space="preserve">que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B15FC7">
        <w:rPr>
          <w:i/>
          <w:iCs/>
        </w:rPr>
        <w:t>acuerda</w:t>
      </w:r>
      <w:r w:rsidRPr="00B15FC7">
        <w:t xml:space="preserve"> 9 siguiente. </w:t>
      </w:r>
      <w:r w:rsidRPr="00B15FC7">
        <w:lastRenderedPageBreak/>
        <w:t>El derecho a publicación gratuita no podrá aplicarse a una notificación cancelada anteriormente por falta de pago;</w:t>
      </w:r>
    </w:p>
    <w:p w14:paraId="26FAECDE" w14:textId="77777777" w:rsidR="005B7E53" w:rsidRPr="00B15FC7" w:rsidRDefault="005B7E53" w:rsidP="005B7E53">
      <w:r w:rsidRPr="00B15FC7">
        <w:t>6</w:t>
      </w:r>
      <w:r w:rsidRPr="00B15FC7">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B15FC7">
        <w:rPr>
          <w:i/>
          <w:iCs/>
        </w:rPr>
        <w:t>acuerda</w:t>
      </w:r>
      <w:r w:rsidRPr="00B15FC7">
        <w:t xml:space="preserve"> 2;</w:t>
      </w:r>
    </w:p>
    <w:p w14:paraId="035DC13E" w14:textId="77777777" w:rsidR="005B7E53" w:rsidRPr="00B15FC7" w:rsidRDefault="005B7E53" w:rsidP="005B7E53">
      <w:pPr>
        <w:rPr>
          <w:spacing w:val="-6"/>
        </w:rPr>
      </w:pPr>
      <w:r w:rsidRPr="00B15FC7">
        <w:rPr>
          <w:spacing w:val="-6"/>
        </w:rPr>
        <w:t>7</w:t>
      </w:r>
      <w:r w:rsidRPr="00B15FC7">
        <w:rPr>
          <w:spacing w:val="-6"/>
        </w:rPr>
        <w:tab/>
        <w:t xml:space="preserve">que no se impongan tasas de recuperación de costes a ninguna solicitud de publicación de la Parte A que suponga la aplicación del Artículo 4 de los Apéndices </w:t>
      </w:r>
      <w:r w:rsidRPr="00B15FC7">
        <w:rPr>
          <w:b/>
          <w:bCs/>
          <w:spacing w:val="-6"/>
        </w:rPr>
        <w:t>30</w:t>
      </w:r>
      <w:r w:rsidRPr="00B15FC7">
        <w:rPr>
          <w:spacing w:val="-6"/>
        </w:rPr>
        <w:t>/</w:t>
      </w:r>
      <w:r w:rsidRPr="00B15FC7">
        <w:rPr>
          <w:b/>
          <w:bCs/>
          <w:spacing w:val="-6"/>
        </w:rPr>
        <w:t>30A</w:t>
      </w:r>
      <w:r w:rsidRPr="00B15FC7">
        <w:rPr>
          <w:spacing w:val="-6"/>
        </w:rPr>
        <w:t xml:space="preserve">, recibida por la Oficina antes del 8 de noviembre de 1998, ni a ninguna solicitud de publicación de la Parte B que suponga la aplicación del Artículo 4 de los Apéndices </w:t>
      </w:r>
      <w:r w:rsidRPr="00B15FC7">
        <w:rPr>
          <w:b/>
          <w:bCs/>
          <w:spacing w:val="-6"/>
        </w:rPr>
        <w:t>30</w:t>
      </w:r>
      <w:r w:rsidRPr="00B15FC7">
        <w:rPr>
          <w:spacing w:val="-6"/>
        </w:rPr>
        <w:t>/</w:t>
      </w:r>
      <w:r w:rsidRPr="00B15FC7">
        <w:rPr>
          <w:b/>
          <w:bCs/>
          <w:spacing w:val="-6"/>
        </w:rPr>
        <w:t>30A</w:t>
      </w:r>
      <w:r w:rsidRPr="00B15FC7">
        <w:rPr>
          <w:spacing w:val="-6"/>
        </w:rPr>
        <w:t xml:space="preserve">,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w:t>
      </w:r>
      <w:r w:rsidRPr="00B15FC7">
        <w:rPr>
          <w:b/>
          <w:bCs/>
          <w:spacing w:val="-6"/>
        </w:rPr>
        <w:t>30</w:t>
      </w:r>
      <w:r w:rsidRPr="00B15FC7">
        <w:rPr>
          <w:spacing w:val="-6"/>
        </w:rPr>
        <w:t>/</w:t>
      </w:r>
      <w:r w:rsidRPr="00B15FC7">
        <w:rPr>
          <w:b/>
          <w:bCs/>
          <w:spacing w:val="-6"/>
        </w:rPr>
        <w:t>30A</w:t>
      </w:r>
      <w:r w:rsidRPr="00B15FC7">
        <w:rPr>
          <w:spacing w:val="-6"/>
        </w:rPr>
        <w:t xml:space="preserve"> y la correspondiente Parte B presentada de conformidad con el punto 4.3.14 hasta el 2 de junio de 2000 y con el punto 4.1.12 o el punto 4.2.16 de los Apéndices </w:t>
      </w:r>
      <w:r w:rsidRPr="00B15FC7">
        <w:rPr>
          <w:b/>
          <w:bCs/>
          <w:spacing w:val="-6"/>
        </w:rPr>
        <w:t>30</w:t>
      </w:r>
      <w:r w:rsidRPr="00B15FC7">
        <w:rPr>
          <w:spacing w:val="-6"/>
        </w:rPr>
        <w:t>/</w:t>
      </w:r>
      <w:r w:rsidRPr="00B15FC7">
        <w:rPr>
          <w:b/>
          <w:bCs/>
          <w:spacing w:val="-6"/>
        </w:rPr>
        <w:t>30A</w:t>
      </w:r>
      <w:r w:rsidRPr="00B15FC7">
        <w:rPr>
          <w:spacing w:val="-6"/>
        </w:rPr>
        <w:t xml:space="preserve"> quedará sujeta a las tasas previstas en el </w:t>
      </w:r>
      <w:r w:rsidRPr="00B15FC7">
        <w:rPr>
          <w:i/>
          <w:iCs/>
          <w:spacing w:val="-6"/>
        </w:rPr>
        <w:t>acuerda</w:t>
      </w:r>
      <w:r w:rsidRPr="00B15FC7">
        <w:rPr>
          <w:spacing w:val="-6"/>
        </w:rPr>
        <w:t> 2 anterior;</w:t>
      </w:r>
    </w:p>
    <w:p w14:paraId="0E64FCDE" w14:textId="77777777" w:rsidR="005B7E53" w:rsidRPr="00B15FC7" w:rsidRDefault="005B7E53" w:rsidP="005B7E53">
      <w:r w:rsidRPr="00B15FC7">
        <w:t>7</w:t>
      </w:r>
      <w:r w:rsidRPr="00B15FC7">
        <w:rPr>
          <w:i/>
          <w:iCs/>
        </w:rPr>
        <w:t>bis</w:t>
      </w:r>
      <w:r w:rsidRPr="00B15FC7">
        <w:tab/>
        <w:t xml:space="preserve">que no se impongan tasas de recuperación de costes a ninguna solicitud presentada con arreglo al punto 6.17 del Artículo 6 del Apéndice </w:t>
      </w:r>
      <w:r w:rsidRPr="00B15FC7">
        <w:rPr>
          <w:b/>
          <w:bCs/>
        </w:rPr>
        <w:t>30B</w:t>
      </w:r>
      <w:r w:rsidRPr="00B15FC7">
        <w:t xml:space="preserve"> cuando la notificación asociada presentada de conformidad con el punto 6.1 de ese Artículo se haya recibido antes del 17 de noviembre de 2007;</w:t>
      </w:r>
    </w:p>
    <w:p w14:paraId="534593B5" w14:textId="77777777" w:rsidR="005B7E53" w:rsidRPr="00B15FC7" w:rsidRDefault="005B7E53" w:rsidP="005B7E53">
      <w:r w:rsidRPr="00B15FC7">
        <w:t>8</w:t>
      </w:r>
      <w:r w:rsidRPr="00B15FC7">
        <w:tab/>
        <w:t>que el Consejo reexamine periódicamente el Anexo (Lista de precios de tramitación);</w:t>
      </w:r>
    </w:p>
    <w:p w14:paraId="2F407666" w14:textId="77777777" w:rsidR="005B7E53" w:rsidRPr="00B15FC7" w:rsidRDefault="005B7E53" w:rsidP="005B7E53">
      <w:r w:rsidRPr="00B15FC7">
        <w:t>9</w:t>
      </w:r>
      <w:r w:rsidRPr="00B15FC7">
        <w:tab/>
        <w:t>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w:t>
      </w:r>
    </w:p>
    <w:p w14:paraId="570AF341" w14:textId="7D2F4467" w:rsidR="005B7E53" w:rsidRPr="00B15FC7" w:rsidRDefault="005B7E53" w:rsidP="005B7E53">
      <w:r w:rsidRPr="00B15FC7">
        <w:t>10</w:t>
      </w:r>
      <w:r w:rsidRPr="00B15FC7">
        <w:tab/>
        <w:t>que toda anulación posterior recibida por la Oficina de Radiocomunicaciones en un plazo de 15 días a partir de la fecha de recepción de la notificación suprima la obligación de pagar la tasa;</w:t>
      </w:r>
    </w:p>
    <w:p w14:paraId="5A22FA66" w14:textId="77777777" w:rsidR="005B7E53" w:rsidRPr="00B15FC7" w:rsidRDefault="005B7E53" w:rsidP="005B7E53">
      <w:r w:rsidRPr="00B15FC7">
        <w:t>11</w:t>
      </w:r>
      <w:r w:rsidRPr="00B15FC7">
        <w:tab/>
        <w:t xml:space="preserve">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w:t>
      </w:r>
      <w:r w:rsidRPr="00B15FC7">
        <w:rPr>
          <w:b/>
          <w:bCs/>
        </w:rPr>
        <w:t>30B</w:t>
      </w:r>
      <w:r w:rsidRPr="00B15FC7">
        <w:t xml:space="preserve"> y la adición de una nueva adjudicación en el Plan de un nuevo Estado Miembro de la Unión, de acuerdo con el procedimiento del Artículo 7 del Apéndice </w:t>
      </w:r>
      <w:r w:rsidRPr="00B15FC7">
        <w:rPr>
          <w:b/>
          <w:bCs/>
        </w:rPr>
        <w:t>30B</w:t>
      </w:r>
      <w:r w:rsidRPr="00B15FC7">
        <w:t>, se efectúen gratuitamente;</w:t>
      </w:r>
    </w:p>
    <w:p w14:paraId="55C45126" w14:textId="72C66AFA" w:rsidR="005B7E53" w:rsidRPr="00B15FC7" w:rsidRDefault="005B7E53" w:rsidP="005B7E53">
      <w:r w:rsidRPr="00B15FC7">
        <w:t>12</w:t>
      </w:r>
      <w:r w:rsidRPr="00B15FC7">
        <w:tab/>
        <w:t>que la fecha de entrada en vigor del Acuerdo 482 (modificado en 2024) sea el 1 de julio de 2024;</w:t>
      </w:r>
    </w:p>
    <w:p w14:paraId="6769F319" w14:textId="77777777" w:rsidR="005B7E53" w:rsidRPr="00B15FC7" w:rsidRDefault="005B7E53" w:rsidP="005B7E53">
      <w:r w:rsidRPr="00B15FC7">
        <w:t>13</w:t>
      </w:r>
      <w:r w:rsidRPr="00B15FC7">
        <w:tab/>
        <w:t>que las disposiciones del presente Acuerdo se revisarán cuando se disponga de datos sobre el registro de tiempos,</w:t>
      </w:r>
    </w:p>
    <w:p w14:paraId="708F7C34" w14:textId="77777777" w:rsidR="005B7E53" w:rsidRPr="00B15FC7" w:rsidRDefault="005B7E53" w:rsidP="005B7E53">
      <w:pPr>
        <w:keepNext/>
        <w:keepLines/>
        <w:tabs>
          <w:tab w:val="clear" w:pos="1134"/>
          <w:tab w:val="clear" w:pos="1701"/>
          <w:tab w:val="clear" w:pos="2268"/>
          <w:tab w:val="clear" w:pos="2835"/>
        </w:tabs>
        <w:spacing w:before="160"/>
        <w:ind w:left="567"/>
        <w:rPr>
          <w:i/>
        </w:rPr>
      </w:pPr>
      <w:r w:rsidRPr="00B15FC7">
        <w:rPr>
          <w:i/>
        </w:rPr>
        <w:lastRenderedPageBreak/>
        <w:t>recomienda</w:t>
      </w:r>
    </w:p>
    <w:p w14:paraId="4B9CBDEB" w14:textId="77777777" w:rsidR="005B7E53" w:rsidRPr="00B15FC7" w:rsidRDefault="005B7E53" w:rsidP="005B7E53">
      <w:r w:rsidRPr="00B15FC7">
        <w:t>que, en caso de que el Consejo revise la lista de precios que figura en el Anexo, la Oficina debería aplicar cualesquiera créditos que pudieran surgir a facturas posteriores, según lo solicitado por las administraciones,</w:t>
      </w:r>
    </w:p>
    <w:p w14:paraId="572EB0EB" w14:textId="77777777" w:rsidR="005B7E53" w:rsidRPr="00B15FC7" w:rsidRDefault="005B7E53" w:rsidP="005B7E53">
      <w:pPr>
        <w:keepNext/>
        <w:keepLines/>
        <w:tabs>
          <w:tab w:val="clear" w:pos="1134"/>
          <w:tab w:val="clear" w:pos="1701"/>
          <w:tab w:val="clear" w:pos="2268"/>
          <w:tab w:val="clear" w:pos="2835"/>
        </w:tabs>
        <w:spacing w:before="160"/>
        <w:ind w:left="567"/>
        <w:rPr>
          <w:i/>
        </w:rPr>
      </w:pPr>
      <w:r w:rsidRPr="00B15FC7">
        <w:rPr>
          <w:i/>
        </w:rPr>
        <w:t>alienta a los Estados Miembros</w:t>
      </w:r>
    </w:p>
    <w:p w14:paraId="35460B54" w14:textId="77777777" w:rsidR="005B7E53" w:rsidRPr="00B15FC7" w:rsidRDefault="005B7E53" w:rsidP="005B7E53">
      <w:r w:rsidRPr="00B15FC7">
        <w:t>a definir políticas propias que reduzcan a un mínimo los casos de impago y la pérdida de ingresos para la UIT que resulten de estos casos,</w:t>
      </w:r>
    </w:p>
    <w:p w14:paraId="5B2D54D4" w14:textId="77777777" w:rsidR="005B7E53" w:rsidRPr="00B15FC7" w:rsidRDefault="005B7E53" w:rsidP="005B7E53">
      <w:pPr>
        <w:keepNext/>
        <w:keepLines/>
        <w:tabs>
          <w:tab w:val="clear" w:pos="1134"/>
          <w:tab w:val="clear" w:pos="1701"/>
          <w:tab w:val="clear" w:pos="2268"/>
          <w:tab w:val="clear" w:pos="2835"/>
        </w:tabs>
        <w:spacing w:before="160"/>
        <w:ind w:left="567"/>
        <w:rPr>
          <w:i/>
        </w:rPr>
      </w:pPr>
      <w:r w:rsidRPr="00B15FC7">
        <w:rPr>
          <w:i/>
        </w:rPr>
        <w:t>encarga al Director de la Oficina de Radiocomunicaciones</w:t>
      </w:r>
    </w:p>
    <w:p w14:paraId="751C3582" w14:textId="7BCDA107" w:rsidR="005B7E53" w:rsidRPr="00B15FC7" w:rsidRDefault="005B7E53" w:rsidP="005B7E53">
      <w:r w:rsidRPr="00B15FC7">
        <w:t>1</w:t>
      </w:r>
      <w:r w:rsidRPr="00B15FC7">
        <w:tab/>
        <w:t>que optimice el programa informático de notificación electrónica de la Oficina de Radiocomunicaciones (SpaceCap) para mejorar el cálculo de la cuantía estimada de las tasas relativas a una notificación de red de satélites de cualquier tipo antes de su presentación a la</w:t>
      </w:r>
      <w:r w:rsidR="006E27A1">
        <w:t> </w:t>
      </w:r>
      <w:r w:rsidRPr="00B15FC7">
        <w:t>UIT;</w:t>
      </w:r>
    </w:p>
    <w:p w14:paraId="563DBD07" w14:textId="77777777" w:rsidR="005B7E53" w:rsidRPr="00B15FC7" w:rsidRDefault="005B7E53" w:rsidP="005B7E53">
      <w:r w:rsidRPr="00B15FC7">
        <w:t>2</w:t>
      </w:r>
      <w:r w:rsidRPr="00B15FC7">
        <w:tab/>
        <w:t>que presente un Informe Anual al Consejo sobre la aplicación del presente Acuerdo, con análisis de:</w:t>
      </w:r>
    </w:p>
    <w:p w14:paraId="198998AD" w14:textId="77777777" w:rsidR="005B7E53" w:rsidRPr="00B15FC7" w:rsidRDefault="005B7E53" w:rsidP="005B7E53">
      <w:pPr>
        <w:spacing w:before="86"/>
        <w:ind w:left="567" w:hanging="567"/>
      </w:pPr>
      <w:r w:rsidRPr="00B15FC7">
        <w:t>a)</w:t>
      </w:r>
      <w:r w:rsidRPr="00B15FC7">
        <w:tab/>
        <w:t>el coste de las diferentes fases de los procedimientos;</w:t>
      </w:r>
    </w:p>
    <w:p w14:paraId="4EB2E43D" w14:textId="77777777" w:rsidR="005B7E53" w:rsidRPr="00B15FC7" w:rsidRDefault="005B7E53" w:rsidP="005B7E53">
      <w:pPr>
        <w:spacing w:before="86"/>
        <w:ind w:left="567" w:hanging="567"/>
      </w:pPr>
      <w:r w:rsidRPr="00B15FC7">
        <w:t>b)</w:t>
      </w:r>
      <w:r w:rsidRPr="00B15FC7">
        <w:tab/>
        <w:t>los efectos de la presentación electrónica de información;</w:t>
      </w:r>
    </w:p>
    <w:p w14:paraId="3FEAC543" w14:textId="77777777" w:rsidR="005B7E53" w:rsidRPr="00B15FC7" w:rsidRDefault="005B7E53" w:rsidP="005B7E53">
      <w:pPr>
        <w:spacing w:before="86"/>
        <w:ind w:left="567" w:hanging="567"/>
      </w:pPr>
      <w:r w:rsidRPr="00B15FC7">
        <w:t>c)</w:t>
      </w:r>
      <w:r w:rsidRPr="00B15FC7">
        <w:tab/>
        <w:t>el mejoramiento de la calidad de servicio, comprendida, entre otras cosas, la reducción del volumen de trabajo atrasado;</w:t>
      </w:r>
    </w:p>
    <w:p w14:paraId="2C9E71A9" w14:textId="77777777" w:rsidR="005B7E53" w:rsidRPr="00B15FC7" w:rsidRDefault="005B7E53" w:rsidP="005B7E53">
      <w:pPr>
        <w:spacing w:before="86"/>
        <w:ind w:left="567" w:hanging="567"/>
      </w:pPr>
      <w:r w:rsidRPr="00B15FC7">
        <w:t>d)</w:t>
      </w:r>
      <w:r w:rsidRPr="00B15FC7">
        <w:tab/>
        <w:t>el coste de la validación de las notificaciones y de la solicitud de acción correctiva en relación con ellas; y</w:t>
      </w:r>
    </w:p>
    <w:p w14:paraId="557B1D76" w14:textId="77777777" w:rsidR="005B7E53" w:rsidRPr="00B15FC7" w:rsidRDefault="005B7E53" w:rsidP="005B7E53">
      <w:pPr>
        <w:spacing w:before="86"/>
        <w:ind w:left="567" w:hanging="567"/>
      </w:pPr>
      <w:r w:rsidRPr="00B15FC7">
        <w:t>e)</w:t>
      </w:r>
      <w:r w:rsidRPr="00B15FC7">
        <w:tab/>
        <w:t>las dificultades derivadas de aplicar las disposiciones de este Acuerdo;</w:t>
      </w:r>
    </w:p>
    <w:p w14:paraId="6F261321" w14:textId="77777777" w:rsidR="005B7E53" w:rsidRPr="00B15FC7" w:rsidRDefault="005B7E53" w:rsidP="005B7E53">
      <w:r w:rsidRPr="00B15FC7">
        <w:t>3</w:t>
      </w:r>
      <w:r w:rsidRPr="00B15FC7">
        <w:tab/>
        <w:t>que informe a los Estados Miembros sobre las prácticas seguidas por la Oficina de Radiocomunicaciones para aplicar las disposiciones de este Acuerdo y sus motivos.</w:t>
      </w:r>
    </w:p>
    <w:p w14:paraId="205AFB85" w14:textId="77777777" w:rsidR="005B7E53" w:rsidRPr="00B15FC7" w:rsidRDefault="005B7E53" w:rsidP="00321C6E">
      <w:pPr>
        <w:pStyle w:val="Normalaftertitle"/>
        <w:spacing w:before="480"/>
      </w:pPr>
      <w:r w:rsidRPr="00B15FC7">
        <w:rPr>
          <w:b/>
          <w:bCs/>
        </w:rPr>
        <w:t>Anexo</w:t>
      </w:r>
      <w:r w:rsidRPr="00B15FC7">
        <w:t>: 1</w:t>
      </w:r>
    </w:p>
    <w:p w14:paraId="5D6FCFD1" w14:textId="77777777" w:rsidR="005B7E53" w:rsidRPr="00B15FC7" w:rsidRDefault="005B7E53" w:rsidP="005B7E53"/>
    <w:p w14:paraId="25846F1A" w14:textId="77777777" w:rsidR="005B7E53" w:rsidRPr="00B15FC7" w:rsidRDefault="005B7E53" w:rsidP="005B7E53">
      <w:pPr>
        <w:sectPr w:rsidR="005B7E53" w:rsidRPr="00B15FC7" w:rsidSect="005B7E53">
          <w:footerReference w:type="default" r:id="rId10"/>
          <w:headerReference w:type="first" r:id="rId11"/>
          <w:footerReference w:type="first" r:id="rId12"/>
          <w:pgSz w:w="11907" w:h="16834"/>
          <w:pgMar w:top="1418" w:right="1418" w:bottom="1418" w:left="1418" w:header="720" w:footer="720" w:gutter="0"/>
          <w:paperSrc w:first="15" w:other="15"/>
          <w:cols w:space="720"/>
          <w:titlePg/>
          <w:docGrid w:linePitch="326"/>
        </w:sectPr>
      </w:pPr>
    </w:p>
    <w:p w14:paraId="64A6FAAE" w14:textId="77777777" w:rsidR="005B7E53" w:rsidRPr="00B15FC7" w:rsidRDefault="005B7E53" w:rsidP="005B7E53">
      <w:pPr>
        <w:pStyle w:val="AnnexNo"/>
        <w:spacing w:before="0"/>
      </w:pPr>
      <w:r w:rsidRPr="00B15FC7">
        <w:lastRenderedPageBreak/>
        <w:t>ANEXO</w:t>
      </w:r>
    </w:p>
    <w:p w14:paraId="74EBD4ED" w14:textId="2A23AC69" w:rsidR="005B7E53" w:rsidRPr="00B15FC7" w:rsidRDefault="005B7E53" w:rsidP="005B7E53">
      <w:pPr>
        <w:pStyle w:val="Annextitle"/>
      </w:pPr>
      <w:r w:rsidRPr="00B15FC7">
        <w:t>Lista de tasas de tramitación aplicables a las notificaciones de redes de satélites recibidas</w:t>
      </w:r>
      <w:r w:rsidRPr="00B15FC7">
        <w:br/>
        <w:t>por la Oficina de Radiocomunicaciones a partir del 1 de julio de 2024 inclusive</w:t>
      </w:r>
    </w:p>
    <w:tbl>
      <w:tblPr>
        <w:tblW w:w="5000" w:type="pct"/>
        <w:jc w:val="center"/>
        <w:tblLayout w:type="fixed"/>
        <w:tblLook w:val="04A0" w:firstRow="1" w:lastRow="0" w:firstColumn="1" w:lastColumn="0" w:noHBand="0" w:noVBand="1"/>
      </w:tblPr>
      <w:tblGrid>
        <w:gridCol w:w="329"/>
        <w:gridCol w:w="1384"/>
        <w:gridCol w:w="510"/>
        <w:gridCol w:w="7123"/>
        <w:gridCol w:w="1442"/>
        <w:gridCol w:w="1315"/>
        <w:gridCol w:w="1302"/>
        <w:gridCol w:w="1151"/>
      </w:tblGrid>
      <w:tr w:rsidR="005B7E53" w:rsidRPr="00B15FC7" w14:paraId="7B699FE7" w14:textId="77777777" w:rsidTr="0086665F">
        <w:trPr>
          <w:cantSplit/>
          <w:tblHeader/>
          <w:jc w:val="center"/>
        </w:trPr>
        <w:tc>
          <w:tcPr>
            <w:tcW w:w="1713" w:type="dxa"/>
            <w:gridSpan w:val="2"/>
            <w:tcBorders>
              <w:top w:val="single" w:sz="4" w:space="0" w:color="000000"/>
              <w:left w:val="single" w:sz="4" w:space="0" w:color="000000"/>
              <w:bottom w:val="single" w:sz="4" w:space="0" w:color="000000"/>
              <w:right w:val="nil"/>
            </w:tcBorders>
            <w:vAlign w:val="center"/>
            <w:hideMark/>
          </w:tcPr>
          <w:p w14:paraId="165481A2" w14:textId="77777777" w:rsidR="005B7E53" w:rsidRPr="00B15FC7" w:rsidRDefault="005B7E53" w:rsidP="0086665F">
            <w:pPr>
              <w:pStyle w:val="Tablehead"/>
              <w:spacing w:before="80" w:after="80"/>
              <w:rPr>
                <w:sz w:val="16"/>
                <w:szCs w:val="16"/>
              </w:rPr>
            </w:pPr>
            <w:r w:rsidRPr="00B15FC7">
              <w:rPr>
                <w:sz w:val="16"/>
                <w:szCs w:val="16"/>
              </w:rPr>
              <w:t>Tipo</w:t>
            </w:r>
          </w:p>
        </w:tc>
        <w:tc>
          <w:tcPr>
            <w:tcW w:w="7633" w:type="dxa"/>
            <w:gridSpan w:val="2"/>
            <w:tcBorders>
              <w:top w:val="single" w:sz="4" w:space="0" w:color="000000"/>
              <w:left w:val="single" w:sz="4" w:space="0" w:color="000000"/>
              <w:bottom w:val="single" w:sz="4" w:space="0" w:color="000000"/>
              <w:right w:val="nil"/>
            </w:tcBorders>
            <w:vAlign w:val="center"/>
            <w:hideMark/>
          </w:tcPr>
          <w:p w14:paraId="42FDEF4E" w14:textId="77777777" w:rsidR="005B7E53" w:rsidRPr="00B15FC7" w:rsidRDefault="005B7E53" w:rsidP="0086665F">
            <w:pPr>
              <w:pStyle w:val="Tablehead"/>
              <w:spacing w:before="80" w:after="80"/>
              <w:rPr>
                <w:sz w:val="16"/>
                <w:szCs w:val="16"/>
              </w:rPr>
            </w:pPr>
            <w:r w:rsidRPr="00B15FC7">
              <w:rPr>
                <w:sz w:val="16"/>
                <w:szCs w:val="16"/>
              </w:rPr>
              <w:t>Categoría</w:t>
            </w:r>
          </w:p>
        </w:tc>
        <w:tc>
          <w:tcPr>
            <w:tcW w:w="1442" w:type="dxa"/>
            <w:tcBorders>
              <w:top w:val="single" w:sz="4" w:space="0" w:color="000000"/>
              <w:left w:val="single" w:sz="4" w:space="0" w:color="000000"/>
              <w:bottom w:val="single" w:sz="4" w:space="0" w:color="000000"/>
              <w:right w:val="nil"/>
            </w:tcBorders>
            <w:vAlign w:val="center"/>
            <w:hideMark/>
          </w:tcPr>
          <w:p w14:paraId="22D259CE" w14:textId="77777777" w:rsidR="005B7E53" w:rsidRPr="00B15FC7" w:rsidRDefault="005B7E53" w:rsidP="0086665F">
            <w:pPr>
              <w:pStyle w:val="Tablehead"/>
              <w:spacing w:before="80" w:after="80"/>
              <w:rPr>
                <w:sz w:val="16"/>
                <w:szCs w:val="16"/>
                <w:vertAlign w:val="superscript"/>
              </w:rPr>
            </w:pPr>
            <w:r w:rsidRPr="00B15FC7">
              <w:rPr>
                <w:sz w:val="16"/>
                <w:szCs w:val="16"/>
              </w:rPr>
              <w:t>Tasa fija por notificación (en CHF)</w:t>
            </w:r>
            <w:r w:rsidRPr="00B15FC7">
              <w:rPr>
                <w:sz w:val="16"/>
                <w:szCs w:val="16"/>
              </w:rPr>
              <w:br/>
              <w:t>(</w:t>
            </w:r>
            <w:r w:rsidRPr="00B15FC7">
              <w:rPr>
                <w:sz w:val="16"/>
                <w:szCs w:val="16"/>
              </w:rPr>
              <w:sym w:font="Symbol" w:char="F0B3"/>
            </w:r>
            <w:r w:rsidRPr="00B15FC7">
              <w:rPr>
                <w:sz w:val="16"/>
                <w:szCs w:val="16"/>
              </w:rPr>
              <w:t>100 unidades, si es aplicable)</w:t>
            </w:r>
            <w:r w:rsidRPr="00B15FC7">
              <w:rPr>
                <w:sz w:val="16"/>
                <w:szCs w:val="16"/>
                <w:vertAlign w:val="superscript"/>
              </w:rPr>
              <w:t>e)</w:t>
            </w:r>
          </w:p>
        </w:tc>
        <w:tc>
          <w:tcPr>
            <w:tcW w:w="1315" w:type="dxa"/>
            <w:tcBorders>
              <w:top w:val="single" w:sz="4" w:space="0" w:color="000000"/>
              <w:left w:val="single" w:sz="4" w:space="0" w:color="000000"/>
              <w:bottom w:val="single" w:sz="4" w:space="0" w:color="000000"/>
              <w:right w:val="nil"/>
            </w:tcBorders>
            <w:vAlign w:val="center"/>
            <w:hideMark/>
          </w:tcPr>
          <w:p w14:paraId="7ACBFED6" w14:textId="77777777" w:rsidR="005B7E53" w:rsidRPr="00B15FC7" w:rsidRDefault="005B7E53" w:rsidP="0086665F">
            <w:pPr>
              <w:pStyle w:val="Tablehead"/>
              <w:spacing w:before="80" w:after="80"/>
              <w:rPr>
                <w:sz w:val="16"/>
                <w:szCs w:val="16"/>
              </w:rPr>
            </w:pPr>
            <w:r w:rsidRPr="00B15FC7">
              <w:rPr>
                <w:sz w:val="16"/>
                <w:szCs w:val="16"/>
              </w:rPr>
              <w:t>Tasa fija por notificación (en CHF)</w:t>
            </w:r>
            <w:r w:rsidRPr="00B15FC7">
              <w:rPr>
                <w:sz w:val="16"/>
                <w:szCs w:val="16"/>
              </w:rPr>
              <w:br/>
              <w:t>(&lt;100 unidades)</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7EFC511F" w14:textId="77777777" w:rsidR="005B7E53" w:rsidRPr="00B15FC7" w:rsidRDefault="005B7E53" w:rsidP="0086665F">
            <w:pPr>
              <w:pStyle w:val="Tablehead"/>
              <w:spacing w:before="80" w:after="80"/>
              <w:rPr>
                <w:sz w:val="16"/>
                <w:szCs w:val="16"/>
              </w:rPr>
            </w:pPr>
            <w:r w:rsidRPr="00B15FC7">
              <w:rPr>
                <w:sz w:val="16"/>
                <w:szCs w:val="16"/>
              </w:rPr>
              <w:t>Tasa por unidad (en CHF)</w:t>
            </w:r>
            <w:r w:rsidRPr="00B15FC7">
              <w:rPr>
                <w:sz w:val="16"/>
                <w:szCs w:val="16"/>
              </w:rPr>
              <w:br/>
              <w:t>(&lt;100 unidades)</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30C11C5B" w14:textId="77777777" w:rsidR="005B7E53" w:rsidRPr="00B15FC7" w:rsidRDefault="005B7E53" w:rsidP="0086665F">
            <w:pPr>
              <w:pStyle w:val="Tablehead"/>
              <w:spacing w:before="80" w:after="80"/>
              <w:rPr>
                <w:sz w:val="16"/>
                <w:szCs w:val="16"/>
              </w:rPr>
            </w:pPr>
            <w:r w:rsidRPr="00B15FC7">
              <w:rPr>
                <w:sz w:val="16"/>
                <w:szCs w:val="16"/>
              </w:rPr>
              <w:t>Unidad de recuperación de costes</w:t>
            </w:r>
          </w:p>
        </w:tc>
      </w:tr>
      <w:tr w:rsidR="005B7E53" w:rsidRPr="00B15FC7" w14:paraId="4E96B596" w14:textId="77777777" w:rsidTr="0086665F">
        <w:trPr>
          <w:cantSplit/>
          <w:jc w:val="center"/>
        </w:trPr>
        <w:tc>
          <w:tcPr>
            <w:tcW w:w="329" w:type="dxa"/>
            <w:tcBorders>
              <w:top w:val="single" w:sz="4" w:space="0" w:color="000000"/>
              <w:left w:val="single" w:sz="4" w:space="0" w:color="000000"/>
              <w:bottom w:val="single" w:sz="4" w:space="0" w:color="000000"/>
              <w:right w:val="nil"/>
            </w:tcBorders>
            <w:vAlign w:val="center"/>
            <w:hideMark/>
          </w:tcPr>
          <w:p w14:paraId="1E2860BF" w14:textId="77777777" w:rsidR="005B7E53" w:rsidRPr="00B15FC7" w:rsidRDefault="005B7E53" w:rsidP="0086665F">
            <w:pPr>
              <w:pStyle w:val="Tabletext"/>
              <w:spacing w:before="40" w:after="40"/>
              <w:rPr>
                <w:sz w:val="16"/>
                <w:szCs w:val="16"/>
              </w:rPr>
            </w:pPr>
            <w:r w:rsidRPr="00B15FC7">
              <w:rPr>
                <w:sz w:val="16"/>
                <w:szCs w:val="16"/>
              </w:rPr>
              <w:t>1</w:t>
            </w:r>
          </w:p>
        </w:tc>
        <w:tc>
          <w:tcPr>
            <w:tcW w:w="1384" w:type="dxa"/>
            <w:tcBorders>
              <w:top w:val="single" w:sz="4" w:space="0" w:color="000000"/>
              <w:left w:val="single" w:sz="4" w:space="0" w:color="000000"/>
              <w:bottom w:val="single" w:sz="4" w:space="0" w:color="000000"/>
              <w:right w:val="nil"/>
            </w:tcBorders>
            <w:vAlign w:val="center"/>
            <w:hideMark/>
          </w:tcPr>
          <w:p w14:paraId="0E1454BC" w14:textId="77777777" w:rsidR="005B7E53" w:rsidRPr="00B15FC7" w:rsidRDefault="005B7E53" w:rsidP="0086665F">
            <w:pPr>
              <w:pStyle w:val="Tabletext"/>
              <w:spacing w:before="40" w:after="40"/>
              <w:rPr>
                <w:sz w:val="16"/>
                <w:szCs w:val="16"/>
              </w:rPr>
            </w:pPr>
            <w:r w:rsidRPr="00B15FC7">
              <w:rPr>
                <w:sz w:val="16"/>
                <w:szCs w:val="16"/>
              </w:rPr>
              <w:t>Publicación anticipada (A)</w:t>
            </w: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D035F81" w14:textId="77777777" w:rsidR="005B7E53" w:rsidRPr="00B15FC7" w:rsidRDefault="005B7E53" w:rsidP="0086665F">
            <w:pPr>
              <w:pStyle w:val="Tabletext"/>
              <w:spacing w:before="40" w:after="40"/>
              <w:rPr>
                <w:sz w:val="16"/>
                <w:szCs w:val="16"/>
              </w:rPr>
            </w:pPr>
            <w:r w:rsidRPr="00B15FC7">
              <w:rPr>
                <w:sz w:val="16"/>
                <w:szCs w:val="16"/>
              </w:rPr>
              <w:t>A1</w:t>
            </w:r>
          </w:p>
        </w:tc>
        <w:tc>
          <w:tcPr>
            <w:tcW w:w="7123" w:type="dxa"/>
            <w:tcBorders>
              <w:top w:val="single" w:sz="4" w:space="0" w:color="000000"/>
              <w:left w:val="single" w:sz="4" w:space="0" w:color="000000"/>
              <w:bottom w:val="single" w:sz="4" w:space="0" w:color="000000"/>
              <w:right w:val="nil"/>
            </w:tcBorders>
            <w:vAlign w:val="center"/>
            <w:hideMark/>
          </w:tcPr>
          <w:p w14:paraId="45739BF9" w14:textId="77777777" w:rsidR="005B7E53" w:rsidRPr="00B15FC7" w:rsidRDefault="005B7E53" w:rsidP="0086665F">
            <w:pPr>
              <w:pStyle w:val="Tabletext"/>
              <w:spacing w:before="40" w:after="40"/>
              <w:rPr>
                <w:sz w:val="16"/>
                <w:szCs w:val="16"/>
              </w:rPr>
            </w:pPr>
            <w:r w:rsidRPr="00B15FC7">
              <w:rPr>
                <w:sz w:val="16"/>
                <w:szCs w:val="16"/>
              </w:rPr>
              <w:t>Publicación anticipada de una red de satélites no geoestacionarios no sujeta a coordinación conforme a la Sección </w:t>
            </w:r>
            <w:r w:rsidRPr="00B15FC7">
              <w:rPr>
                <w:bCs/>
                <w:sz w:val="16"/>
                <w:szCs w:val="16"/>
              </w:rPr>
              <w:t>II</w:t>
            </w:r>
            <w:r w:rsidRPr="00B15FC7">
              <w:rPr>
                <w:sz w:val="16"/>
                <w:szCs w:val="16"/>
              </w:rPr>
              <w:t xml:space="preserve"> del Artículo </w:t>
            </w:r>
            <w:r w:rsidRPr="00B15FC7">
              <w:rPr>
                <w:b/>
                <w:sz w:val="16"/>
                <w:szCs w:val="16"/>
              </w:rPr>
              <w:t>9</w:t>
            </w:r>
            <w:r w:rsidRPr="00B15FC7">
              <w:rPr>
                <w:bCs/>
                <w:sz w:val="16"/>
                <w:szCs w:val="16"/>
              </w:rPr>
              <w:t>;</w:t>
            </w:r>
            <w:r w:rsidRPr="00B15FC7">
              <w:rPr>
                <w:sz w:val="16"/>
                <w:szCs w:val="16"/>
              </w:rPr>
              <w:t xml:space="preserve"> publicación anticipada de enlaces entre satélites de una estación espacial de satélite geoestacionario que comunica con una estación espacial no geoestacionaria provisionalmente no sujeta a coordinación en virtud de la Sección II del Artículo </w:t>
            </w:r>
            <w:r w:rsidRPr="00B15FC7">
              <w:rPr>
                <w:b/>
                <w:bCs/>
                <w:sz w:val="16"/>
                <w:szCs w:val="16"/>
              </w:rPr>
              <w:t>9</w:t>
            </w:r>
            <w:r w:rsidRPr="00B15FC7">
              <w:rPr>
                <w:sz w:val="16"/>
                <w:szCs w:val="16"/>
              </w:rPr>
              <w:t xml:space="preserve"> de conformidad con la Regla de Procedimiento relativa al número </w:t>
            </w:r>
            <w:r w:rsidRPr="00B15FC7">
              <w:rPr>
                <w:b/>
                <w:sz w:val="16"/>
                <w:szCs w:val="16"/>
              </w:rPr>
              <w:t>11.32</w:t>
            </w:r>
            <w:r w:rsidRPr="00B15FC7">
              <w:rPr>
                <w:sz w:val="16"/>
                <w:szCs w:val="16"/>
              </w:rPr>
              <w:t>, punto 6 (MOD RRB04/35).</w:t>
            </w:r>
          </w:p>
          <w:p w14:paraId="7F337D90" w14:textId="77777777" w:rsidR="005B7E53" w:rsidRPr="00B15FC7" w:rsidRDefault="005B7E53" w:rsidP="0086665F">
            <w:pPr>
              <w:pStyle w:val="Tabletext"/>
              <w:spacing w:before="40" w:after="40"/>
              <w:rPr>
                <w:sz w:val="16"/>
                <w:szCs w:val="16"/>
              </w:rPr>
            </w:pPr>
            <w:r w:rsidRPr="00B15FC7">
              <w:rPr>
                <w:sz w:val="16"/>
                <w:szCs w:val="16"/>
              </w:rPr>
              <w:t>NOTA – La publicación anticipada también incluye la aplicación del número </w:t>
            </w:r>
            <w:r w:rsidRPr="00B15FC7">
              <w:rPr>
                <w:b/>
                <w:bCs/>
                <w:sz w:val="16"/>
                <w:szCs w:val="16"/>
              </w:rPr>
              <w:t xml:space="preserve">9.5 </w:t>
            </w:r>
            <w:r w:rsidRPr="00B15FC7">
              <w:rPr>
                <w:sz w:val="16"/>
                <w:szCs w:val="16"/>
              </w:rPr>
              <w:t>(Sección Especial API/B) y no se le impondrá tasa alguna separadamente.</w:t>
            </w:r>
          </w:p>
        </w:tc>
        <w:tc>
          <w:tcPr>
            <w:tcW w:w="2757" w:type="dxa"/>
            <w:gridSpan w:val="2"/>
            <w:tcBorders>
              <w:top w:val="single" w:sz="4" w:space="0" w:color="000000"/>
              <w:left w:val="single" w:sz="4" w:space="0" w:color="000000"/>
              <w:bottom w:val="single" w:sz="4" w:space="0" w:color="000000"/>
              <w:right w:val="nil"/>
            </w:tcBorders>
            <w:vAlign w:val="center"/>
            <w:hideMark/>
          </w:tcPr>
          <w:p w14:paraId="756502E8" w14:textId="77777777" w:rsidR="005B7E53" w:rsidRPr="00B15FC7" w:rsidRDefault="005B7E53" w:rsidP="0086665F">
            <w:pPr>
              <w:pStyle w:val="Tabletext"/>
              <w:spacing w:before="40" w:after="40"/>
              <w:jc w:val="center"/>
              <w:rPr>
                <w:sz w:val="16"/>
                <w:szCs w:val="16"/>
              </w:rPr>
            </w:pPr>
            <w:r w:rsidRPr="00B15FC7">
              <w:rPr>
                <w:sz w:val="16"/>
                <w:szCs w:val="16"/>
              </w:rPr>
              <w:t>570</w:t>
            </w:r>
          </w:p>
        </w:tc>
        <w:tc>
          <w:tcPr>
            <w:tcW w:w="2453" w:type="dxa"/>
            <w:gridSpan w:val="2"/>
            <w:tcBorders>
              <w:top w:val="single" w:sz="4" w:space="0" w:color="000000"/>
              <w:left w:val="single" w:sz="4" w:space="0" w:color="000000"/>
              <w:bottom w:val="single" w:sz="4" w:space="0" w:color="000000"/>
              <w:right w:val="single" w:sz="4" w:space="0" w:color="000000"/>
            </w:tcBorders>
            <w:vAlign w:val="center"/>
            <w:hideMark/>
          </w:tcPr>
          <w:p w14:paraId="3F2D7964" w14:textId="77777777" w:rsidR="005B7E53" w:rsidRPr="00B15FC7" w:rsidRDefault="005B7E53" w:rsidP="0086665F">
            <w:pPr>
              <w:pStyle w:val="Tabletext"/>
              <w:spacing w:before="40" w:after="40"/>
              <w:jc w:val="center"/>
              <w:rPr>
                <w:sz w:val="16"/>
                <w:szCs w:val="16"/>
              </w:rPr>
            </w:pPr>
            <w:r w:rsidRPr="00B15FC7">
              <w:rPr>
                <w:sz w:val="16"/>
                <w:szCs w:val="16"/>
              </w:rPr>
              <w:t>No aplicable</w:t>
            </w:r>
          </w:p>
        </w:tc>
      </w:tr>
      <w:tr w:rsidR="005B7E53" w:rsidRPr="00B15FC7" w14:paraId="00E21400" w14:textId="77777777" w:rsidTr="0086665F">
        <w:trPr>
          <w:cantSplit/>
          <w:jc w:val="center"/>
        </w:trPr>
        <w:tc>
          <w:tcPr>
            <w:tcW w:w="329" w:type="dxa"/>
            <w:vMerge w:val="restart"/>
            <w:tcBorders>
              <w:top w:val="single" w:sz="4" w:space="0" w:color="000000"/>
              <w:left w:val="single" w:sz="4" w:space="0" w:color="000000"/>
              <w:bottom w:val="single" w:sz="4" w:space="0" w:color="auto"/>
              <w:right w:val="nil"/>
            </w:tcBorders>
            <w:vAlign w:val="center"/>
            <w:hideMark/>
          </w:tcPr>
          <w:p w14:paraId="06C1278B" w14:textId="77777777" w:rsidR="005B7E53" w:rsidRPr="00B15FC7" w:rsidRDefault="005B7E53" w:rsidP="0086665F">
            <w:pPr>
              <w:pStyle w:val="Tabletext"/>
              <w:spacing w:before="40" w:after="40"/>
              <w:rPr>
                <w:sz w:val="16"/>
                <w:szCs w:val="16"/>
              </w:rPr>
            </w:pPr>
            <w:r w:rsidRPr="00B15FC7">
              <w:rPr>
                <w:sz w:val="16"/>
                <w:szCs w:val="16"/>
              </w:rPr>
              <w:t>2</w:t>
            </w:r>
          </w:p>
        </w:tc>
        <w:tc>
          <w:tcPr>
            <w:tcW w:w="1384" w:type="dxa"/>
            <w:vMerge w:val="restart"/>
            <w:tcBorders>
              <w:top w:val="single" w:sz="4" w:space="0" w:color="000000"/>
              <w:left w:val="single" w:sz="4" w:space="0" w:color="000000"/>
              <w:bottom w:val="single" w:sz="4" w:space="0" w:color="auto"/>
              <w:right w:val="nil"/>
            </w:tcBorders>
            <w:vAlign w:val="center"/>
            <w:hideMark/>
          </w:tcPr>
          <w:p w14:paraId="3B16B020" w14:textId="77777777" w:rsidR="005B7E53" w:rsidRPr="00B15FC7" w:rsidRDefault="005B7E53" w:rsidP="0086665F">
            <w:pPr>
              <w:pStyle w:val="Tabletext"/>
              <w:spacing w:before="40" w:after="40"/>
              <w:rPr>
                <w:sz w:val="16"/>
                <w:szCs w:val="16"/>
              </w:rPr>
            </w:pPr>
            <w:r w:rsidRPr="00B15FC7">
              <w:rPr>
                <w:sz w:val="16"/>
                <w:szCs w:val="16"/>
              </w:rPr>
              <w:t>Coordinación (C)</w:t>
            </w: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706F910A" w14:textId="77777777" w:rsidR="005B7E53" w:rsidRPr="00B15FC7" w:rsidRDefault="005B7E53" w:rsidP="0086665F">
            <w:pPr>
              <w:pStyle w:val="Tabletext"/>
              <w:spacing w:before="40" w:after="40"/>
              <w:rPr>
                <w:sz w:val="16"/>
                <w:szCs w:val="16"/>
              </w:rPr>
            </w:pPr>
            <w:r w:rsidRPr="00B15FC7">
              <w:rPr>
                <w:sz w:val="16"/>
                <w:szCs w:val="16"/>
              </w:rPr>
              <w:t>C1*</w:t>
            </w:r>
          </w:p>
        </w:tc>
        <w:tc>
          <w:tcPr>
            <w:tcW w:w="7123" w:type="dxa"/>
            <w:vMerge w:val="restart"/>
            <w:tcBorders>
              <w:top w:val="single" w:sz="4" w:space="0" w:color="000000"/>
              <w:left w:val="single" w:sz="4" w:space="0" w:color="000000"/>
              <w:bottom w:val="single" w:sz="4" w:space="0" w:color="000000"/>
              <w:right w:val="nil"/>
            </w:tcBorders>
            <w:vAlign w:val="center"/>
            <w:hideMark/>
          </w:tcPr>
          <w:p w14:paraId="031C2F89" w14:textId="77777777" w:rsidR="005B7E53" w:rsidRPr="00B15FC7" w:rsidRDefault="005B7E53" w:rsidP="0086665F">
            <w:pPr>
              <w:pStyle w:val="Tabletext"/>
              <w:spacing w:before="40" w:after="40"/>
              <w:rPr>
                <w:sz w:val="16"/>
                <w:szCs w:val="16"/>
              </w:rPr>
            </w:pPr>
            <w:r w:rsidRPr="00B15FC7">
              <w:rPr>
                <w:sz w:val="16"/>
                <w:szCs w:val="16"/>
              </w:rPr>
              <w:t>Solicitud de coordinación para una red de satélites de conformidad con el número </w:t>
            </w:r>
            <w:r w:rsidRPr="00B15FC7">
              <w:rPr>
                <w:b/>
                <w:sz w:val="16"/>
                <w:szCs w:val="16"/>
              </w:rPr>
              <w:t>9.6</w:t>
            </w:r>
            <w:r w:rsidRPr="00B15FC7">
              <w:rPr>
                <w:sz w:val="16"/>
                <w:szCs w:val="16"/>
              </w:rPr>
              <w:t xml:space="preserve"> y uno o varios de los números </w:t>
            </w:r>
            <w:r w:rsidRPr="00B15FC7">
              <w:rPr>
                <w:b/>
                <w:sz w:val="16"/>
                <w:szCs w:val="16"/>
              </w:rPr>
              <w:t>9.7</w:t>
            </w:r>
            <w:r w:rsidRPr="00B15FC7">
              <w:rPr>
                <w:sz w:val="16"/>
                <w:szCs w:val="16"/>
              </w:rPr>
              <w:t>,</w:t>
            </w:r>
            <w:r w:rsidRPr="00B15FC7">
              <w:rPr>
                <w:b/>
                <w:sz w:val="16"/>
                <w:szCs w:val="16"/>
              </w:rPr>
              <w:t xml:space="preserve"> 9.7A, 9.7B</w:t>
            </w:r>
            <w:r w:rsidRPr="00B15FC7">
              <w:rPr>
                <w:sz w:val="16"/>
                <w:szCs w:val="16"/>
              </w:rPr>
              <w:t xml:space="preserve">, </w:t>
            </w:r>
            <w:r w:rsidRPr="00B15FC7">
              <w:rPr>
                <w:b/>
                <w:sz w:val="16"/>
                <w:szCs w:val="16"/>
              </w:rPr>
              <w:t>9.11, 9.11A, 9.12, 9.12A, 9.13, 9.14</w:t>
            </w:r>
            <w:r w:rsidRPr="00B15FC7">
              <w:rPr>
                <w:sz w:val="16"/>
                <w:szCs w:val="16"/>
              </w:rPr>
              <w:t xml:space="preserve"> y </w:t>
            </w:r>
            <w:r w:rsidRPr="00B15FC7">
              <w:rPr>
                <w:b/>
                <w:sz w:val="16"/>
                <w:szCs w:val="16"/>
              </w:rPr>
              <w:t>9.21</w:t>
            </w:r>
            <w:r w:rsidRPr="00B15FC7">
              <w:rPr>
                <w:sz w:val="16"/>
                <w:szCs w:val="16"/>
              </w:rPr>
              <w:t xml:space="preserve"> de la Sección </w:t>
            </w:r>
            <w:r w:rsidRPr="00B15FC7">
              <w:rPr>
                <w:bCs/>
                <w:sz w:val="16"/>
                <w:szCs w:val="16"/>
              </w:rPr>
              <w:t>II</w:t>
            </w:r>
            <w:r w:rsidRPr="00B15FC7">
              <w:rPr>
                <w:sz w:val="16"/>
                <w:szCs w:val="16"/>
              </w:rPr>
              <w:t xml:space="preserve"> del Artículo </w:t>
            </w:r>
            <w:r w:rsidRPr="00B15FC7">
              <w:rPr>
                <w:b/>
                <w:sz w:val="16"/>
                <w:szCs w:val="16"/>
              </w:rPr>
              <w:t>9</w:t>
            </w:r>
            <w:r w:rsidRPr="00B15FC7">
              <w:rPr>
                <w:sz w:val="16"/>
                <w:szCs w:val="16"/>
              </w:rPr>
              <w:t>, el número </w:t>
            </w:r>
            <w:r w:rsidRPr="00B15FC7">
              <w:rPr>
                <w:bCs/>
                <w:sz w:val="16"/>
                <w:szCs w:val="16"/>
              </w:rPr>
              <w:t>7.1 del Artículo 7 del Apéndice</w:t>
            </w:r>
            <w:r w:rsidRPr="00B15FC7">
              <w:rPr>
                <w:sz w:val="16"/>
                <w:szCs w:val="16"/>
              </w:rPr>
              <w:t> </w:t>
            </w:r>
            <w:r w:rsidRPr="00B15FC7">
              <w:rPr>
                <w:b/>
                <w:sz w:val="16"/>
                <w:szCs w:val="16"/>
              </w:rPr>
              <w:t>30</w:t>
            </w:r>
            <w:r w:rsidRPr="00B15FC7">
              <w:rPr>
                <w:sz w:val="16"/>
                <w:szCs w:val="16"/>
              </w:rPr>
              <w:t>, el número 7.1 del Artículo 7 del Apéndice </w:t>
            </w:r>
            <w:r w:rsidRPr="00B15FC7">
              <w:rPr>
                <w:b/>
                <w:sz w:val="16"/>
                <w:szCs w:val="16"/>
              </w:rPr>
              <w:t>30A</w:t>
            </w:r>
            <w:r w:rsidRPr="00B15FC7">
              <w:rPr>
                <w:bCs/>
                <w:sz w:val="16"/>
                <w:szCs w:val="16"/>
              </w:rPr>
              <w:t xml:space="preserve"> y la Resolución </w:t>
            </w:r>
            <w:r w:rsidRPr="00B15FC7">
              <w:rPr>
                <w:b/>
                <w:sz w:val="16"/>
                <w:szCs w:val="16"/>
              </w:rPr>
              <w:t>539 (Rev.CMR-19)</w:t>
            </w:r>
            <w:r w:rsidRPr="00B15FC7">
              <w:rPr>
                <w:bCs/>
                <w:sz w:val="16"/>
                <w:szCs w:val="16"/>
              </w:rPr>
              <w:t>.</w:t>
            </w:r>
          </w:p>
          <w:p w14:paraId="6B585AD5" w14:textId="77777777" w:rsidR="005B7E53" w:rsidRPr="00B15FC7" w:rsidRDefault="005B7E53" w:rsidP="0086665F">
            <w:pPr>
              <w:pStyle w:val="Tabletext"/>
              <w:spacing w:before="40" w:after="40"/>
              <w:rPr>
                <w:bCs/>
                <w:sz w:val="16"/>
                <w:szCs w:val="16"/>
              </w:rPr>
            </w:pPr>
            <w:r w:rsidRPr="00B15FC7">
              <w:rPr>
                <w:sz w:val="16"/>
                <w:szCs w:val="16"/>
              </w:rPr>
              <w:t>NOTA – La</w:t>
            </w:r>
            <w:r w:rsidRPr="00B15FC7">
              <w:rPr>
                <w:b/>
                <w:sz w:val="16"/>
                <w:szCs w:val="16"/>
              </w:rPr>
              <w:t xml:space="preserve"> </w:t>
            </w:r>
            <w:r w:rsidRPr="00B15FC7">
              <w:rPr>
                <w:bCs/>
                <w:sz w:val="16"/>
                <w:szCs w:val="16"/>
              </w:rPr>
              <w:t xml:space="preserve">coordinación también incluye la aplicación de los </w:t>
            </w:r>
            <w:r w:rsidRPr="00B15FC7">
              <w:rPr>
                <w:sz w:val="16"/>
                <w:szCs w:val="16"/>
              </w:rPr>
              <w:t>números </w:t>
            </w:r>
            <w:r w:rsidRPr="00B15FC7">
              <w:rPr>
                <w:b/>
                <w:sz w:val="16"/>
                <w:szCs w:val="16"/>
              </w:rPr>
              <w:t>9.1A</w:t>
            </w:r>
            <w:r w:rsidRPr="00B15FC7">
              <w:rPr>
                <w:bCs/>
                <w:sz w:val="16"/>
                <w:szCs w:val="16"/>
              </w:rPr>
              <w:t xml:space="preserve">, </w:t>
            </w:r>
            <w:r w:rsidRPr="00B15FC7">
              <w:rPr>
                <w:b/>
                <w:sz w:val="16"/>
                <w:szCs w:val="16"/>
              </w:rPr>
              <w:t>9.53A</w:t>
            </w:r>
            <w:r w:rsidRPr="00B15FC7">
              <w:rPr>
                <w:bCs/>
                <w:sz w:val="16"/>
                <w:szCs w:val="16"/>
              </w:rPr>
              <w:t xml:space="preserve"> (Sección Especial CR/D) y </w:t>
            </w:r>
            <w:r w:rsidRPr="00B15FC7">
              <w:rPr>
                <w:b/>
                <w:sz w:val="16"/>
                <w:szCs w:val="16"/>
              </w:rPr>
              <w:t>9.41</w:t>
            </w:r>
            <w:r w:rsidRPr="00B15FC7">
              <w:rPr>
                <w:bCs/>
                <w:sz w:val="16"/>
                <w:szCs w:val="16"/>
              </w:rPr>
              <w:t>/</w:t>
            </w:r>
            <w:r w:rsidRPr="00B15FC7">
              <w:rPr>
                <w:b/>
                <w:sz w:val="16"/>
                <w:szCs w:val="16"/>
              </w:rPr>
              <w:t>9.42</w:t>
            </w:r>
            <w:r w:rsidRPr="00B15FC7">
              <w:rPr>
                <w:sz w:val="16"/>
                <w:szCs w:val="16"/>
              </w:rPr>
              <w:t xml:space="preserve"> y no se le impondrá tasa alguna separadamente</w:t>
            </w:r>
            <w:r w:rsidRPr="00B15FC7">
              <w:rPr>
                <w:bCs/>
                <w:sz w:val="16"/>
                <w:szCs w:val="16"/>
              </w:rPr>
              <w:t>.</w:t>
            </w:r>
          </w:p>
          <w:p w14:paraId="37A182D6" w14:textId="77777777" w:rsidR="005B7E53" w:rsidRPr="00B15FC7" w:rsidRDefault="005B7E53" w:rsidP="0086665F">
            <w:pPr>
              <w:pStyle w:val="Tabletext"/>
              <w:spacing w:before="40" w:after="40"/>
              <w:rPr>
                <w:bCs/>
                <w:sz w:val="16"/>
                <w:szCs w:val="16"/>
              </w:rPr>
            </w:pPr>
            <w:r w:rsidRPr="00B15FC7">
              <w:rPr>
                <w:bCs/>
                <w:sz w:val="16"/>
                <w:szCs w:val="16"/>
              </w:rPr>
              <w:t>NOTA </w:t>
            </w:r>
            <w:r w:rsidRPr="00B15FC7">
              <w:rPr>
                <w:sz w:val="16"/>
                <w:szCs w:val="16"/>
              </w:rPr>
              <w:t>–</w:t>
            </w:r>
            <w:r w:rsidRPr="00B15FC7">
              <w:rPr>
                <w:bCs/>
                <w:sz w:val="16"/>
                <w:szCs w:val="16"/>
              </w:rPr>
              <w:t> 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442" w:type="dxa"/>
            <w:tcBorders>
              <w:top w:val="single" w:sz="4" w:space="0" w:color="000000"/>
              <w:left w:val="single" w:sz="4" w:space="0" w:color="000000"/>
              <w:bottom w:val="single" w:sz="4" w:space="0" w:color="000000"/>
              <w:right w:val="nil"/>
            </w:tcBorders>
            <w:vAlign w:val="center"/>
            <w:hideMark/>
          </w:tcPr>
          <w:p w14:paraId="4A25140C" w14:textId="77777777" w:rsidR="005B7E53" w:rsidRPr="00B15FC7" w:rsidRDefault="005B7E53" w:rsidP="0086665F">
            <w:pPr>
              <w:pStyle w:val="Tabletext"/>
              <w:spacing w:before="40" w:after="40"/>
              <w:jc w:val="center"/>
              <w:rPr>
                <w:sz w:val="16"/>
                <w:szCs w:val="16"/>
              </w:rPr>
            </w:pPr>
            <w:r w:rsidRPr="00B15FC7">
              <w:rPr>
                <w:sz w:val="16"/>
                <w:szCs w:val="16"/>
              </w:rPr>
              <w:t>20 560</w:t>
            </w:r>
          </w:p>
        </w:tc>
        <w:tc>
          <w:tcPr>
            <w:tcW w:w="1315" w:type="dxa"/>
            <w:tcBorders>
              <w:top w:val="single" w:sz="4" w:space="0" w:color="000000"/>
              <w:left w:val="single" w:sz="4" w:space="0" w:color="000000"/>
              <w:bottom w:val="single" w:sz="4" w:space="0" w:color="000000"/>
              <w:right w:val="nil"/>
            </w:tcBorders>
            <w:vAlign w:val="center"/>
            <w:hideMark/>
          </w:tcPr>
          <w:p w14:paraId="0B7EF511" w14:textId="77777777" w:rsidR="005B7E53" w:rsidRPr="00B15FC7" w:rsidRDefault="005B7E53" w:rsidP="0086665F">
            <w:pPr>
              <w:pStyle w:val="Tabletext"/>
              <w:spacing w:before="40" w:after="40"/>
              <w:jc w:val="center"/>
              <w:rPr>
                <w:sz w:val="16"/>
                <w:szCs w:val="16"/>
              </w:rPr>
            </w:pPr>
            <w:r w:rsidRPr="00B15FC7">
              <w:rPr>
                <w:sz w:val="16"/>
                <w:szCs w:val="16"/>
              </w:rPr>
              <w:t>5 560</w:t>
            </w:r>
          </w:p>
        </w:tc>
        <w:tc>
          <w:tcPr>
            <w:tcW w:w="1302" w:type="dxa"/>
            <w:vMerge w:val="restart"/>
            <w:tcBorders>
              <w:top w:val="single" w:sz="4" w:space="0" w:color="000000"/>
              <w:left w:val="single" w:sz="4" w:space="0" w:color="000000"/>
              <w:bottom w:val="single" w:sz="4" w:space="0" w:color="000000"/>
              <w:right w:val="nil"/>
            </w:tcBorders>
            <w:vAlign w:val="center"/>
            <w:hideMark/>
          </w:tcPr>
          <w:p w14:paraId="208C4573" w14:textId="77777777" w:rsidR="005B7E53" w:rsidRPr="00B15FC7" w:rsidRDefault="005B7E53" w:rsidP="0086665F">
            <w:pPr>
              <w:pStyle w:val="Tabletext"/>
              <w:spacing w:before="40" w:after="40"/>
              <w:jc w:val="center"/>
              <w:rPr>
                <w:sz w:val="16"/>
                <w:szCs w:val="16"/>
              </w:rPr>
            </w:pPr>
            <w:r w:rsidRPr="00B15FC7">
              <w:rPr>
                <w:sz w:val="16"/>
                <w:szCs w:val="16"/>
              </w:rPr>
              <w:t>150</w:t>
            </w:r>
          </w:p>
        </w:tc>
        <w:tc>
          <w:tcPr>
            <w:tcW w:w="1151" w:type="dxa"/>
            <w:vMerge w:val="restart"/>
            <w:tcBorders>
              <w:top w:val="single" w:sz="4" w:space="0" w:color="000000"/>
              <w:left w:val="single" w:sz="4" w:space="0" w:color="000000"/>
              <w:bottom w:val="single" w:sz="4" w:space="0" w:color="000000"/>
              <w:right w:val="single" w:sz="4" w:space="0" w:color="000000"/>
            </w:tcBorders>
            <w:vAlign w:val="center"/>
            <w:hideMark/>
          </w:tcPr>
          <w:p w14:paraId="40511010" w14:textId="77777777" w:rsidR="005B7E53" w:rsidRPr="00B15FC7" w:rsidRDefault="005B7E53" w:rsidP="0086665F">
            <w:pPr>
              <w:pStyle w:val="Tabletext"/>
              <w:spacing w:before="40" w:after="40"/>
              <w:jc w:val="center"/>
              <w:rPr>
                <w:sz w:val="16"/>
                <w:szCs w:val="16"/>
              </w:rPr>
            </w:pPr>
            <w:r w:rsidRPr="00B15FC7">
              <w:rPr>
                <w:sz w:val="16"/>
                <w:szCs w:val="16"/>
              </w:rPr>
              <w:t>Suma de los productos del número de asignaciones de frecuencias, número de clases de estación y número de emisiones obtenidos para todos los grupos de asignación de frecuencias</w:t>
            </w:r>
          </w:p>
        </w:tc>
      </w:tr>
      <w:tr w:rsidR="005B7E53" w:rsidRPr="00B15FC7" w14:paraId="1394CCBD" w14:textId="77777777" w:rsidTr="0086665F">
        <w:trPr>
          <w:cantSplit/>
          <w:jc w:val="center"/>
        </w:trPr>
        <w:tc>
          <w:tcPr>
            <w:tcW w:w="329" w:type="dxa"/>
            <w:vMerge/>
            <w:tcBorders>
              <w:top w:val="single" w:sz="4" w:space="0" w:color="000000"/>
              <w:left w:val="single" w:sz="4" w:space="0" w:color="000000"/>
              <w:bottom w:val="single" w:sz="4" w:space="0" w:color="auto"/>
              <w:right w:val="nil"/>
            </w:tcBorders>
            <w:vAlign w:val="center"/>
            <w:hideMark/>
          </w:tcPr>
          <w:p w14:paraId="7C2603D6" w14:textId="77777777" w:rsidR="005B7E53" w:rsidRPr="00B15FC7" w:rsidRDefault="005B7E53" w:rsidP="0086665F">
            <w:pPr>
              <w:pStyle w:val="Tabletext"/>
              <w:spacing w:before="40" w:after="40"/>
              <w:rPr>
                <w:sz w:val="16"/>
                <w:szCs w:val="16"/>
              </w:rPr>
            </w:pPr>
          </w:p>
        </w:tc>
        <w:tc>
          <w:tcPr>
            <w:tcW w:w="1384" w:type="dxa"/>
            <w:vMerge/>
            <w:tcBorders>
              <w:top w:val="single" w:sz="4" w:space="0" w:color="000000"/>
              <w:left w:val="single" w:sz="4" w:space="0" w:color="000000"/>
              <w:bottom w:val="single" w:sz="4" w:space="0" w:color="auto"/>
              <w:right w:val="nil"/>
            </w:tcBorders>
            <w:vAlign w:val="center"/>
            <w:hideMark/>
          </w:tcPr>
          <w:p w14:paraId="596E1FA7"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70C1393C" w14:textId="77777777" w:rsidR="005B7E53" w:rsidRPr="00B15FC7" w:rsidRDefault="005B7E53" w:rsidP="0086665F">
            <w:pPr>
              <w:pStyle w:val="Tabletext"/>
              <w:spacing w:before="40" w:after="40"/>
              <w:rPr>
                <w:sz w:val="16"/>
                <w:szCs w:val="16"/>
              </w:rPr>
            </w:pPr>
            <w:r w:rsidRPr="00B15FC7">
              <w:rPr>
                <w:sz w:val="16"/>
                <w:szCs w:val="16"/>
              </w:rPr>
              <w:t>C2*</w:t>
            </w:r>
          </w:p>
        </w:tc>
        <w:tc>
          <w:tcPr>
            <w:tcW w:w="7123" w:type="dxa"/>
            <w:vMerge/>
            <w:tcBorders>
              <w:top w:val="single" w:sz="4" w:space="0" w:color="000000"/>
              <w:left w:val="single" w:sz="4" w:space="0" w:color="000000"/>
              <w:bottom w:val="single" w:sz="4" w:space="0" w:color="000000"/>
              <w:right w:val="nil"/>
            </w:tcBorders>
            <w:vAlign w:val="center"/>
            <w:hideMark/>
          </w:tcPr>
          <w:p w14:paraId="3FBD9E65" w14:textId="77777777" w:rsidR="005B7E53" w:rsidRPr="00B15FC7" w:rsidRDefault="005B7E53" w:rsidP="0086665F">
            <w:pPr>
              <w:pStyle w:val="Tabletext"/>
              <w:spacing w:before="40" w:after="40"/>
              <w:rPr>
                <w:bCs/>
                <w:sz w:val="16"/>
                <w:szCs w:val="16"/>
              </w:rPr>
            </w:pPr>
          </w:p>
        </w:tc>
        <w:tc>
          <w:tcPr>
            <w:tcW w:w="1442" w:type="dxa"/>
            <w:tcBorders>
              <w:top w:val="single" w:sz="4" w:space="0" w:color="000000"/>
              <w:left w:val="single" w:sz="4" w:space="0" w:color="000000"/>
              <w:bottom w:val="single" w:sz="4" w:space="0" w:color="000000"/>
              <w:right w:val="nil"/>
            </w:tcBorders>
            <w:vAlign w:val="center"/>
            <w:hideMark/>
          </w:tcPr>
          <w:p w14:paraId="68725C3C" w14:textId="77777777" w:rsidR="005B7E53" w:rsidRPr="00B15FC7" w:rsidRDefault="005B7E53" w:rsidP="0086665F">
            <w:pPr>
              <w:pStyle w:val="Tabletext"/>
              <w:spacing w:before="40" w:after="40"/>
              <w:jc w:val="center"/>
              <w:rPr>
                <w:sz w:val="16"/>
                <w:szCs w:val="16"/>
              </w:rPr>
            </w:pPr>
            <w:r w:rsidRPr="00B15FC7">
              <w:rPr>
                <w:sz w:val="16"/>
                <w:szCs w:val="16"/>
              </w:rPr>
              <w:t>24 620</w:t>
            </w:r>
          </w:p>
        </w:tc>
        <w:tc>
          <w:tcPr>
            <w:tcW w:w="1315" w:type="dxa"/>
            <w:tcBorders>
              <w:top w:val="single" w:sz="4" w:space="0" w:color="000000"/>
              <w:left w:val="single" w:sz="4" w:space="0" w:color="000000"/>
              <w:bottom w:val="single" w:sz="4" w:space="0" w:color="000000"/>
              <w:right w:val="nil"/>
            </w:tcBorders>
            <w:vAlign w:val="center"/>
            <w:hideMark/>
          </w:tcPr>
          <w:p w14:paraId="064957F2" w14:textId="77777777" w:rsidR="005B7E53" w:rsidRPr="00B15FC7" w:rsidRDefault="005B7E53" w:rsidP="0086665F">
            <w:pPr>
              <w:pStyle w:val="Tabletext"/>
              <w:spacing w:before="40" w:after="40"/>
              <w:jc w:val="center"/>
              <w:rPr>
                <w:sz w:val="16"/>
                <w:szCs w:val="16"/>
              </w:rPr>
            </w:pPr>
            <w:r w:rsidRPr="00B15FC7">
              <w:rPr>
                <w:sz w:val="16"/>
                <w:szCs w:val="16"/>
              </w:rPr>
              <w:t>9 620</w:t>
            </w:r>
          </w:p>
        </w:tc>
        <w:tc>
          <w:tcPr>
            <w:tcW w:w="1302" w:type="dxa"/>
            <w:vMerge/>
            <w:tcBorders>
              <w:top w:val="single" w:sz="4" w:space="0" w:color="000000"/>
              <w:left w:val="single" w:sz="4" w:space="0" w:color="000000"/>
              <w:bottom w:val="single" w:sz="4" w:space="0" w:color="000000"/>
              <w:right w:val="nil"/>
            </w:tcBorders>
            <w:vAlign w:val="center"/>
            <w:hideMark/>
          </w:tcPr>
          <w:p w14:paraId="46BF92D7" w14:textId="77777777" w:rsidR="005B7E53" w:rsidRPr="00B15FC7" w:rsidRDefault="005B7E53" w:rsidP="0086665F">
            <w:pPr>
              <w:pStyle w:val="Tabletext"/>
              <w:spacing w:before="40" w:after="40"/>
              <w:rPr>
                <w:sz w:val="16"/>
                <w:szCs w:val="16"/>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3E711739" w14:textId="77777777" w:rsidR="005B7E53" w:rsidRPr="00B15FC7" w:rsidRDefault="005B7E53" w:rsidP="0086665F">
            <w:pPr>
              <w:pStyle w:val="Tabletext"/>
              <w:spacing w:before="40" w:after="40"/>
              <w:rPr>
                <w:sz w:val="16"/>
                <w:szCs w:val="16"/>
              </w:rPr>
            </w:pPr>
          </w:p>
        </w:tc>
      </w:tr>
      <w:tr w:rsidR="005B7E53" w:rsidRPr="00B15FC7" w14:paraId="469B8FB5" w14:textId="77777777" w:rsidTr="0086665F">
        <w:trPr>
          <w:cantSplit/>
          <w:jc w:val="center"/>
        </w:trPr>
        <w:tc>
          <w:tcPr>
            <w:tcW w:w="329" w:type="dxa"/>
            <w:vMerge/>
            <w:tcBorders>
              <w:top w:val="single" w:sz="4" w:space="0" w:color="000000"/>
              <w:left w:val="single" w:sz="4" w:space="0" w:color="000000"/>
              <w:bottom w:val="single" w:sz="4" w:space="0" w:color="auto"/>
              <w:right w:val="nil"/>
            </w:tcBorders>
            <w:vAlign w:val="center"/>
            <w:hideMark/>
          </w:tcPr>
          <w:p w14:paraId="4E7F18C5" w14:textId="77777777" w:rsidR="005B7E53" w:rsidRPr="00B15FC7" w:rsidRDefault="005B7E53" w:rsidP="0086665F">
            <w:pPr>
              <w:pStyle w:val="Tabletext"/>
              <w:spacing w:before="40" w:after="40"/>
              <w:rPr>
                <w:sz w:val="16"/>
                <w:szCs w:val="16"/>
              </w:rPr>
            </w:pPr>
          </w:p>
        </w:tc>
        <w:tc>
          <w:tcPr>
            <w:tcW w:w="1384" w:type="dxa"/>
            <w:vMerge/>
            <w:tcBorders>
              <w:top w:val="single" w:sz="4" w:space="0" w:color="000000"/>
              <w:left w:val="single" w:sz="4" w:space="0" w:color="000000"/>
              <w:bottom w:val="single" w:sz="4" w:space="0" w:color="auto"/>
              <w:right w:val="nil"/>
            </w:tcBorders>
            <w:vAlign w:val="center"/>
            <w:hideMark/>
          </w:tcPr>
          <w:p w14:paraId="7CE61A8D"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2957D06" w14:textId="77777777" w:rsidR="005B7E53" w:rsidRPr="00B15FC7" w:rsidRDefault="005B7E53" w:rsidP="0086665F">
            <w:pPr>
              <w:pStyle w:val="Tabletext"/>
              <w:spacing w:before="40" w:after="40"/>
              <w:rPr>
                <w:sz w:val="16"/>
                <w:szCs w:val="16"/>
              </w:rPr>
            </w:pPr>
            <w:r w:rsidRPr="00B15FC7">
              <w:rPr>
                <w:sz w:val="16"/>
                <w:szCs w:val="16"/>
              </w:rPr>
              <w:t>C3*</w:t>
            </w:r>
          </w:p>
        </w:tc>
        <w:tc>
          <w:tcPr>
            <w:tcW w:w="7123" w:type="dxa"/>
            <w:vMerge/>
            <w:tcBorders>
              <w:top w:val="single" w:sz="4" w:space="0" w:color="000000"/>
              <w:left w:val="single" w:sz="4" w:space="0" w:color="000000"/>
              <w:bottom w:val="single" w:sz="4" w:space="0" w:color="000000"/>
              <w:right w:val="nil"/>
            </w:tcBorders>
            <w:vAlign w:val="center"/>
            <w:hideMark/>
          </w:tcPr>
          <w:p w14:paraId="5BEA14F0" w14:textId="77777777" w:rsidR="005B7E53" w:rsidRPr="00B15FC7" w:rsidRDefault="005B7E53" w:rsidP="0086665F">
            <w:pPr>
              <w:pStyle w:val="Tabletext"/>
              <w:spacing w:before="40" w:after="40"/>
              <w:rPr>
                <w:bCs/>
                <w:sz w:val="16"/>
                <w:szCs w:val="16"/>
              </w:rPr>
            </w:pPr>
          </w:p>
        </w:tc>
        <w:tc>
          <w:tcPr>
            <w:tcW w:w="1442" w:type="dxa"/>
            <w:tcBorders>
              <w:top w:val="single" w:sz="4" w:space="0" w:color="000000"/>
              <w:left w:val="single" w:sz="4" w:space="0" w:color="000000"/>
              <w:bottom w:val="single" w:sz="4" w:space="0" w:color="000000"/>
              <w:right w:val="nil"/>
            </w:tcBorders>
            <w:vAlign w:val="center"/>
            <w:hideMark/>
          </w:tcPr>
          <w:p w14:paraId="3E321926" w14:textId="77777777" w:rsidR="005B7E53" w:rsidRPr="00B15FC7" w:rsidRDefault="005B7E53" w:rsidP="0086665F">
            <w:pPr>
              <w:pStyle w:val="Tabletext"/>
              <w:spacing w:before="40" w:after="40"/>
              <w:jc w:val="center"/>
              <w:rPr>
                <w:sz w:val="16"/>
                <w:szCs w:val="16"/>
              </w:rPr>
            </w:pPr>
            <w:r w:rsidRPr="00B15FC7">
              <w:rPr>
                <w:sz w:val="16"/>
                <w:szCs w:val="16"/>
              </w:rPr>
              <w:t>33 467</w:t>
            </w:r>
          </w:p>
        </w:tc>
        <w:tc>
          <w:tcPr>
            <w:tcW w:w="1315" w:type="dxa"/>
            <w:tcBorders>
              <w:top w:val="single" w:sz="4" w:space="0" w:color="000000"/>
              <w:left w:val="single" w:sz="4" w:space="0" w:color="000000"/>
              <w:bottom w:val="single" w:sz="4" w:space="0" w:color="000000"/>
              <w:right w:val="nil"/>
            </w:tcBorders>
            <w:vAlign w:val="center"/>
            <w:hideMark/>
          </w:tcPr>
          <w:p w14:paraId="22FB981B" w14:textId="77777777" w:rsidR="005B7E53" w:rsidRPr="00B15FC7" w:rsidRDefault="005B7E53" w:rsidP="0086665F">
            <w:pPr>
              <w:pStyle w:val="Tabletext"/>
              <w:spacing w:before="40" w:after="40"/>
              <w:jc w:val="center"/>
              <w:rPr>
                <w:sz w:val="16"/>
                <w:szCs w:val="16"/>
              </w:rPr>
            </w:pPr>
            <w:r w:rsidRPr="00B15FC7">
              <w:rPr>
                <w:sz w:val="16"/>
                <w:szCs w:val="16"/>
              </w:rPr>
              <w:t>18 467</w:t>
            </w:r>
          </w:p>
        </w:tc>
        <w:tc>
          <w:tcPr>
            <w:tcW w:w="1302" w:type="dxa"/>
            <w:vMerge/>
            <w:tcBorders>
              <w:top w:val="single" w:sz="4" w:space="0" w:color="000000"/>
              <w:left w:val="single" w:sz="4" w:space="0" w:color="000000"/>
              <w:bottom w:val="single" w:sz="4" w:space="0" w:color="000000"/>
              <w:right w:val="nil"/>
            </w:tcBorders>
            <w:vAlign w:val="center"/>
            <w:hideMark/>
          </w:tcPr>
          <w:p w14:paraId="2906FA5C" w14:textId="77777777" w:rsidR="005B7E53" w:rsidRPr="00B15FC7" w:rsidRDefault="005B7E53" w:rsidP="0086665F">
            <w:pPr>
              <w:pStyle w:val="Tabletext"/>
              <w:spacing w:before="40" w:after="40"/>
              <w:rPr>
                <w:sz w:val="16"/>
                <w:szCs w:val="16"/>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0BBF57E4" w14:textId="77777777" w:rsidR="005B7E53" w:rsidRPr="00B15FC7" w:rsidRDefault="005B7E53" w:rsidP="0086665F">
            <w:pPr>
              <w:pStyle w:val="Tabletext"/>
              <w:spacing w:before="40" w:after="40"/>
              <w:rPr>
                <w:sz w:val="16"/>
                <w:szCs w:val="16"/>
              </w:rPr>
            </w:pPr>
          </w:p>
        </w:tc>
      </w:tr>
      <w:tr w:rsidR="005B7E53" w:rsidRPr="00B15FC7" w14:paraId="77DBCA67" w14:textId="77777777" w:rsidTr="0086665F">
        <w:trPr>
          <w:cantSplit/>
          <w:jc w:val="center"/>
        </w:trPr>
        <w:tc>
          <w:tcPr>
            <w:tcW w:w="329" w:type="dxa"/>
            <w:vMerge w:val="restart"/>
            <w:tcBorders>
              <w:top w:val="single" w:sz="4" w:space="0" w:color="auto"/>
              <w:left w:val="single" w:sz="4" w:space="0" w:color="auto"/>
              <w:right w:val="single" w:sz="4" w:space="0" w:color="auto"/>
            </w:tcBorders>
            <w:vAlign w:val="center"/>
          </w:tcPr>
          <w:p w14:paraId="58E4F057" w14:textId="77777777" w:rsidR="005B7E53" w:rsidRPr="00B15FC7" w:rsidRDefault="005B7E53" w:rsidP="0086665F">
            <w:pPr>
              <w:pStyle w:val="Tabletext"/>
              <w:spacing w:before="40" w:after="40"/>
              <w:rPr>
                <w:sz w:val="16"/>
                <w:szCs w:val="16"/>
              </w:rPr>
            </w:pPr>
            <w:r w:rsidRPr="00B15FC7">
              <w:rPr>
                <w:sz w:val="16"/>
                <w:szCs w:val="16"/>
              </w:rPr>
              <w:t>3</w:t>
            </w:r>
          </w:p>
        </w:tc>
        <w:tc>
          <w:tcPr>
            <w:tcW w:w="1384" w:type="dxa"/>
            <w:vMerge w:val="restart"/>
            <w:tcBorders>
              <w:top w:val="single" w:sz="4" w:space="0" w:color="auto"/>
              <w:left w:val="single" w:sz="4" w:space="0" w:color="auto"/>
              <w:right w:val="single" w:sz="4" w:space="0" w:color="auto"/>
            </w:tcBorders>
            <w:vAlign w:val="center"/>
          </w:tcPr>
          <w:p w14:paraId="61E50E6C" w14:textId="77777777" w:rsidR="005B7E53" w:rsidRPr="00B15FC7" w:rsidRDefault="005B7E53" w:rsidP="0086665F">
            <w:pPr>
              <w:pStyle w:val="Tabletext"/>
              <w:spacing w:before="40" w:after="40"/>
              <w:rPr>
                <w:sz w:val="16"/>
                <w:szCs w:val="16"/>
              </w:rPr>
            </w:pPr>
            <w:r w:rsidRPr="00B15FC7">
              <w:rPr>
                <w:sz w:val="16"/>
                <w:szCs w:val="16"/>
              </w:rPr>
              <w:t>Notificación (N)</w:t>
            </w:r>
            <w:r w:rsidRPr="00B15FC7">
              <w:rPr>
                <w:sz w:val="16"/>
                <w:szCs w:val="16"/>
                <w:vertAlign w:val="superscript"/>
              </w:rPr>
              <w:t>a)</w:t>
            </w: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2B6736C1" w14:textId="77777777" w:rsidR="005B7E53" w:rsidRPr="00B15FC7" w:rsidRDefault="005B7E53" w:rsidP="0086665F">
            <w:pPr>
              <w:pStyle w:val="Tabletext"/>
              <w:spacing w:before="40" w:after="40"/>
              <w:rPr>
                <w:sz w:val="16"/>
                <w:szCs w:val="16"/>
              </w:rPr>
            </w:pPr>
            <w:r w:rsidRPr="00B15FC7">
              <w:rPr>
                <w:sz w:val="16"/>
                <w:szCs w:val="16"/>
              </w:rPr>
              <w:t>N1*</w:t>
            </w:r>
            <w:r w:rsidRPr="00B15FC7">
              <w:rPr>
                <w:sz w:val="16"/>
                <w:szCs w:val="16"/>
                <w:vertAlign w:val="superscript"/>
              </w:rPr>
              <w:t>d)</w:t>
            </w:r>
          </w:p>
        </w:tc>
        <w:tc>
          <w:tcPr>
            <w:tcW w:w="7123" w:type="dxa"/>
            <w:vMerge w:val="restart"/>
            <w:tcBorders>
              <w:top w:val="single" w:sz="4" w:space="0" w:color="000000"/>
              <w:left w:val="single" w:sz="4" w:space="0" w:color="000000"/>
              <w:right w:val="nil"/>
            </w:tcBorders>
            <w:vAlign w:val="center"/>
          </w:tcPr>
          <w:p w14:paraId="31AC44B5" w14:textId="77777777" w:rsidR="005B7E53" w:rsidRPr="00B15FC7" w:rsidRDefault="005B7E53" w:rsidP="0086665F">
            <w:pPr>
              <w:pStyle w:val="Tabletext"/>
              <w:spacing w:before="40" w:after="40"/>
              <w:rPr>
                <w:sz w:val="16"/>
                <w:szCs w:val="16"/>
              </w:rPr>
            </w:pPr>
            <w:r w:rsidRPr="00B15FC7">
              <w:rPr>
                <w:sz w:val="16"/>
                <w:szCs w:val="16"/>
              </w:rPr>
              <w:t>Notificación e inscripción en el MIFR de asignaciones de frecuencias a una red de satélites sujeta a coordinación en virtud de la Sección </w:t>
            </w:r>
            <w:r w:rsidRPr="00B15FC7">
              <w:rPr>
                <w:bCs/>
                <w:sz w:val="16"/>
                <w:szCs w:val="16"/>
              </w:rPr>
              <w:t>II</w:t>
            </w:r>
            <w:r w:rsidRPr="00B15FC7">
              <w:rPr>
                <w:sz w:val="16"/>
                <w:szCs w:val="16"/>
              </w:rPr>
              <w:t xml:space="preserve"> del Artículo </w:t>
            </w:r>
            <w:r w:rsidRPr="00B15FC7">
              <w:rPr>
                <w:b/>
                <w:sz w:val="16"/>
                <w:szCs w:val="16"/>
              </w:rPr>
              <w:t>9</w:t>
            </w:r>
            <w:r w:rsidRPr="00B15FC7">
              <w:rPr>
                <w:bCs/>
                <w:sz w:val="16"/>
                <w:szCs w:val="16"/>
              </w:rPr>
              <w:t xml:space="preserve"> (a excepción de una red de satélites no geoestacionarios sujeta únicamente al número </w:t>
            </w:r>
            <w:r w:rsidRPr="00B15FC7">
              <w:rPr>
                <w:b/>
                <w:sz w:val="16"/>
                <w:szCs w:val="16"/>
              </w:rPr>
              <w:t>9.21</w:t>
            </w:r>
            <w:r w:rsidRPr="00B15FC7">
              <w:rPr>
                <w:bCs/>
                <w:sz w:val="16"/>
                <w:szCs w:val="16"/>
              </w:rPr>
              <w:t>).</w:t>
            </w:r>
          </w:p>
          <w:p w14:paraId="38D4AF3E" w14:textId="77777777" w:rsidR="005B7E53" w:rsidRPr="00B15FC7" w:rsidRDefault="005B7E53" w:rsidP="0086665F">
            <w:pPr>
              <w:pStyle w:val="Tabletext"/>
              <w:spacing w:before="40" w:after="40"/>
              <w:rPr>
                <w:sz w:val="16"/>
                <w:szCs w:val="16"/>
              </w:rPr>
            </w:pPr>
            <w:r w:rsidRPr="00B15FC7">
              <w:rPr>
                <w:sz w:val="16"/>
                <w:szCs w:val="16"/>
              </w:rPr>
              <w:t xml:space="preserve">NOTA – La notificación también incluye la aplicación de las Resoluciones </w:t>
            </w:r>
            <w:r w:rsidRPr="00B15FC7">
              <w:rPr>
                <w:b/>
                <w:sz w:val="16"/>
                <w:szCs w:val="16"/>
              </w:rPr>
              <w:t xml:space="preserve">4 </w:t>
            </w:r>
            <w:r w:rsidRPr="00B15FC7">
              <w:rPr>
                <w:bCs/>
                <w:sz w:val="16"/>
                <w:szCs w:val="16"/>
              </w:rPr>
              <w:t>y</w:t>
            </w:r>
            <w:r w:rsidRPr="00B15FC7">
              <w:rPr>
                <w:sz w:val="16"/>
                <w:szCs w:val="16"/>
              </w:rPr>
              <w:t xml:space="preserve"> </w:t>
            </w:r>
            <w:r w:rsidRPr="00B15FC7">
              <w:rPr>
                <w:b/>
                <w:bCs/>
                <w:sz w:val="16"/>
                <w:szCs w:val="16"/>
              </w:rPr>
              <w:t>49</w:t>
            </w:r>
            <w:r w:rsidRPr="00B15FC7">
              <w:rPr>
                <w:sz w:val="16"/>
                <w:szCs w:val="16"/>
              </w:rPr>
              <w:t>, los números </w:t>
            </w:r>
            <w:r w:rsidRPr="00B15FC7">
              <w:rPr>
                <w:b/>
                <w:bCs/>
                <w:sz w:val="16"/>
                <w:szCs w:val="16"/>
              </w:rPr>
              <w:t>11.32A</w:t>
            </w:r>
            <w:r w:rsidRPr="00B15FC7">
              <w:rPr>
                <w:bCs/>
                <w:sz w:val="16"/>
                <w:szCs w:val="16"/>
              </w:rPr>
              <w:t xml:space="preserve"> (véase la nota a))</w:t>
            </w:r>
            <w:r w:rsidRPr="00B15FC7">
              <w:rPr>
                <w:sz w:val="16"/>
                <w:szCs w:val="16"/>
              </w:rPr>
              <w:t xml:space="preserve">, </w:t>
            </w:r>
            <w:r w:rsidRPr="00B15FC7">
              <w:rPr>
                <w:b/>
                <w:bCs/>
                <w:sz w:val="16"/>
                <w:szCs w:val="16"/>
              </w:rPr>
              <w:t>11.41</w:t>
            </w:r>
            <w:r w:rsidRPr="00B15FC7">
              <w:rPr>
                <w:sz w:val="16"/>
                <w:szCs w:val="16"/>
              </w:rPr>
              <w:t xml:space="preserve">, </w:t>
            </w:r>
            <w:r w:rsidRPr="00B15FC7">
              <w:rPr>
                <w:b/>
                <w:bCs/>
                <w:sz w:val="16"/>
                <w:szCs w:val="16"/>
              </w:rPr>
              <w:t>11.47</w:t>
            </w:r>
            <w:r w:rsidRPr="00B15FC7">
              <w:rPr>
                <w:sz w:val="16"/>
                <w:szCs w:val="16"/>
              </w:rPr>
              <w:t xml:space="preserve">, </w:t>
            </w:r>
            <w:r w:rsidRPr="00B15FC7">
              <w:rPr>
                <w:b/>
                <w:bCs/>
                <w:sz w:val="16"/>
                <w:szCs w:val="16"/>
              </w:rPr>
              <w:t>11.49</w:t>
            </w:r>
            <w:r w:rsidRPr="00B15FC7">
              <w:rPr>
                <w:sz w:val="16"/>
                <w:szCs w:val="16"/>
              </w:rPr>
              <w:t>, la Subsección IID del Artículo </w:t>
            </w:r>
            <w:r w:rsidRPr="00B15FC7">
              <w:rPr>
                <w:b/>
                <w:bCs/>
                <w:sz w:val="16"/>
                <w:szCs w:val="16"/>
              </w:rPr>
              <w:t>9</w:t>
            </w:r>
            <w:r w:rsidRPr="00B15FC7">
              <w:rPr>
                <w:sz w:val="16"/>
                <w:szCs w:val="16"/>
              </w:rPr>
              <w:t>, las Secciones 1 y 2 del Artículo </w:t>
            </w:r>
            <w:r w:rsidRPr="00B15FC7">
              <w:rPr>
                <w:b/>
                <w:bCs/>
                <w:sz w:val="16"/>
                <w:szCs w:val="16"/>
              </w:rPr>
              <w:t xml:space="preserve">13 </w:t>
            </w:r>
            <w:r w:rsidRPr="00B15FC7">
              <w:rPr>
                <w:bCs/>
                <w:sz w:val="16"/>
                <w:szCs w:val="16"/>
              </w:rPr>
              <w:t>y el Artículo</w:t>
            </w:r>
            <w:r w:rsidRPr="00B15FC7">
              <w:rPr>
                <w:b/>
                <w:bCs/>
                <w:sz w:val="16"/>
                <w:szCs w:val="16"/>
              </w:rPr>
              <w:t> 14</w:t>
            </w:r>
            <w:r w:rsidRPr="00B15FC7">
              <w:rPr>
                <w:sz w:val="16"/>
                <w:szCs w:val="16"/>
              </w:rPr>
              <w:t xml:space="preserve"> y no se le impondrá tasa alguna separadamente.</w:t>
            </w:r>
          </w:p>
        </w:tc>
        <w:tc>
          <w:tcPr>
            <w:tcW w:w="1442" w:type="dxa"/>
            <w:tcBorders>
              <w:top w:val="single" w:sz="4" w:space="0" w:color="000000"/>
              <w:left w:val="single" w:sz="4" w:space="0" w:color="000000"/>
              <w:bottom w:val="nil"/>
              <w:right w:val="nil"/>
            </w:tcBorders>
            <w:vAlign w:val="center"/>
          </w:tcPr>
          <w:p w14:paraId="5253AF0B" w14:textId="77777777" w:rsidR="005B7E53" w:rsidRPr="00B15FC7" w:rsidRDefault="005B7E53" w:rsidP="0086665F">
            <w:pPr>
              <w:pStyle w:val="Tabletext"/>
              <w:spacing w:before="40" w:after="40"/>
              <w:jc w:val="center"/>
              <w:rPr>
                <w:sz w:val="16"/>
                <w:szCs w:val="16"/>
              </w:rPr>
            </w:pPr>
            <w:r w:rsidRPr="00B15FC7">
              <w:rPr>
                <w:sz w:val="16"/>
                <w:szCs w:val="16"/>
              </w:rPr>
              <w:t>30 910</w:t>
            </w:r>
          </w:p>
        </w:tc>
        <w:tc>
          <w:tcPr>
            <w:tcW w:w="1315" w:type="dxa"/>
            <w:tcBorders>
              <w:top w:val="single" w:sz="4" w:space="0" w:color="000000"/>
              <w:left w:val="single" w:sz="4" w:space="0" w:color="000000"/>
              <w:bottom w:val="nil"/>
              <w:right w:val="nil"/>
            </w:tcBorders>
            <w:vAlign w:val="center"/>
          </w:tcPr>
          <w:p w14:paraId="6F6F2ACF" w14:textId="77777777" w:rsidR="005B7E53" w:rsidRPr="00B15FC7" w:rsidRDefault="005B7E53" w:rsidP="0086665F">
            <w:pPr>
              <w:pStyle w:val="Tabletext"/>
              <w:spacing w:before="40" w:after="40"/>
              <w:jc w:val="center"/>
              <w:rPr>
                <w:sz w:val="16"/>
                <w:szCs w:val="16"/>
              </w:rPr>
            </w:pPr>
            <w:r w:rsidRPr="00B15FC7">
              <w:rPr>
                <w:sz w:val="16"/>
                <w:szCs w:val="16"/>
              </w:rPr>
              <w:t>15 910</w:t>
            </w:r>
          </w:p>
        </w:tc>
        <w:tc>
          <w:tcPr>
            <w:tcW w:w="1302" w:type="dxa"/>
            <w:vMerge/>
            <w:tcBorders>
              <w:top w:val="single" w:sz="4" w:space="0" w:color="000000"/>
              <w:left w:val="single" w:sz="4" w:space="0" w:color="000000"/>
              <w:bottom w:val="single" w:sz="4" w:space="0" w:color="000000"/>
              <w:right w:val="nil"/>
            </w:tcBorders>
            <w:vAlign w:val="center"/>
          </w:tcPr>
          <w:p w14:paraId="16CA4408" w14:textId="77777777" w:rsidR="005B7E53" w:rsidRPr="00B15FC7" w:rsidRDefault="005B7E53" w:rsidP="0086665F">
            <w:pPr>
              <w:pStyle w:val="Tabletext"/>
              <w:spacing w:before="40" w:after="40"/>
              <w:rPr>
                <w:sz w:val="16"/>
                <w:szCs w:val="16"/>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14:paraId="68A0B20F" w14:textId="77777777" w:rsidR="005B7E53" w:rsidRPr="00B15FC7" w:rsidRDefault="005B7E53" w:rsidP="0086665F">
            <w:pPr>
              <w:pStyle w:val="Tabletext"/>
              <w:spacing w:before="40" w:after="40"/>
              <w:rPr>
                <w:sz w:val="16"/>
                <w:szCs w:val="16"/>
              </w:rPr>
            </w:pPr>
          </w:p>
        </w:tc>
      </w:tr>
      <w:tr w:rsidR="005B7E53" w:rsidRPr="00B15FC7" w14:paraId="1FAF2DE6" w14:textId="77777777" w:rsidTr="0086665F">
        <w:trPr>
          <w:cantSplit/>
          <w:jc w:val="center"/>
        </w:trPr>
        <w:tc>
          <w:tcPr>
            <w:tcW w:w="329" w:type="dxa"/>
            <w:vMerge/>
            <w:tcBorders>
              <w:left w:val="single" w:sz="4" w:space="0" w:color="auto"/>
              <w:right w:val="single" w:sz="4" w:space="0" w:color="auto"/>
            </w:tcBorders>
            <w:vAlign w:val="center"/>
          </w:tcPr>
          <w:p w14:paraId="45F0D345" w14:textId="77777777" w:rsidR="005B7E53" w:rsidRPr="00B15FC7" w:rsidRDefault="005B7E53" w:rsidP="0086665F">
            <w:pPr>
              <w:pStyle w:val="Tabletext"/>
              <w:spacing w:before="40" w:after="40"/>
              <w:rPr>
                <w:sz w:val="16"/>
                <w:szCs w:val="16"/>
              </w:rPr>
            </w:pPr>
          </w:p>
        </w:tc>
        <w:tc>
          <w:tcPr>
            <w:tcW w:w="1384" w:type="dxa"/>
            <w:vMerge/>
            <w:tcBorders>
              <w:left w:val="single" w:sz="4" w:space="0" w:color="auto"/>
              <w:right w:val="single" w:sz="4" w:space="0" w:color="auto"/>
            </w:tcBorders>
            <w:vAlign w:val="center"/>
          </w:tcPr>
          <w:p w14:paraId="42E5CFAA"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055C7F2F" w14:textId="77777777" w:rsidR="005B7E53" w:rsidRPr="00B15FC7" w:rsidRDefault="005B7E53" w:rsidP="0086665F">
            <w:pPr>
              <w:pStyle w:val="Tabletext"/>
              <w:spacing w:before="40" w:after="40"/>
              <w:rPr>
                <w:sz w:val="16"/>
                <w:szCs w:val="16"/>
              </w:rPr>
            </w:pPr>
            <w:r w:rsidRPr="00B15FC7">
              <w:rPr>
                <w:sz w:val="16"/>
                <w:szCs w:val="16"/>
              </w:rPr>
              <w:t>N2*</w:t>
            </w:r>
          </w:p>
        </w:tc>
        <w:tc>
          <w:tcPr>
            <w:tcW w:w="7123" w:type="dxa"/>
            <w:vMerge/>
            <w:tcBorders>
              <w:left w:val="single" w:sz="4" w:space="0" w:color="000000"/>
              <w:right w:val="nil"/>
            </w:tcBorders>
            <w:vAlign w:val="center"/>
          </w:tcPr>
          <w:p w14:paraId="4887DA0F" w14:textId="77777777" w:rsidR="005B7E53" w:rsidRPr="00B15FC7" w:rsidRDefault="005B7E53" w:rsidP="0086665F">
            <w:pPr>
              <w:pStyle w:val="Tabletext"/>
              <w:spacing w:before="40" w:after="40"/>
              <w:rPr>
                <w:sz w:val="16"/>
                <w:szCs w:val="16"/>
              </w:rPr>
            </w:pPr>
          </w:p>
        </w:tc>
        <w:tc>
          <w:tcPr>
            <w:tcW w:w="1442" w:type="dxa"/>
            <w:tcBorders>
              <w:top w:val="single" w:sz="4" w:space="0" w:color="000000"/>
              <w:left w:val="single" w:sz="4" w:space="0" w:color="000000"/>
              <w:bottom w:val="nil"/>
              <w:right w:val="nil"/>
            </w:tcBorders>
            <w:vAlign w:val="center"/>
          </w:tcPr>
          <w:p w14:paraId="1EC53CD4" w14:textId="77777777" w:rsidR="005B7E53" w:rsidRPr="00B15FC7" w:rsidRDefault="005B7E53" w:rsidP="0086665F">
            <w:pPr>
              <w:pStyle w:val="Tabletext"/>
              <w:spacing w:before="40" w:after="40"/>
              <w:jc w:val="center"/>
              <w:rPr>
                <w:sz w:val="16"/>
                <w:szCs w:val="16"/>
              </w:rPr>
            </w:pPr>
            <w:r w:rsidRPr="00B15FC7">
              <w:rPr>
                <w:sz w:val="16"/>
                <w:szCs w:val="16"/>
              </w:rPr>
              <w:t>57 920</w:t>
            </w:r>
          </w:p>
        </w:tc>
        <w:tc>
          <w:tcPr>
            <w:tcW w:w="1315" w:type="dxa"/>
            <w:tcBorders>
              <w:top w:val="single" w:sz="4" w:space="0" w:color="000000"/>
              <w:left w:val="single" w:sz="4" w:space="0" w:color="000000"/>
              <w:bottom w:val="nil"/>
              <w:right w:val="nil"/>
            </w:tcBorders>
            <w:vAlign w:val="center"/>
          </w:tcPr>
          <w:p w14:paraId="0FBB6085" w14:textId="77777777" w:rsidR="005B7E53" w:rsidRPr="00B15FC7" w:rsidRDefault="005B7E53" w:rsidP="0086665F">
            <w:pPr>
              <w:pStyle w:val="Tabletext"/>
              <w:spacing w:before="40" w:after="40"/>
              <w:jc w:val="center"/>
              <w:rPr>
                <w:sz w:val="16"/>
                <w:szCs w:val="16"/>
              </w:rPr>
            </w:pPr>
            <w:r w:rsidRPr="00B15FC7">
              <w:rPr>
                <w:sz w:val="16"/>
                <w:szCs w:val="16"/>
              </w:rPr>
              <w:t>42 920</w:t>
            </w:r>
          </w:p>
        </w:tc>
        <w:tc>
          <w:tcPr>
            <w:tcW w:w="1302" w:type="dxa"/>
            <w:vMerge/>
            <w:tcBorders>
              <w:top w:val="single" w:sz="4" w:space="0" w:color="000000"/>
              <w:left w:val="single" w:sz="4" w:space="0" w:color="000000"/>
              <w:bottom w:val="single" w:sz="4" w:space="0" w:color="000000"/>
              <w:right w:val="nil"/>
            </w:tcBorders>
            <w:vAlign w:val="center"/>
          </w:tcPr>
          <w:p w14:paraId="22727714" w14:textId="77777777" w:rsidR="005B7E53" w:rsidRPr="00B15FC7" w:rsidRDefault="005B7E53" w:rsidP="0086665F">
            <w:pPr>
              <w:pStyle w:val="Tabletext"/>
              <w:spacing w:before="40" w:after="40"/>
              <w:rPr>
                <w:sz w:val="16"/>
                <w:szCs w:val="16"/>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14:paraId="1C4F0CEA" w14:textId="77777777" w:rsidR="005B7E53" w:rsidRPr="00B15FC7" w:rsidRDefault="005B7E53" w:rsidP="0086665F">
            <w:pPr>
              <w:pStyle w:val="Tabletext"/>
              <w:spacing w:before="40" w:after="40"/>
              <w:rPr>
                <w:sz w:val="16"/>
                <w:szCs w:val="16"/>
              </w:rPr>
            </w:pPr>
          </w:p>
        </w:tc>
      </w:tr>
      <w:tr w:rsidR="005B7E53" w:rsidRPr="00B15FC7" w14:paraId="12EECA53" w14:textId="77777777" w:rsidTr="0086665F">
        <w:trPr>
          <w:cantSplit/>
          <w:jc w:val="center"/>
        </w:trPr>
        <w:tc>
          <w:tcPr>
            <w:tcW w:w="329" w:type="dxa"/>
            <w:vMerge/>
            <w:tcBorders>
              <w:left w:val="single" w:sz="4" w:space="0" w:color="auto"/>
              <w:right w:val="single" w:sz="4" w:space="0" w:color="auto"/>
            </w:tcBorders>
            <w:vAlign w:val="center"/>
          </w:tcPr>
          <w:p w14:paraId="1E808F92" w14:textId="77777777" w:rsidR="005B7E53" w:rsidRPr="00B15FC7" w:rsidRDefault="005B7E53" w:rsidP="0086665F">
            <w:pPr>
              <w:pStyle w:val="Tabletext"/>
              <w:spacing w:before="40" w:after="40"/>
              <w:rPr>
                <w:sz w:val="16"/>
                <w:szCs w:val="16"/>
              </w:rPr>
            </w:pPr>
          </w:p>
        </w:tc>
        <w:tc>
          <w:tcPr>
            <w:tcW w:w="1384" w:type="dxa"/>
            <w:vMerge/>
            <w:tcBorders>
              <w:left w:val="single" w:sz="4" w:space="0" w:color="auto"/>
              <w:right w:val="single" w:sz="4" w:space="0" w:color="auto"/>
            </w:tcBorders>
            <w:vAlign w:val="center"/>
          </w:tcPr>
          <w:p w14:paraId="4510A4A9"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2A89D252" w14:textId="77777777" w:rsidR="005B7E53" w:rsidRPr="00B15FC7" w:rsidRDefault="005B7E53" w:rsidP="0086665F">
            <w:pPr>
              <w:pStyle w:val="Tabletext"/>
              <w:spacing w:before="40" w:after="40"/>
              <w:rPr>
                <w:sz w:val="16"/>
                <w:szCs w:val="16"/>
              </w:rPr>
            </w:pPr>
            <w:r w:rsidRPr="00B15FC7">
              <w:rPr>
                <w:sz w:val="16"/>
                <w:szCs w:val="16"/>
              </w:rPr>
              <w:t>N3</w:t>
            </w:r>
          </w:p>
        </w:tc>
        <w:tc>
          <w:tcPr>
            <w:tcW w:w="7123" w:type="dxa"/>
            <w:vMerge/>
            <w:tcBorders>
              <w:left w:val="single" w:sz="4" w:space="0" w:color="000000"/>
              <w:bottom w:val="single" w:sz="4" w:space="0" w:color="000000"/>
              <w:right w:val="nil"/>
            </w:tcBorders>
            <w:vAlign w:val="center"/>
          </w:tcPr>
          <w:p w14:paraId="04564EFD" w14:textId="77777777" w:rsidR="005B7E53" w:rsidRPr="00B15FC7" w:rsidRDefault="005B7E53" w:rsidP="0086665F">
            <w:pPr>
              <w:pStyle w:val="Tabletext"/>
              <w:spacing w:before="40" w:after="40"/>
              <w:rPr>
                <w:sz w:val="16"/>
                <w:szCs w:val="16"/>
              </w:rPr>
            </w:pPr>
          </w:p>
        </w:tc>
        <w:tc>
          <w:tcPr>
            <w:tcW w:w="1442" w:type="dxa"/>
            <w:tcBorders>
              <w:top w:val="single" w:sz="4" w:space="0" w:color="000000"/>
              <w:left w:val="single" w:sz="4" w:space="0" w:color="000000"/>
              <w:bottom w:val="nil"/>
              <w:right w:val="nil"/>
            </w:tcBorders>
            <w:vAlign w:val="center"/>
          </w:tcPr>
          <w:p w14:paraId="7E20E00D" w14:textId="77777777" w:rsidR="005B7E53" w:rsidRPr="00B15FC7" w:rsidRDefault="005B7E53" w:rsidP="0086665F">
            <w:pPr>
              <w:pStyle w:val="Tabletext"/>
              <w:spacing w:before="40" w:after="40"/>
              <w:jc w:val="center"/>
              <w:rPr>
                <w:sz w:val="16"/>
                <w:szCs w:val="16"/>
              </w:rPr>
            </w:pPr>
            <w:r w:rsidRPr="00B15FC7">
              <w:rPr>
                <w:sz w:val="16"/>
                <w:szCs w:val="16"/>
              </w:rPr>
              <w:t>57 920</w:t>
            </w:r>
          </w:p>
        </w:tc>
        <w:tc>
          <w:tcPr>
            <w:tcW w:w="1315" w:type="dxa"/>
            <w:tcBorders>
              <w:top w:val="single" w:sz="4" w:space="0" w:color="000000"/>
              <w:left w:val="single" w:sz="4" w:space="0" w:color="000000"/>
              <w:bottom w:val="nil"/>
              <w:right w:val="nil"/>
            </w:tcBorders>
            <w:vAlign w:val="center"/>
          </w:tcPr>
          <w:p w14:paraId="4E405001" w14:textId="77777777" w:rsidR="005B7E53" w:rsidRPr="00B15FC7" w:rsidRDefault="005B7E53" w:rsidP="0086665F">
            <w:pPr>
              <w:pStyle w:val="Tabletext"/>
              <w:spacing w:before="40" w:after="40"/>
              <w:jc w:val="center"/>
              <w:rPr>
                <w:sz w:val="16"/>
                <w:szCs w:val="16"/>
              </w:rPr>
            </w:pPr>
            <w:r w:rsidRPr="00B15FC7">
              <w:rPr>
                <w:sz w:val="16"/>
                <w:szCs w:val="16"/>
              </w:rPr>
              <w:t>42 920</w:t>
            </w:r>
          </w:p>
        </w:tc>
        <w:tc>
          <w:tcPr>
            <w:tcW w:w="1302" w:type="dxa"/>
            <w:vMerge/>
            <w:tcBorders>
              <w:top w:val="single" w:sz="4" w:space="0" w:color="000000"/>
              <w:left w:val="single" w:sz="4" w:space="0" w:color="000000"/>
              <w:bottom w:val="single" w:sz="4" w:space="0" w:color="000000"/>
              <w:right w:val="nil"/>
            </w:tcBorders>
            <w:vAlign w:val="center"/>
          </w:tcPr>
          <w:p w14:paraId="144A04D1" w14:textId="77777777" w:rsidR="005B7E53" w:rsidRPr="00B15FC7" w:rsidRDefault="005B7E53" w:rsidP="0086665F">
            <w:pPr>
              <w:pStyle w:val="Tabletext"/>
              <w:spacing w:before="40" w:after="40"/>
              <w:rPr>
                <w:sz w:val="16"/>
                <w:szCs w:val="16"/>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14:paraId="76A78038" w14:textId="77777777" w:rsidR="005B7E53" w:rsidRPr="00B15FC7" w:rsidRDefault="005B7E53" w:rsidP="0086665F">
            <w:pPr>
              <w:pStyle w:val="Tabletext"/>
              <w:spacing w:before="40" w:after="40"/>
              <w:rPr>
                <w:sz w:val="16"/>
                <w:szCs w:val="16"/>
              </w:rPr>
            </w:pPr>
          </w:p>
        </w:tc>
      </w:tr>
      <w:tr w:rsidR="005B7E53" w:rsidRPr="00B15FC7" w14:paraId="2DB675F6" w14:textId="77777777" w:rsidTr="0086665F">
        <w:trPr>
          <w:cantSplit/>
          <w:jc w:val="center"/>
        </w:trPr>
        <w:tc>
          <w:tcPr>
            <w:tcW w:w="329" w:type="dxa"/>
            <w:vMerge/>
            <w:tcBorders>
              <w:left w:val="single" w:sz="4" w:space="0" w:color="auto"/>
              <w:bottom w:val="single" w:sz="4" w:space="0" w:color="auto"/>
              <w:right w:val="single" w:sz="4" w:space="0" w:color="auto"/>
            </w:tcBorders>
            <w:vAlign w:val="center"/>
          </w:tcPr>
          <w:p w14:paraId="6DD48DDE" w14:textId="77777777" w:rsidR="005B7E53" w:rsidRPr="00B15FC7" w:rsidRDefault="005B7E53" w:rsidP="0086665F">
            <w:pPr>
              <w:pStyle w:val="Tabletext"/>
              <w:spacing w:before="40" w:after="40"/>
              <w:rPr>
                <w:sz w:val="16"/>
                <w:szCs w:val="16"/>
              </w:rPr>
            </w:pPr>
          </w:p>
        </w:tc>
        <w:tc>
          <w:tcPr>
            <w:tcW w:w="1384" w:type="dxa"/>
            <w:vMerge/>
            <w:tcBorders>
              <w:left w:val="single" w:sz="4" w:space="0" w:color="auto"/>
              <w:bottom w:val="single" w:sz="4" w:space="0" w:color="auto"/>
              <w:right w:val="single" w:sz="4" w:space="0" w:color="auto"/>
            </w:tcBorders>
            <w:vAlign w:val="center"/>
          </w:tcPr>
          <w:p w14:paraId="0E5374F0"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32B9D542" w14:textId="77777777" w:rsidR="005B7E53" w:rsidRPr="00B15FC7" w:rsidRDefault="005B7E53" w:rsidP="0086665F">
            <w:pPr>
              <w:pStyle w:val="Tabletext"/>
              <w:spacing w:before="40" w:after="40"/>
              <w:rPr>
                <w:sz w:val="16"/>
                <w:szCs w:val="16"/>
              </w:rPr>
            </w:pPr>
            <w:r w:rsidRPr="00B15FC7">
              <w:rPr>
                <w:sz w:val="16"/>
                <w:szCs w:val="16"/>
              </w:rPr>
              <w:t>N4</w:t>
            </w:r>
          </w:p>
        </w:tc>
        <w:tc>
          <w:tcPr>
            <w:tcW w:w="7123" w:type="dxa"/>
            <w:tcBorders>
              <w:left w:val="single" w:sz="4" w:space="0" w:color="000000"/>
              <w:bottom w:val="single" w:sz="4" w:space="0" w:color="000000"/>
              <w:right w:val="nil"/>
            </w:tcBorders>
            <w:vAlign w:val="center"/>
          </w:tcPr>
          <w:p w14:paraId="1E37160D" w14:textId="77777777" w:rsidR="005B7E53" w:rsidRPr="00B15FC7" w:rsidRDefault="005B7E53" w:rsidP="0086665F">
            <w:pPr>
              <w:pStyle w:val="Tabletext"/>
              <w:spacing w:before="40" w:after="40"/>
              <w:rPr>
                <w:sz w:val="16"/>
                <w:szCs w:val="16"/>
              </w:rPr>
            </w:pPr>
            <w:r w:rsidRPr="00B15FC7">
              <w:rPr>
                <w:sz w:val="16"/>
                <w:szCs w:val="16"/>
              </w:rPr>
              <w:t>Notificación e inscripción en el MIFR de asignaciones de frecuencias de una red de satélites no sujeta a coordinación conforme a la Sección </w:t>
            </w:r>
            <w:r w:rsidRPr="00B15FC7">
              <w:rPr>
                <w:bCs/>
                <w:sz w:val="16"/>
                <w:szCs w:val="16"/>
              </w:rPr>
              <w:t>II</w:t>
            </w:r>
            <w:r w:rsidRPr="00B15FC7">
              <w:rPr>
                <w:sz w:val="16"/>
                <w:szCs w:val="16"/>
              </w:rPr>
              <w:t xml:space="preserve"> del Artículo </w:t>
            </w:r>
            <w:r w:rsidRPr="00B15FC7">
              <w:rPr>
                <w:b/>
                <w:sz w:val="16"/>
                <w:szCs w:val="16"/>
              </w:rPr>
              <w:t>9</w:t>
            </w:r>
            <w:r w:rsidRPr="00B15FC7">
              <w:rPr>
                <w:bCs/>
                <w:sz w:val="16"/>
                <w:szCs w:val="16"/>
              </w:rPr>
              <w:t>,</w:t>
            </w:r>
            <w:r w:rsidRPr="00B15FC7">
              <w:rPr>
                <w:b/>
                <w:sz w:val="16"/>
                <w:szCs w:val="16"/>
              </w:rPr>
              <w:t xml:space="preserve"> </w:t>
            </w:r>
            <w:r w:rsidRPr="00B15FC7">
              <w:rPr>
                <w:bCs/>
                <w:sz w:val="16"/>
                <w:szCs w:val="16"/>
              </w:rPr>
              <w:t>o a una red de satélites no geoestacionarios sujeta únicamente al número </w:t>
            </w:r>
            <w:r w:rsidRPr="00B15FC7">
              <w:rPr>
                <w:b/>
                <w:sz w:val="16"/>
                <w:szCs w:val="16"/>
              </w:rPr>
              <w:t>9.21</w:t>
            </w:r>
            <w:r w:rsidRPr="00B15FC7">
              <w:rPr>
                <w:bCs/>
                <w:sz w:val="16"/>
                <w:szCs w:val="16"/>
              </w:rPr>
              <w:t>.</w:t>
            </w:r>
          </w:p>
        </w:tc>
        <w:tc>
          <w:tcPr>
            <w:tcW w:w="2757" w:type="dxa"/>
            <w:gridSpan w:val="2"/>
            <w:tcBorders>
              <w:top w:val="single" w:sz="4" w:space="0" w:color="000000"/>
              <w:left w:val="single" w:sz="4" w:space="0" w:color="000000"/>
              <w:bottom w:val="nil"/>
              <w:right w:val="nil"/>
            </w:tcBorders>
            <w:vAlign w:val="center"/>
          </w:tcPr>
          <w:p w14:paraId="4255B8BB" w14:textId="77777777" w:rsidR="005B7E53" w:rsidRPr="00B15FC7" w:rsidRDefault="005B7E53" w:rsidP="0086665F">
            <w:pPr>
              <w:pStyle w:val="Tabletext"/>
              <w:spacing w:before="40" w:after="40"/>
              <w:jc w:val="center"/>
              <w:rPr>
                <w:sz w:val="16"/>
                <w:szCs w:val="16"/>
              </w:rPr>
            </w:pPr>
            <w:r w:rsidRPr="00B15FC7">
              <w:rPr>
                <w:sz w:val="16"/>
                <w:szCs w:val="16"/>
              </w:rPr>
              <w:t>7 030</w:t>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14:paraId="6D9CA6C3" w14:textId="77777777" w:rsidR="005B7E53" w:rsidRPr="00B15FC7" w:rsidRDefault="005B7E53" w:rsidP="0086665F">
            <w:pPr>
              <w:pStyle w:val="Tabletext"/>
              <w:spacing w:before="40" w:after="40"/>
              <w:jc w:val="center"/>
              <w:rPr>
                <w:sz w:val="16"/>
                <w:szCs w:val="16"/>
              </w:rPr>
            </w:pPr>
            <w:r w:rsidRPr="00B15FC7">
              <w:rPr>
                <w:sz w:val="16"/>
                <w:szCs w:val="16"/>
              </w:rPr>
              <w:t>No aplicable</w:t>
            </w:r>
          </w:p>
        </w:tc>
      </w:tr>
      <w:tr w:rsidR="005B7E53" w:rsidRPr="00B15FC7" w14:paraId="573743DD" w14:textId="77777777" w:rsidTr="0086665F">
        <w:trPr>
          <w:cantSplit/>
          <w:jc w:val="center"/>
        </w:trPr>
        <w:tc>
          <w:tcPr>
            <w:tcW w:w="329" w:type="dxa"/>
            <w:vMerge w:val="restart"/>
            <w:tcBorders>
              <w:top w:val="single" w:sz="4" w:space="0" w:color="000000"/>
              <w:left w:val="single" w:sz="4" w:space="0" w:color="000000"/>
              <w:bottom w:val="single" w:sz="4" w:space="0" w:color="000000"/>
              <w:right w:val="nil"/>
            </w:tcBorders>
            <w:vAlign w:val="center"/>
            <w:hideMark/>
          </w:tcPr>
          <w:p w14:paraId="4BD8203B" w14:textId="77777777" w:rsidR="005B7E53" w:rsidRPr="00B15FC7" w:rsidRDefault="005B7E53" w:rsidP="0086665F">
            <w:pPr>
              <w:pStyle w:val="Tabletext"/>
              <w:spacing w:before="40" w:after="40"/>
              <w:rPr>
                <w:sz w:val="16"/>
                <w:szCs w:val="16"/>
              </w:rPr>
            </w:pPr>
            <w:r w:rsidRPr="00B15FC7">
              <w:rPr>
                <w:sz w:val="16"/>
                <w:szCs w:val="16"/>
              </w:rPr>
              <w:lastRenderedPageBreak/>
              <w:t>4</w:t>
            </w:r>
          </w:p>
        </w:tc>
        <w:tc>
          <w:tcPr>
            <w:tcW w:w="1384" w:type="dxa"/>
            <w:vMerge w:val="restart"/>
            <w:tcBorders>
              <w:top w:val="single" w:sz="4" w:space="0" w:color="000000"/>
              <w:left w:val="single" w:sz="4" w:space="0" w:color="000000"/>
              <w:bottom w:val="single" w:sz="4" w:space="0" w:color="000000"/>
              <w:right w:val="nil"/>
            </w:tcBorders>
            <w:vAlign w:val="center"/>
            <w:hideMark/>
          </w:tcPr>
          <w:p w14:paraId="3D59444F" w14:textId="77777777" w:rsidR="005B7E53" w:rsidRPr="00B15FC7" w:rsidRDefault="005B7E53" w:rsidP="0086665F">
            <w:pPr>
              <w:pStyle w:val="Tabletext"/>
              <w:spacing w:before="40" w:after="40"/>
              <w:rPr>
                <w:sz w:val="16"/>
                <w:szCs w:val="16"/>
              </w:rPr>
            </w:pPr>
            <w:r w:rsidRPr="00B15FC7">
              <w:rPr>
                <w:sz w:val="16"/>
                <w:szCs w:val="16"/>
              </w:rPr>
              <w:t>Planes (P)</w:t>
            </w: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49E727A" w14:textId="77777777" w:rsidR="005B7E53" w:rsidRPr="00B15FC7" w:rsidRDefault="005B7E53" w:rsidP="0086665F">
            <w:pPr>
              <w:pStyle w:val="Tabletext"/>
              <w:spacing w:before="40" w:after="40"/>
              <w:rPr>
                <w:sz w:val="16"/>
                <w:szCs w:val="16"/>
              </w:rPr>
            </w:pPr>
            <w:r w:rsidRPr="00B15FC7">
              <w:rPr>
                <w:sz w:val="16"/>
                <w:szCs w:val="16"/>
              </w:rPr>
              <w:t>P1</w:t>
            </w:r>
          </w:p>
        </w:tc>
        <w:tc>
          <w:tcPr>
            <w:tcW w:w="7123" w:type="dxa"/>
            <w:tcBorders>
              <w:top w:val="single" w:sz="4" w:space="0" w:color="000000"/>
              <w:left w:val="single" w:sz="4" w:space="0" w:color="000000"/>
              <w:bottom w:val="single" w:sz="4" w:space="0" w:color="000000"/>
              <w:right w:val="nil"/>
            </w:tcBorders>
            <w:hideMark/>
          </w:tcPr>
          <w:p w14:paraId="6D9A7BBF" w14:textId="566CCAE6" w:rsidR="005B7E53" w:rsidRPr="00B15FC7" w:rsidRDefault="005B7E53" w:rsidP="0086665F">
            <w:pPr>
              <w:pStyle w:val="Tabletext"/>
              <w:spacing w:before="40" w:after="40"/>
              <w:rPr>
                <w:bCs/>
                <w:sz w:val="16"/>
                <w:szCs w:val="16"/>
              </w:rPr>
            </w:pPr>
            <w:r w:rsidRPr="00B15FC7">
              <w:rPr>
                <w:sz w:val="16"/>
                <w:szCs w:val="16"/>
              </w:rPr>
              <w:t>Parte A de la Sección Especial para una propuesta de asignación nueva o modificada en la Lista de las Regiones 1 y 3 o en la Lista de enlaces de conexión para usos adicionales con arreglo al punto 4.1.5 o propuesta de modificación de los Planes de la Región 2 conforme al punto 4.2.8 de los Apéndices </w:t>
            </w:r>
            <w:r w:rsidRPr="00B15FC7">
              <w:rPr>
                <w:b/>
                <w:bCs/>
                <w:sz w:val="16"/>
                <w:szCs w:val="16"/>
              </w:rPr>
              <w:t>30</w:t>
            </w:r>
            <w:r w:rsidRPr="00B15FC7">
              <w:rPr>
                <w:sz w:val="16"/>
                <w:szCs w:val="16"/>
              </w:rPr>
              <w:t xml:space="preserve"> </w:t>
            </w:r>
            <w:r w:rsidR="008239CD" w:rsidRPr="00B15FC7">
              <w:rPr>
                <w:sz w:val="16"/>
                <w:szCs w:val="16"/>
              </w:rPr>
              <w:t>o</w:t>
            </w:r>
            <w:r w:rsidRPr="00B15FC7">
              <w:rPr>
                <w:sz w:val="16"/>
                <w:szCs w:val="16"/>
              </w:rPr>
              <w:t> </w:t>
            </w:r>
            <w:r w:rsidRPr="00B15FC7">
              <w:rPr>
                <w:b/>
                <w:bCs/>
                <w:sz w:val="16"/>
                <w:szCs w:val="16"/>
              </w:rPr>
              <w:t>30A</w:t>
            </w:r>
            <w:r w:rsidRPr="00B15FC7">
              <w:rPr>
                <w:sz w:val="16"/>
                <w:szCs w:val="16"/>
              </w:rPr>
              <w:t>; Parte B de la Sección Especial en relación con la propuesta de asignación nueva o modificada en la Lista de las Regiones 1 y 3 o en la Lista de enlaces de conexión para usos adicionales con arreglo al punto 4.1.15 (excepto la Parte B de la Sección Especial relativa a la aplicación de la Resolución </w:t>
            </w:r>
            <w:r w:rsidRPr="00B15FC7">
              <w:rPr>
                <w:b/>
                <w:bCs/>
                <w:sz w:val="16"/>
                <w:szCs w:val="16"/>
              </w:rPr>
              <w:t>548</w:t>
            </w:r>
            <w:r w:rsidRPr="00B15FC7">
              <w:rPr>
                <w:sz w:val="16"/>
                <w:szCs w:val="16"/>
              </w:rPr>
              <w:t xml:space="preserve"> </w:t>
            </w:r>
            <w:r w:rsidRPr="00B15FC7">
              <w:rPr>
                <w:b/>
                <w:bCs/>
                <w:sz w:val="16"/>
                <w:szCs w:val="16"/>
              </w:rPr>
              <w:t>(Rev.CMR</w:t>
            </w:r>
            <w:r w:rsidRPr="00B15FC7">
              <w:rPr>
                <w:b/>
                <w:bCs/>
                <w:sz w:val="16"/>
                <w:szCs w:val="16"/>
              </w:rPr>
              <w:noBreakHyphen/>
              <w:t>12)</w:t>
            </w:r>
            <w:r w:rsidRPr="00B15FC7">
              <w:rPr>
                <w:sz w:val="16"/>
                <w:szCs w:val="16"/>
              </w:rPr>
              <w:t>) o propuesta de modificación en los Planes para la Región 2 de acuerdo con el punto 4.2.19 de los Apéndices </w:t>
            </w:r>
            <w:r w:rsidRPr="00B15FC7">
              <w:rPr>
                <w:b/>
                <w:bCs/>
                <w:sz w:val="16"/>
                <w:szCs w:val="16"/>
              </w:rPr>
              <w:t>30</w:t>
            </w:r>
            <w:r w:rsidRPr="00B15FC7">
              <w:rPr>
                <w:sz w:val="16"/>
                <w:szCs w:val="16"/>
              </w:rPr>
              <w:t xml:space="preserve"> </w:t>
            </w:r>
            <w:r w:rsidR="008239CD" w:rsidRPr="00B15FC7">
              <w:rPr>
                <w:sz w:val="16"/>
                <w:szCs w:val="16"/>
              </w:rPr>
              <w:t>o</w:t>
            </w:r>
            <w:r w:rsidRPr="00B15FC7">
              <w:rPr>
                <w:sz w:val="16"/>
                <w:szCs w:val="16"/>
              </w:rPr>
              <w:t> </w:t>
            </w:r>
            <w:r w:rsidRPr="00B15FC7">
              <w:rPr>
                <w:b/>
                <w:bCs/>
                <w:sz w:val="16"/>
                <w:szCs w:val="16"/>
              </w:rPr>
              <w:t>30A</w:t>
            </w:r>
            <w:r w:rsidRPr="00B15FC7">
              <w:rPr>
                <w:sz w:val="16"/>
                <w:szCs w:val="16"/>
                <w:vertAlign w:val="superscript"/>
              </w:rPr>
              <w:t>b)</w:t>
            </w:r>
            <w:r w:rsidRPr="00B15FC7">
              <w:rPr>
                <w:bCs/>
                <w:sz w:val="16"/>
                <w:szCs w:val="16"/>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5A8A4EE3" w14:textId="77777777" w:rsidR="005B7E53" w:rsidRPr="00B15FC7" w:rsidRDefault="005B7E53" w:rsidP="0086665F">
            <w:pPr>
              <w:pStyle w:val="Tabletext"/>
              <w:spacing w:before="40" w:after="40"/>
              <w:jc w:val="center"/>
              <w:rPr>
                <w:sz w:val="16"/>
                <w:szCs w:val="16"/>
              </w:rPr>
            </w:pPr>
            <w:r w:rsidRPr="00B15FC7">
              <w:rPr>
                <w:sz w:val="16"/>
                <w:szCs w:val="16"/>
              </w:rPr>
              <w:t>28 870</w:t>
            </w:r>
          </w:p>
        </w:tc>
        <w:tc>
          <w:tcPr>
            <w:tcW w:w="245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014817" w14:textId="77777777" w:rsidR="005B7E53" w:rsidRPr="00B15FC7" w:rsidRDefault="005B7E53" w:rsidP="0086665F">
            <w:pPr>
              <w:pStyle w:val="Tabletext"/>
              <w:spacing w:before="40" w:after="40"/>
              <w:jc w:val="center"/>
              <w:rPr>
                <w:sz w:val="16"/>
                <w:szCs w:val="16"/>
              </w:rPr>
            </w:pPr>
            <w:r w:rsidRPr="00B15FC7">
              <w:rPr>
                <w:sz w:val="16"/>
                <w:szCs w:val="16"/>
              </w:rPr>
              <w:t>No aplicable</w:t>
            </w:r>
          </w:p>
        </w:tc>
      </w:tr>
      <w:tr w:rsidR="005B7E53" w:rsidRPr="00B15FC7" w14:paraId="1AD9741C" w14:textId="77777777" w:rsidTr="0086665F">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7E33673F" w14:textId="77777777" w:rsidR="005B7E53" w:rsidRPr="00B15FC7" w:rsidRDefault="005B7E53" w:rsidP="0086665F">
            <w:pPr>
              <w:pStyle w:val="Tabletext"/>
              <w:spacing w:before="40" w:after="40"/>
              <w:rPr>
                <w:sz w:val="16"/>
                <w:szCs w:val="16"/>
              </w:rPr>
            </w:pPr>
          </w:p>
        </w:tc>
        <w:tc>
          <w:tcPr>
            <w:tcW w:w="1384" w:type="dxa"/>
            <w:vMerge/>
            <w:tcBorders>
              <w:top w:val="single" w:sz="4" w:space="0" w:color="000000"/>
              <w:left w:val="single" w:sz="4" w:space="0" w:color="000000"/>
              <w:bottom w:val="single" w:sz="4" w:space="0" w:color="000000"/>
              <w:right w:val="nil"/>
            </w:tcBorders>
            <w:vAlign w:val="center"/>
            <w:hideMark/>
          </w:tcPr>
          <w:p w14:paraId="150CE6A8"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AF97DCB" w14:textId="77777777" w:rsidR="005B7E53" w:rsidRPr="00B15FC7" w:rsidRDefault="005B7E53" w:rsidP="0086665F">
            <w:pPr>
              <w:pStyle w:val="Tabletext"/>
              <w:spacing w:before="40" w:after="40"/>
              <w:rPr>
                <w:sz w:val="16"/>
                <w:szCs w:val="16"/>
              </w:rPr>
            </w:pPr>
            <w:r w:rsidRPr="00B15FC7">
              <w:rPr>
                <w:sz w:val="16"/>
                <w:szCs w:val="16"/>
              </w:rPr>
              <w:t>P2</w:t>
            </w:r>
            <w:r w:rsidRPr="00B15FC7">
              <w:rPr>
                <w:sz w:val="16"/>
                <w:szCs w:val="16"/>
                <w:vertAlign w:val="superscript"/>
              </w:rPr>
              <w:t>d)</w:t>
            </w:r>
          </w:p>
        </w:tc>
        <w:tc>
          <w:tcPr>
            <w:tcW w:w="7123" w:type="dxa"/>
            <w:tcBorders>
              <w:top w:val="single" w:sz="4" w:space="0" w:color="000000"/>
              <w:left w:val="single" w:sz="4" w:space="0" w:color="000000"/>
              <w:bottom w:val="single" w:sz="4" w:space="0" w:color="000000"/>
              <w:right w:val="nil"/>
            </w:tcBorders>
            <w:hideMark/>
          </w:tcPr>
          <w:p w14:paraId="405BA884" w14:textId="5DDA251D" w:rsidR="005B7E53" w:rsidRPr="00B15FC7" w:rsidRDefault="005B7E53" w:rsidP="0086665F">
            <w:pPr>
              <w:pStyle w:val="Tabletext"/>
              <w:spacing w:before="40" w:after="40"/>
              <w:rPr>
                <w:sz w:val="16"/>
                <w:szCs w:val="16"/>
                <w:vertAlign w:val="superscript"/>
              </w:rPr>
            </w:pPr>
            <w:r w:rsidRPr="00B15FC7">
              <w:rPr>
                <w:sz w:val="16"/>
                <w:szCs w:val="16"/>
              </w:rPr>
              <w:t>Notificación e inscripción en el MIFR de asignaciones de frecuencias a estaciones espaciales del servicio de radiodifusión por satélite y sus correspondientes enlaces de conexión en las Regiones 1 y 3 o en la Región 2 en virtud del Artículo </w:t>
            </w:r>
            <w:r w:rsidRPr="00B15FC7">
              <w:rPr>
                <w:bCs/>
                <w:sz w:val="16"/>
                <w:szCs w:val="16"/>
              </w:rPr>
              <w:t>5</w:t>
            </w:r>
            <w:r w:rsidRPr="00B15FC7">
              <w:rPr>
                <w:sz w:val="16"/>
                <w:szCs w:val="16"/>
              </w:rPr>
              <w:t xml:space="preserve"> de los Apéndices </w:t>
            </w:r>
            <w:r w:rsidRPr="00B15FC7">
              <w:rPr>
                <w:b/>
                <w:sz w:val="16"/>
                <w:szCs w:val="16"/>
              </w:rPr>
              <w:t>30</w:t>
            </w:r>
            <w:r w:rsidRPr="00B15FC7">
              <w:rPr>
                <w:sz w:val="16"/>
                <w:szCs w:val="16"/>
              </w:rPr>
              <w:t xml:space="preserve"> </w:t>
            </w:r>
            <w:r w:rsidR="008239CD" w:rsidRPr="00B15FC7">
              <w:rPr>
                <w:sz w:val="16"/>
                <w:szCs w:val="16"/>
              </w:rPr>
              <w:t>o</w:t>
            </w:r>
            <w:r w:rsidRPr="00B15FC7">
              <w:rPr>
                <w:sz w:val="16"/>
                <w:szCs w:val="16"/>
              </w:rPr>
              <w:t xml:space="preserve"> </w:t>
            </w:r>
            <w:r w:rsidRPr="00B15FC7">
              <w:rPr>
                <w:b/>
                <w:sz w:val="16"/>
                <w:szCs w:val="16"/>
              </w:rPr>
              <w:t>30A</w:t>
            </w:r>
            <w:r w:rsidRPr="00B15FC7">
              <w:rPr>
                <w:sz w:val="16"/>
                <w:szCs w:val="16"/>
                <w:vertAlign w:val="superscript"/>
              </w:rPr>
              <w:t>b)</w:t>
            </w:r>
            <w:r w:rsidRPr="00B15FC7">
              <w:rPr>
                <w:sz w:val="16"/>
                <w:szCs w:val="16"/>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175CACA4" w14:textId="77777777" w:rsidR="005B7E53" w:rsidRPr="00B15FC7" w:rsidRDefault="005B7E53" w:rsidP="0086665F">
            <w:pPr>
              <w:pStyle w:val="Tabletext"/>
              <w:spacing w:before="40" w:after="40"/>
              <w:jc w:val="center"/>
              <w:rPr>
                <w:sz w:val="16"/>
                <w:szCs w:val="16"/>
              </w:rPr>
            </w:pPr>
            <w:r w:rsidRPr="00B15FC7">
              <w:rPr>
                <w:sz w:val="16"/>
                <w:szCs w:val="16"/>
              </w:rPr>
              <w:t>11 550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5957DD81" w14:textId="77777777" w:rsidR="005B7E53" w:rsidRPr="00B15FC7" w:rsidRDefault="005B7E53" w:rsidP="0086665F">
            <w:pPr>
              <w:pStyle w:val="Tabletext"/>
              <w:spacing w:before="40" w:after="40"/>
              <w:rPr>
                <w:sz w:val="16"/>
                <w:szCs w:val="16"/>
              </w:rPr>
            </w:pPr>
          </w:p>
        </w:tc>
      </w:tr>
      <w:tr w:rsidR="005B7E53" w:rsidRPr="00B15FC7" w14:paraId="44CCDE9B" w14:textId="77777777" w:rsidTr="0086665F">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23480C46" w14:textId="77777777" w:rsidR="005B7E53" w:rsidRPr="00B15FC7" w:rsidRDefault="005B7E53" w:rsidP="0086665F">
            <w:pPr>
              <w:pStyle w:val="Tabletext"/>
              <w:spacing w:before="40" w:after="40"/>
              <w:rPr>
                <w:sz w:val="16"/>
                <w:szCs w:val="16"/>
              </w:rPr>
            </w:pPr>
          </w:p>
        </w:tc>
        <w:tc>
          <w:tcPr>
            <w:tcW w:w="1384" w:type="dxa"/>
            <w:vMerge/>
            <w:tcBorders>
              <w:top w:val="single" w:sz="4" w:space="0" w:color="000000"/>
              <w:left w:val="single" w:sz="4" w:space="0" w:color="000000"/>
              <w:bottom w:val="single" w:sz="4" w:space="0" w:color="000000"/>
              <w:right w:val="nil"/>
            </w:tcBorders>
            <w:vAlign w:val="center"/>
            <w:hideMark/>
          </w:tcPr>
          <w:p w14:paraId="1E0B9274"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CFE2862" w14:textId="77777777" w:rsidR="005B7E53" w:rsidRPr="00B15FC7" w:rsidRDefault="005B7E53" w:rsidP="0086665F">
            <w:pPr>
              <w:pStyle w:val="Tabletext"/>
              <w:spacing w:before="40" w:after="40"/>
              <w:rPr>
                <w:sz w:val="16"/>
                <w:szCs w:val="16"/>
              </w:rPr>
            </w:pPr>
            <w:r w:rsidRPr="00B15FC7">
              <w:rPr>
                <w:sz w:val="16"/>
                <w:szCs w:val="16"/>
              </w:rPr>
              <w:t>P3</w:t>
            </w:r>
          </w:p>
        </w:tc>
        <w:tc>
          <w:tcPr>
            <w:tcW w:w="7123" w:type="dxa"/>
            <w:tcBorders>
              <w:top w:val="single" w:sz="4" w:space="0" w:color="000000"/>
              <w:left w:val="single" w:sz="4" w:space="0" w:color="000000"/>
              <w:bottom w:val="single" w:sz="4" w:space="0" w:color="000000"/>
              <w:right w:val="nil"/>
            </w:tcBorders>
            <w:vAlign w:val="center"/>
            <w:hideMark/>
          </w:tcPr>
          <w:p w14:paraId="7D6012F0" w14:textId="77777777" w:rsidR="005B7E53" w:rsidRPr="00B15FC7" w:rsidRDefault="005B7E53" w:rsidP="0086665F">
            <w:pPr>
              <w:pStyle w:val="Tabletext"/>
              <w:spacing w:before="40" w:after="40"/>
              <w:rPr>
                <w:sz w:val="16"/>
                <w:szCs w:val="16"/>
              </w:rPr>
            </w:pPr>
            <w:r w:rsidRPr="00B15FC7">
              <w:rPr>
                <w:sz w:val="16"/>
                <w:szCs w:val="16"/>
              </w:rPr>
              <w:t>Solicitud de coordinación conforme al Artículo </w:t>
            </w:r>
            <w:r w:rsidRPr="00B15FC7">
              <w:rPr>
                <w:bCs/>
                <w:sz w:val="16"/>
                <w:szCs w:val="16"/>
              </w:rPr>
              <w:t>2A</w:t>
            </w:r>
            <w:r w:rsidRPr="00B15FC7">
              <w:rPr>
                <w:sz w:val="16"/>
                <w:szCs w:val="16"/>
              </w:rPr>
              <w:t xml:space="preserve"> de los Apéndices </w:t>
            </w:r>
            <w:r w:rsidRPr="00B15FC7">
              <w:rPr>
                <w:b/>
                <w:sz w:val="16"/>
                <w:szCs w:val="16"/>
              </w:rPr>
              <w:t xml:space="preserve">30 </w:t>
            </w:r>
            <w:r w:rsidRPr="00B15FC7">
              <w:rPr>
                <w:sz w:val="16"/>
                <w:szCs w:val="16"/>
              </w:rPr>
              <w:t xml:space="preserve">y </w:t>
            </w:r>
            <w:r w:rsidRPr="00B15FC7">
              <w:rPr>
                <w:b/>
                <w:sz w:val="16"/>
                <w:szCs w:val="16"/>
              </w:rPr>
              <w:t>30A</w:t>
            </w:r>
            <w:r w:rsidRPr="00B15FC7">
              <w:rPr>
                <w:sz w:val="16"/>
                <w:szCs w:val="16"/>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69C36B22" w14:textId="77777777" w:rsidR="005B7E53" w:rsidRPr="00B15FC7" w:rsidRDefault="005B7E53" w:rsidP="0086665F">
            <w:pPr>
              <w:pStyle w:val="Tabletext"/>
              <w:spacing w:before="40" w:after="40"/>
              <w:jc w:val="center"/>
              <w:rPr>
                <w:sz w:val="16"/>
                <w:szCs w:val="16"/>
              </w:rPr>
            </w:pPr>
            <w:r w:rsidRPr="00B15FC7">
              <w:rPr>
                <w:sz w:val="16"/>
                <w:szCs w:val="16"/>
              </w:rPr>
              <w:t>12 000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F1F190" w14:textId="77777777" w:rsidR="005B7E53" w:rsidRPr="00B15FC7" w:rsidRDefault="005B7E53" w:rsidP="0086665F">
            <w:pPr>
              <w:pStyle w:val="Tabletext"/>
              <w:spacing w:before="40" w:after="40"/>
              <w:rPr>
                <w:sz w:val="16"/>
                <w:szCs w:val="16"/>
              </w:rPr>
            </w:pPr>
          </w:p>
        </w:tc>
      </w:tr>
      <w:tr w:rsidR="005B7E53" w:rsidRPr="00B15FC7" w14:paraId="50F1A33A" w14:textId="77777777" w:rsidTr="0086665F">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0284AA1E" w14:textId="77777777" w:rsidR="005B7E53" w:rsidRPr="00B15FC7" w:rsidRDefault="005B7E53" w:rsidP="0086665F">
            <w:pPr>
              <w:pStyle w:val="Tabletext"/>
              <w:spacing w:before="40" w:after="40"/>
              <w:rPr>
                <w:sz w:val="16"/>
                <w:szCs w:val="16"/>
              </w:rPr>
            </w:pPr>
          </w:p>
        </w:tc>
        <w:tc>
          <w:tcPr>
            <w:tcW w:w="1384" w:type="dxa"/>
            <w:vMerge/>
            <w:tcBorders>
              <w:top w:val="single" w:sz="4" w:space="0" w:color="000000"/>
              <w:left w:val="single" w:sz="4" w:space="0" w:color="000000"/>
              <w:bottom w:val="single" w:sz="4" w:space="0" w:color="000000"/>
              <w:right w:val="nil"/>
            </w:tcBorders>
            <w:vAlign w:val="center"/>
            <w:hideMark/>
          </w:tcPr>
          <w:p w14:paraId="367EF127"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EF63E1C" w14:textId="77777777" w:rsidR="005B7E53" w:rsidRPr="00B15FC7" w:rsidRDefault="005B7E53" w:rsidP="0086665F">
            <w:pPr>
              <w:pStyle w:val="Tabletext"/>
              <w:spacing w:before="40" w:after="40"/>
              <w:rPr>
                <w:sz w:val="16"/>
                <w:szCs w:val="16"/>
              </w:rPr>
            </w:pPr>
            <w:r w:rsidRPr="00B15FC7">
              <w:rPr>
                <w:sz w:val="16"/>
                <w:szCs w:val="16"/>
              </w:rPr>
              <w:t>P4</w:t>
            </w:r>
          </w:p>
        </w:tc>
        <w:tc>
          <w:tcPr>
            <w:tcW w:w="7123" w:type="dxa"/>
            <w:tcBorders>
              <w:top w:val="single" w:sz="4" w:space="0" w:color="000000"/>
              <w:left w:val="single" w:sz="4" w:space="0" w:color="000000"/>
              <w:bottom w:val="single" w:sz="4" w:space="0" w:color="000000"/>
              <w:right w:val="nil"/>
            </w:tcBorders>
            <w:hideMark/>
          </w:tcPr>
          <w:p w14:paraId="07B999F5" w14:textId="77777777" w:rsidR="005B7E53" w:rsidRPr="00B15FC7" w:rsidRDefault="005B7E53" w:rsidP="0086665F">
            <w:pPr>
              <w:pStyle w:val="Tabletext"/>
              <w:spacing w:before="40" w:after="40"/>
              <w:rPr>
                <w:sz w:val="16"/>
                <w:szCs w:val="16"/>
              </w:rPr>
            </w:pPr>
            <w:r w:rsidRPr="00B15FC7">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B15FC7">
              <w:rPr>
                <w:b/>
                <w:bCs/>
                <w:sz w:val="16"/>
                <w:szCs w:val="16"/>
              </w:rPr>
              <w:t>30B</w:t>
            </w:r>
            <w:r w:rsidRPr="00B15FC7">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B15FC7">
              <w:rPr>
                <w:b/>
                <w:bCs/>
                <w:sz w:val="16"/>
                <w:szCs w:val="16"/>
              </w:rPr>
              <w:t>30B</w:t>
            </w:r>
            <w:r w:rsidRPr="00B15FC7">
              <w:rPr>
                <w:sz w:val="16"/>
                <w:szCs w:val="16"/>
                <w:vertAlign w:val="superscript"/>
              </w:rPr>
              <w:t>c)</w:t>
            </w:r>
            <w:r w:rsidRPr="00B15FC7">
              <w:rPr>
                <w:sz w:val="16"/>
                <w:szCs w:val="16"/>
              </w:rPr>
              <w:t>; o solicitud de asignaciones a las ETEM del Apéndice </w:t>
            </w:r>
            <w:r w:rsidRPr="00B15FC7">
              <w:rPr>
                <w:b/>
                <w:bCs/>
                <w:sz w:val="16"/>
                <w:szCs w:val="16"/>
              </w:rPr>
              <w:t>30B</w:t>
            </w:r>
            <w:r w:rsidRPr="00B15FC7">
              <w:rPr>
                <w:sz w:val="16"/>
                <w:szCs w:val="16"/>
              </w:rPr>
              <w:t xml:space="preserve"> de conformidad con el § 1 de la Sección A de la Parte 1 del Anexo 1 de la Resolución </w:t>
            </w:r>
            <w:r w:rsidRPr="00B15FC7">
              <w:rPr>
                <w:b/>
                <w:bCs/>
                <w:sz w:val="16"/>
                <w:szCs w:val="16"/>
              </w:rPr>
              <w:t>121 (CMR-23)</w:t>
            </w:r>
            <w:r w:rsidRPr="00B15FC7">
              <w:rPr>
                <w:sz w:val="16"/>
                <w:szCs w:val="16"/>
              </w:rPr>
              <w:t>; o solicitud de inclusión de las asignaciones a las ETEM del Apéndice </w:t>
            </w:r>
            <w:r w:rsidRPr="00B15FC7">
              <w:rPr>
                <w:b/>
                <w:bCs/>
                <w:sz w:val="16"/>
                <w:szCs w:val="16"/>
              </w:rPr>
              <w:t>30B</w:t>
            </w:r>
            <w:r w:rsidRPr="00B15FC7">
              <w:rPr>
                <w:sz w:val="16"/>
                <w:szCs w:val="16"/>
              </w:rPr>
              <w:t xml:space="preserve"> en la Lista de ETEM del Apéndice </w:t>
            </w:r>
            <w:r w:rsidRPr="00B15FC7">
              <w:rPr>
                <w:b/>
                <w:bCs/>
                <w:sz w:val="16"/>
                <w:szCs w:val="16"/>
              </w:rPr>
              <w:t>30B</w:t>
            </w:r>
            <w:r w:rsidRPr="00B15FC7">
              <w:rPr>
                <w:sz w:val="16"/>
                <w:szCs w:val="16"/>
              </w:rPr>
              <w:t xml:space="preserve"> de conformidad con el § 11 de la Sección A de la Parte 1 del Anexo 1 de la Resolución </w:t>
            </w:r>
            <w:r w:rsidRPr="00B15FC7">
              <w:rPr>
                <w:b/>
                <w:bCs/>
                <w:sz w:val="16"/>
                <w:szCs w:val="16"/>
              </w:rPr>
              <w:t>121 (CMR-23)</w:t>
            </w:r>
            <w:r w:rsidRPr="00B15FC7">
              <w:rPr>
                <w:sz w:val="16"/>
                <w:szCs w:val="16"/>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7654010D" w14:textId="77777777" w:rsidR="005B7E53" w:rsidRPr="00B15FC7" w:rsidRDefault="005B7E53" w:rsidP="0086665F">
            <w:pPr>
              <w:pStyle w:val="Tabletext"/>
              <w:spacing w:before="40" w:after="40"/>
              <w:jc w:val="center"/>
              <w:rPr>
                <w:sz w:val="16"/>
                <w:szCs w:val="16"/>
              </w:rPr>
            </w:pPr>
            <w:r w:rsidRPr="00B15FC7">
              <w:rPr>
                <w:sz w:val="16"/>
                <w:szCs w:val="16"/>
              </w:rPr>
              <w:t>25 350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0FB940A5" w14:textId="77777777" w:rsidR="005B7E53" w:rsidRPr="00B15FC7" w:rsidRDefault="005B7E53" w:rsidP="0086665F">
            <w:pPr>
              <w:pStyle w:val="Tabletext"/>
              <w:spacing w:before="40" w:after="40"/>
              <w:rPr>
                <w:sz w:val="16"/>
                <w:szCs w:val="16"/>
              </w:rPr>
            </w:pPr>
          </w:p>
        </w:tc>
      </w:tr>
      <w:tr w:rsidR="005B7E53" w:rsidRPr="00B15FC7" w14:paraId="78B9F887" w14:textId="77777777" w:rsidTr="0086665F">
        <w:trPr>
          <w:cantSplit/>
          <w:jc w:val="center"/>
        </w:trPr>
        <w:tc>
          <w:tcPr>
            <w:tcW w:w="329" w:type="dxa"/>
            <w:vMerge/>
            <w:tcBorders>
              <w:top w:val="single" w:sz="4" w:space="0" w:color="000000"/>
              <w:left w:val="single" w:sz="4" w:space="0" w:color="000000"/>
              <w:bottom w:val="single" w:sz="4" w:space="0" w:color="000000"/>
              <w:right w:val="nil"/>
            </w:tcBorders>
            <w:vAlign w:val="center"/>
            <w:hideMark/>
          </w:tcPr>
          <w:p w14:paraId="610FC521" w14:textId="77777777" w:rsidR="005B7E53" w:rsidRPr="00B15FC7" w:rsidRDefault="005B7E53" w:rsidP="0086665F">
            <w:pPr>
              <w:pStyle w:val="Tabletext"/>
              <w:spacing w:before="40" w:after="40"/>
              <w:rPr>
                <w:sz w:val="16"/>
                <w:szCs w:val="16"/>
              </w:rPr>
            </w:pPr>
          </w:p>
        </w:tc>
        <w:tc>
          <w:tcPr>
            <w:tcW w:w="1384" w:type="dxa"/>
            <w:vMerge/>
            <w:tcBorders>
              <w:top w:val="single" w:sz="4" w:space="0" w:color="000000"/>
              <w:left w:val="single" w:sz="4" w:space="0" w:color="000000"/>
              <w:bottom w:val="single" w:sz="4" w:space="0" w:color="000000"/>
              <w:right w:val="nil"/>
            </w:tcBorders>
            <w:vAlign w:val="center"/>
            <w:hideMark/>
          </w:tcPr>
          <w:p w14:paraId="350A73C2" w14:textId="77777777" w:rsidR="005B7E53" w:rsidRPr="00B15FC7" w:rsidRDefault="005B7E53" w:rsidP="0086665F">
            <w:pPr>
              <w:pStyle w:val="Tabletext"/>
              <w:spacing w:before="40" w:after="40"/>
              <w:rPr>
                <w:sz w:val="16"/>
                <w:szCs w:val="16"/>
              </w:rPr>
            </w:pPr>
          </w:p>
        </w:tc>
        <w:tc>
          <w:tcPr>
            <w:tcW w:w="510"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D079B1C" w14:textId="77777777" w:rsidR="005B7E53" w:rsidRPr="00B15FC7" w:rsidRDefault="005B7E53" w:rsidP="0086665F">
            <w:pPr>
              <w:pStyle w:val="Tabletext"/>
              <w:spacing w:before="40" w:after="40"/>
              <w:rPr>
                <w:sz w:val="16"/>
                <w:szCs w:val="16"/>
              </w:rPr>
            </w:pPr>
            <w:r w:rsidRPr="00B15FC7">
              <w:rPr>
                <w:sz w:val="16"/>
                <w:szCs w:val="16"/>
              </w:rPr>
              <w:t>P5</w:t>
            </w:r>
            <w:r w:rsidRPr="00B15FC7">
              <w:rPr>
                <w:sz w:val="16"/>
                <w:szCs w:val="16"/>
                <w:vertAlign w:val="superscript"/>
              </w:rPr>
              <w:t>d)</w:t>
            </w:r>
          </w:p>
        </w:tc>
        <w:tc>
          <w:tcPr>
            <w:tcW w:w="7123" w:type="dxa"/>
            <w:tcBorders>
              <w:top w:val="single" w:sz="4" w:space="0" w:color="000000"/>
              <w:left w:val="single" w:sz="4" w:space="0" w:color="000000"/>
              <w:bottom w:val="single" w:sz="4" w:space="0" w:color="000000"/>
              <w:right w:val="nil"/>
            </w:tcBorders>
            <w:hideMark/>
          </w:tcPr>
          <w:p w14:paraId="57D685DE" w14:textId="77777777" w:rsidR="005B7E53" w:rsidRPr="00B15FC7" w:rsidRDefault="005B7E53" w:rsidP="0086665F">
            <w:pPr>
              <w:pStyle w:val="Tabletext"/>
              <w:spacing w:before="40" w:after="40"/>
              <w:rPr>
                <w:sz w:val="16"/>
                <w:szCs w:val="16"/>
              </w:rPr>
            </w:pPr>
            <w:r w:rsidRPr="00B15FC7">
              <w:rPr>
                <w:bCs/>
                <w:sz w:val="16"/>
                <w:szCs w:val="16"/>
              </w:rPr>
              <w:t xml:space="preserve">Notificación e inscripción en el MIFR de asignaciones de frecuencias de estaciones espaciales del </w:t>
            </w:r>
            <w:r w:rsidRPr="00B15FC7">
              <w:rPr>
                <w:sz w:val="16"/>
                <w:szCs w:val="16"/>
              </w:rPr>
              <w:t>servicio</w:t>
            </w:r>
            <w:r w:rsidRPr="00B15FC7">
              <w:rPr>
                <w:bCs/>
                <w:sz w:val="16"/>
                <w:szCs w:val="16"/>
              </w:rPr>
              <w:t xml:space="preserve"> fijo por satélite en virtud del Artículo 8 </w:t>
            </w:r>
            <w:r w:rsidRPr="00B15FC7">
              <w:rPr>
                <w:sz w:val="16"/>
                <w:szCs w:val="16"/>
              </w:rPr>
              <w:t>del Apéndice </w:t>
            </w:r>
            <w:r w:rsidRPr="00B15FC7">
              <w:rPr>
                <w:b/>
                <w:bCs/>
                <w:sz w:val="16"/>
                <w:szCs w:val="16"/>
              </w:rPr>
              <w:t>30B</w:t>
            </w:r>
            <w:r w:rsidRPr="00B15FC7">
              <w:rPr>
                <w:sz w:val="16"/>
                <w:szCs w:val="16"/>
              </w:rPr>
              <w:t xml:space="preserve"> o de asignaciones de frecuencias a las ETEM del Apéndice </w:t>
            </w:r>
            <w:r w:rsidRPr="00B15FC7">
              <w:rPr>
                <w:b/>
                <w:sz w:val="16"/>
                <w:szCs w:val="16"/>
              </w:rPr>
              <w:t>30B</w:t>
            </w:r>
            <w:r w:rsidRPr="00B15FC7">
              <w:rPr>
                <w:sz w:val="16"/>
                <w:szCs w:val="16"/>
              </w:rPr>
              <w:t xml:space="preserve"> en virtud de la Sección B de la Parte 1 del Anexo de la Resolución</w:t>
            </w:r>
            <w:r w:rsidRPr="00B15FC7">
              <w:rPr>
                <w:b/>
                <w:sz w:val="16"/>
                <w:szCs w:val="16"/>
              </w:rPr>
              <w:t> 121 (CMR-23)</w:t>
            </w:r>
            <w:r w:rsidRPr="00B15FC7">
              <w:rPr>
                <w:bCs/>
                <w:sz w:val="16"/>
                <w:szCs w:val="16"/>
              </w:rPr>
              <w:t>.</w:t>
            </w:r>
          </w:p>
        </w:tc>
        <w:tc>
          <w:tcPr>
            <w:tcW w:w="2757" w:type="dxa"/>
            <w:gridSpan w:val="2"/>
            <w:tcBorders>
              <w:top w:val="single" w:sz="4" w:space="0" w:color="000000"/>
              <w:left w:val="single" w:sz="4" w:space="0" w:color="000000"/>
              <w:bottom w:val="single" w:sz="4" w:space="0" w:color="000000"/>
              <w:right w:val="nil"/>
            </w:tcBorders>
            <w:vAlign w:val="center"/>
            <w:hideMark/>
          </w:tcPr>
          <w:p w14:paraId="5BDA89DC" w14:textId="77777777" w:rsidR="005B7E53" w:rsidRPr="00B15FC7" w:rsidRDefault="005B7E53" w:rsidP="0086665F">
            <w:pPr>
              <w:pStyle w:val="Tabletext"/>
              <w:spacing w:before="40" w:after="40"/>
              <w:jc w:val="center"/>
              <w:rPr>
                <w:sz w:val="16"/>
                <w:szCs w:val="16"/>
              </w:rPr>
            </w:pPr>
            <w:r w:rsidRPr="00B15FC7">
              <w:rPr>
                <w:sz w:val="16"/>
                <w:szCs w:val="16"/>
              </w:rPr>
              <w:t>20 280</w:t>
            </w:r>
          </w:p>
        </w:tc>
        <w:tc>
          <w:tcPr>
            <w:tcW w:w="2453" w:type="dxa"/>
            <w:gridSpan w:val="2"/>
            <w:vMerge/>
            <w:tcBorders>
              <w:top w:val="single" w:sz="4" w:space="0" w:color="000000"/>
              <w:left w:val="single" w:sz="4" w:space="0" w:color="000000"/>
              <w:bottom w:val="single" w:sz="4" w:space="0" w:color="000000"/>
              <w:right w:val="single" w:sz="4" w:space="0" w:color="000000"/>
            </w:tcBorders>
            <w:vAlign w:val="center"/>
            <w:hideMark/>
          </w:tcPr>
          <w:p w14:paraId="69E7B28F" w14:textId="77777777" w:rsidR="005B7E53" w:rsidRPr="00B15FC7" w:rsidRDefault="005B7E53" w:rsidP="0086665F">
            <w:pPr>
              <w:pStyle w:val="Tabletext"/>
              <w:spacing w:before="40" w:after="40"/>
              <w:rPr>
                <w:sz w:val="16"/>
                <w:szCs w:val="16"/>
              </w:rPr>
            </w:pPr>
          </w:p>
        </w:tc>
      </w:tr>
    </w:tbl>
    <w:p w14:paraId="1180586B" w14:textId="77777777" w:rsidR="005B7E53" w:rsidRPr="00B15FC7" w:rsidRDefault="005B7E53" w:rsidP="005B7E53">
      <w:pPr>
        <w:pStyle w:val="Tablelegend"/>
        <w:tabs>
          <w:tab w:val="left" w:pos="310"/>
        </w:tabs>
        <w:spacing w:before="60"/>
        <w:ind w:left="310" w:hanging="310"/>
        <w:rPr>
          <w:sz w:val="16"/>
          <w:szCs w:val="16"/>
        </w:rPr>
      </w:pPr>
      <w:r w:rsidRPr="00B15FC7">
        <w:rPr>
          <w:sz w:val="16"/>
          <w:szCs w:val="16"/>
          <w:vertAlign w:val="superscript"/>
        </w:rPr>
        <w:t>a)</w:t>
      </w:r>
      <w:r w:rsidRPr="00B15FC7">
        <w:rPr>
          <w:sz w:val="16"/>
          <w:szCs w:val="16"/>
        </w:rPr>
        <w:tab/>
        <w:t>Las tasas correspondientes a las Categorías N1, N2 y N3 son aplicables a la primera notificación de asignaciones que también contenga una solicitud de aplicación del número </w:t>
      </w:r>
      <w:r w:rsidRPr="00B15FC7">
        <w:rPr>
          <w:b/>
          <w:bCs/>
          <w:sz w:val="16"/>
          <w:szCs w:val="16"/>
        </w:rPr>
        <w:t>11.32A</w:t>
      </w:r>
      <w:r w:rsidRPr="00B15FC7">
        <w:rPr>
          <w:sz w:val="16"/>
          <w:szCs w:val="16"/>
        </w:rPr>
        <w:t>. Si no se solicita la aplicación del número </w:t>
      </w:r>
      <w:r w:rsidRPr="00B15FC7">
        <w:rPr>
          <w:b/>
          <w:bCs/>
          <w:sz w:val="16"/>
          <w:szCs w:val="16"/>
        </w:rPr>
        <w:t>11.32A</w:t>
      </w:r>
      <w:r w:rsidRPr="00B15FC7">
        <w:rPr>
          <w:sz w:val="16"/>
          <w:szCs w:val="16"/>
        </w:rPr>
        <w:t>, se impondrá aplicará el 70% de las tasas indicadas, y el 30% restante se tasará impondrá a una solicitud ulterior de aplicación del número </w:t>
      </w:r>
      <w:r w:rsidRPr="00B15FC7">
        <w:rPr>
          <w:b/>
          <w:bCs/>
          <w:sz w:val="16"/>
          <w:szCs w:val="16"/>
        </w:rPr>
        <w:t>11.32A</w:t>
      </w:r>
      <w:r w:rsidRPr="00B15FC7">
        <w:rPr>
          <w:bCs/>
          <w:sz w:val="16"/>
          <w:szCs w:val="16"/>
        </w:rPr>
        <w:t>, en su caso</w:t>
      </w:r>
      <w:r w:rsidRPr="00B15FC7">
        <w:rPr>
          <w:sz w:val="16"/>
          <w:szCs w:val="16"/>
        </w:rPr>
        <w:t>.</w:t>
      </w:r>
    </w:p>
    <w:p w14:paraId="03CCC0A4" w14:textId="71F8C9D3" w:rsidR="005B7E53" w:rsidRPr="00B15FC7" w:rsidRDefault="005B7E53" w:rsidP="005B7E53">
      <w:pPr>
        <w:pStyle w:val="Tablelegend"/>
        <w:tabs>
          <w:tab w:val="left" w:pos="310"/>
        </w:tabs>
        <w:spacing w:before="60"/>
        <w:ind w:left="310" w:hanging="310"/>
        <w:rPr>
          <w:sz w:val="16"/>
          <w:szCs w:val="16"/>
        </w:rPr>
      </w:pPr>
      <w:r w:rsidRPr="00B15FC7">
        <w:rPr>
          <w:sz w:val="16"/>
          <w:szCs w:val="16"/>
          <w:vertAlign w:val="superscript"/>
        </w:rPr>
        <w:t>b)</w:t>
      </w:r>
      <w:r w:rsidRPr="00B15FC7">
        <w:rPr>
          <w:sz w:val="16"/>
          <w:szCs w:val="16"/>
        </w:rPr>
        <w:tab/>
        <w:t>En esta categoría, habida cuenta de que las notificaciones referentes al servicio de radiodifusión por satélite en la Región 2 y el correspondiente enlace de conexión contienen el enlace descendente (</w:t>
      </w:r>
      <w:r w:rsidRPr="00B15FC7">
        <w:rPr>
          <w:b/>
          <w:bCs/>
          <w:sz w:val="16"/>
          <w:szCs w:val="16"/>
        </w:rPr>
        <w:t>30</w:t>
      </w:r>
      <w:r w:rsidRPr="00B15FC7">
        <w:rPr>
          <w:sz w:val="16"/>
          <w:szCs w:val="16"/>
        </w:rPr>
        <w:t>) y el enlace de conexión (Apéndice </w:t>
      </w:r>
      <w:r w:rsidRPr="00B15FC7">
        <w:rPr>
          <w:b/>
          <w:bCs/>
          <w:sz w:val="16"/>
          <w:szCs w:val="16"/>
        </w:rPr>
        <w:t>30A</w:t>
      </w:r>
      <w:r w:rsidRPr="00B15FC7">
        <w:rPr>
          <w:sz w:val="16"/>
          <w:szCs w:val="16"/>
        </w:rPr>
        <w:t>), los cuales se examinan y publican conjuntamente, el canon que se aplica a dichas notificaciones es dos veces mayor que el que se indica en la columna "Canon fijo por notificación".</w:t>
      </w:r>
    </w:p>
    <w:p w14:paraId="6106F6CB" w14:textId="77777777" w:rsidR="005B7E53" w:rsidRPr="00B15FC7" w:rsidRDefault="005B7E53" w:rsidP="005B7E53">
      <w:pPr>
        <w:pStyle w:val="Tablelegend"/>
        <w:tabs>
          <w:tab w:val="left" w:pos="310"/>
        </w:tabs>
        <w:spacing w:before="60"/>
        <w:ind w:left="310" w:hanging="310"/>
        <w:rPr>
          <w:sz w:val="16"/>
          <w:szCs w:val="16"/>
        </w:rPr>
      </w:pPr>
      <w:r w:rsidRPr="00B15FC7">
        <w:rPr>
          <w:sz w:val="16"/>
          <w:szCs w:val="16"/>
          <w:vertAlign w:val="superscript"/>
        </w:rPr>
        <w:t>c)</w:t>
      </w:r>
      <w:r w:rsidRPr="00B15FC7">
        <w:rPr>
          <w:sz w:val="16"/>
          <w:szCs w:val="16"/>
        </w:rPr>
        <w:tab/>
        <w:t>Las tasas para una solicitud conforme al punto 6.17 del Artículo 6 del Apéndice </w:t>
      </w:r>
      <w:r w:rsidRPr="00B15FC7">
        <w:rPr>
          <w:b/>
          <w:bCs/>
          <w:sz w:val="16"/>
          <w:szCs w:val="16"/>
        </w:rPr>
        <w:t>30B</w:t>
      </w:r>
      <w:r w:rsidRPr="00B15FC7">
        <w:rPr>
          <w:sz w:val="16"/>
          <w:szCs w:val="16"/>
        </w:rPr>
        <w:t xml:space="preserve"> también contienen una posible solicitud subsiguiente (nueva notificación) de conformidad con el punto 6.25. No se facturarán las solicitudes sometidas con arreglo al punto 6.17 del Artículo 6 del Apéndice </w:t>
      </w:r>
      <w:r w:rsidRPr="00B15FC7">
        <w:rPr>
          <w:b/>
          <w:bCs/>
          <w:sz w:val="16"/>
          <w:szCs w:val="16"/>
        </w:rPr>
        <w:t>30B</w:t>
      </w:r>
      <w:r w:rsidRPr="00B15FC7">
        <w:rPr>
          <w:sz w:val="16"/>
          <w:szCs w:val="16"/>
        </w:rPr>
        <w:t xml:space="preserve"> para una notificación que se haya tratado como una efectuada con arreglo al punto 6.1 de conformidad con el punto 7.7 del Artículo 7.</w:t>
      </w:r>
    </w:p>
    <w:p w14:paraId="6336B1D2" w14:textId="6CCBEB65" w:rsidR="005B7E53" w:rsidRPr="00B15FC7" w:rsidRDefault="005B7E53" w:rsidP="005B7E53">
      <w:pPr>
        <w:pStyle w:val="Tablelegend"/>
        <w:tabs>
          <w:tab w:val="left" w:pos="310"/>
        </w:tabs>
        <w:spacing w:before="60"/>
        <w:ind w:left="310" w:hanging="310"/>
        <w:rPr>
          <w:sz w:val="16"/>
          <w:szCs w:val="16"/>
        </w:rPr>
      </w:pPr>
      <w:r w:rsidRPr="00B15FC7">
        <w:rPr>
          <w:sz w:val="16"/>
          <w:szCs w:val="16"/>
          <w:vertAlign w:val="superscript"/>
        </w:rPr>
        <w:t>d)</w:t>
      </w:r>
      <w:r w:rsidRPr="00B15FC7">
        <w:rPr>
          <w:sz w:val="16"/>
          <w:szCs w:val="16"/>
        </w:rPr>
        <w:tab/>
        <w:t>Para los casos de consolidación de asignaciones de frecuencias de distintas redes OSG en el Registro Internacional de Frecuencias</w:t>
      </w:r>
      <w:r w:rsidRPr="00B15FC7">
        <w:rPr>
          <w:i/>
          <w:iCs/>
          <w:sz w:val="16"/>
          <w:szCs w:val="16"/>
        </w:rPr>
        <w:t xml:space="preserve"> </w:t>
      </w:r>
      <w:r w:rsidRPr="00B15FC7">
        <w:rPr>
          <w:sz w:val="16"/>
          <w:szCs w:val="16"/>
        </w:rPr>
        <w:t>presentados por una administración (o por una administración que actúa en nombre de un grupo de administraciones nominadas) en virtud del Artículo </w:t>
      </w:r>
      <w:r w:rsidRPr="00B15FC7">
        <w:rPr>
          <w:b/>
          <w:bCs/>
          <w:sz w:val="16"/>
          <w:szCs w:val="16"/>
        </w:rPr>
        <w:t>11</w:t>
      </w:r>
      <w:r w:rsidRPr="00B15FC7">
        <w:rPr>
          <w:sz w:val="16"/>
          <w:szCs w:val="16"/>
        </w:rPr>
        <w:t xml:space="preserve"> del Reglamento de Radiocomunicaciones, se aplicará la categoría N1; para los casos presentados en virtud de los Apéndices </w:t>
      </w:r>
      <w:r w:rsidRPr="00B15FC7">
        <w:rPr>
          <w:b/>
          <w:bCs/>
          <w:sz w:val="16"/>
          <w:szCs w:val="16"/>
        </w:rPr>
        <w:t>30</w:t>
      </w:r>
      <w:r w:rsidRPr="00B15FC7">
        <w:rPr>
          <w:sz w:val="16"/>
          <w:szCs w:val="16"/>
        </w:rPr>
        <w:t xml:space="preserve"> o </w:t>
      </w:r>
      <w:r w:rsidRPr="00B15FC7">
        <w:rPr>
          <w:b/>
          <w:bCs/>
          <w:sz w:val="16"/>
          <w:szCs w:val="16"/>
        </w:rPr>
        <w:t>30A</w:t>
      </w:r>
      <w:r w:rsidRPr="00B15FC7">
        <w:rPr>
          <w:sz w:val="16"/>
          <w:szCs w:val="16"/>
        </w:rPr>
        <w:t xml:space="preserve"> se aplicará la categoría P2, y para los casos presentados en virtud del Artículo </w:t>
      </w:r>
      <w:r w:rsidRPr="00B15FC7">
        <w:rPr>
          <w:b/>
          <w:bCs/>
          <w:sz w:val="16"/>
          <w:szCs w:val="16"/>
        </w:rPr>
        <w:t>30B</w:t>
      </w:r>
      <w:r w:rsidRPr="00B15FC7">
        <w:rPr>
          <w:sz w:val="16"/>
          <w:szCs w:val="16"/>
        </w:rPr>
        <w:t>, se aplicará la categoría P5.</w:t>
      </w:r>
    </w:p>
    <w:p w14:paraId="4450AA98" w14:textId="77777777" w:rsidR="005B7E53" w:rsidRPr="00B15FC7" w:rsidRDefault="005B7E53" w:rsidP="005B7E53">
      <w:pPr>
        <w:pStyle w:val="Tablelegend"/>
        <w:tabs>
          <w:tab w:val="left" w:pos="310"/>
        </w:tabs>
        <w:spacing w:before="60"/>
        <w:ind w:left="310" w:hanging="310"/>
        <w:rPr>
          <w:sz w:val="16"/>
          <w:szCs w:val="16"/>
        </w:rPr>
      </w:pPr>
      <w:r w:rsidRPr="00B15FC7">
        <w:rPr>
          <w:sz w:val="16"/>
          <w:szCs w:val="16"/>
          <w:vertAlign w:val="superscript"/>
        </w:rPr>
        <w:t>e)</w:t>
      </w:r>
      <w:r w:rsidRPr="00B15FC7">
        <w:rPr>
          <w:sz w:val="16"/>
          <w:szCs w:val="16"/>
        </w:rPr>
        <w:tab/>
        <w:t>Para las redes de satélites no geoestacionarios, se aplicará una tasa fija a las categorías C1, C2, C3, N1, N2 y N3 que sumen entre 100 y 25 000 unidades. Cuando sumen entre 25 000 y 75 000 unidades, se aplicará una tasa adicional por unidad equivalente a la tasa fija dividida por 50 000. Por encima de 75 000 unidades, no se impone la tasa adicional por unidad adicional.</w:t>
      </w:r>
    </w:p>
    <w:p w14:paraId="65AD52DF" w14:textId="77777777" w:rsidR="005B7E53" w:rsidRPr="00B15FC7" w:rsidRDefault="005B7E53" w:rsidP="005B7E53">
      <w:pPr>
        <w:spacing w:before="0"/>
        <w:sectPr w:rsidR="005B7E53" w:rsidRPr="00B15FC7" w:rsidSect="005B7E53">
          <w:headerReference w:type="default" r:id="rId13"/>
          <w:footerReference w:type="default" r:id="rId14"/>
          <w:headerReference w:type="first" r:id="rId15"/>
          <w:footerReference w:type="first" r:id="rId16"/>
          <w:pgSz w:w="16834" w:h="11907" w:orient="landscape"/>
          <w:pgMar w:top="1418" w:right="1134" w:bottom="1418" w:left="1134" w:header="720" w:footer="720" w:gutter="0"/>
          <w:paperSrc w:first="15" w:other="15"/>
          <w:cols w:space="720"/>
          <w:titlePg/>
          <w:docGrid w:linePitch="326"/>
        </w:sectPr>
      </w:pPr>
    </w:p>
    <w:p w14:paraId="4551240E" w14:textId="77777777" w:rsidR="005B7E53" w:rsidRPr="00B15FC7" w:rsidRDefault="005B7E53" w:rsidP="005B7E53">
      <w:pPr>
        <w:pStyle w:val="Headingb"/>
      </w:pPr>
      <w:bookmarkStart w:id="8" w:name="_Toc16155471"/>
      <w:bookmarkStart w:id="9" w:name="_Toc21334406"/>
      <w:r w:rsidRPr="00B15FC7">
        <w:lastRenderedPageBreak/>
        <w:t>*</w:t>
      </w:r>
      <w:r w:rsidRPr="00B15FC7">
        <w:tab/>
        <w:t>Definición de categorías de coordinación (C) y notificación (N)</w:t>
      </w:r>
      <w:bookmarkEnd w:id="8"/>
      <w:bookmarkEnd w:id="9"/>
    </w:p>
    <w:p w14:paraId="54E10E44" w14:textId="77777777" w:rsidR="005B7E53" w:rsidRPr="00B15FC7" w:rsidRDefault="005B7E53" w:rsidP="005B7E53">
      <w:r w:rsidRPr="00B15FC7">
        <w:t>Las categorías de coordinación (C1, C2, C3) y notificación (N1, N2, N3) están relacionadas con el número de formularios de coordinación aplicables a cada presentación de notificación o petición de coordinación de una red de satélites, de la siguiente manera:</w:t>
      </w:r>
    </w:p>
    <w:p w14:paraId="58ED3718" w14:textId="77777777" w:rsidR="005B7E53" w:rsidRPr="00B15FC7" w:rsidRDefault="005B7E53" w:rsidP="005B7E53">
      <w:pPr>
        <w:pStyle w:val="enumlev1"/>
      </w:pPr>
      <w:r w:rsidRPr="00B15FC7">
        <w:t>•</w:t>
      </w:r>
      <w:r w:rsidRPr="00B15FC7">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w:t>
      </w:r>
      <w:r w:rsidRPr="00B15FC7">
        <w:rPr>
          <w:b/>
          <w:bCs/>
        </w:rPr>
        <w:t>11.31</w:t>
      </w:r>
      <w:r w:rsidRPr="00B15FC7">
        <w:t xml:space="preserve"> del Reglamento de Radiocomunicaciones, a todas las asignaciones de frecuencias de la notificación presentada; o los casos en que las asignaciones de frecuencias se publican únicamente para información.</w:t>
      </w:r>
    </w:p>
    <w:p w14:paraId="1F677F3E" w14:textId="77777777" w:rsidR="005B7E53" w:rsidRPr="00B15FC7" w:rsidRDefault="005B7E53" w:rsidP="005B7E53">
      <w:pPr>
        <w:pStyle w:val="enumlev1"/>
      </w:pPr>
      <w:r w:rsidRPr="00B15FC7">
        <w:t>•</w:t>
      </w:r>
      <w:r w:rsidRPr="00B15FC7">
        <w:tab/>
        <w:t>C2 y N2 corresponden a una notificación de red de satélites referente a dos o más formularios de coordinación sujeta a recuperación de costes de entre A, B, C, D, E o F.</w:t>
      </w:r>
    </w:p>
    <w:p w14:paraId="60893A19" w14:textId="77777777" w:rsidR="005B7E53" w:rsidRPr="00B15FC7" w:rsidRDefault="005B7E53" w:rsidP="005B7E53">
      <w:pPr>
        <w:pStyle w:val="enumlev1"/>
        <w:spacing w:after="120"/>
      </w:pPr>
      <w:r w:rsidRPr="00B15FC7">
        <w:t>•</w:t>
      </w:r>
      <w:r w:rsidRPr="00B15FC7">
        <w:tab/>
        <w:t>C3 y N3 corresponden a una notificación de red de satélites referente a cuatro o más formularios de coordinación sujeta a recuperación de costes de entre A, B, C, D, E o F.</w:t>
      </w:r>
    </w:p>
    <w:tbl>
      <w:tblPr>
        <w:tblW w:w="5000" w:type="pct"/>
        <w:jc w:val="center"/>
        <w:tblLayout w:type="fixed"/>
        <w:tblLook w:val="04A0" w:firstRow="1" w:lastRow="0" w:firstColumn="1" w:lastColumn="0" w:noHBand="0" w:noVBand="1"/>
      </w:tblPr>
      <w:tblGrid>
        <w:gridCol w:w="3992"/>
        <w:gridCol w:w="5069"/>
      </w:tblGrid>
      <w:tr w:rsidR="005B7E53" w:rsidRPr="00B15FC7" w14:paraId="5E7FD486" w14:textId="77777777" w:rsidTr="0086665F">
        <w:trPr>
          <w:jc w:val="center"/>
        </w:trPr>
        <w:tc>
          <w:tcPr>
            <w:tcW w:w="3572" w:type="dxa"/>
            <w:tcBorders>
              <w:top w:val="single" w:sz="4" w:space="0" w:color="000000"/>
              <w:left w:val="single" w:sz="4" w:space="0" w:color="000000"/>
              <w:bottom w:val="single" w:sz="4" w:space="0" w:color="000000"/>
              <w:right w:val="nil"/>
            </w:tcBorders>
            <w:hideMark/>
          </w:tcPr>
          <w:p w14:paraId="0B86C35A" w14:textId="77777777" w:rsidR="005B7E53" w:rsidRPr="00B15FC7" w:rsidRDefault="005B7E53" w:rsidP="0086665F">
            <w:pPr>
              <w:pStyle w:val="Tablehead"/>
            </w:pPr>
            <w:r w:rsidRPr="00B15FC7">
              <w:t>Formulario de coordinación sujeta</w:t>
            </w:r>
            <w:r w:rsidRPr="00B15FC7">
              <w:br/>
              <w:t>a recuperación de costes</w:t>
            </w:r>
          </w:p>
        </w:tc>
        <w:tc>
          <w:tcPr>
            <w:tcW w:w="4535" w:type="dxa"/>
            <w:tcBorders>
              <w:top w:val="single" w:sz="4" w:space="0" w:color="000000"/>
              <w:left w:val="single" w:sz="4" w:space="0" w:color="000000"/>
              <w:bottom w:val="single" w:sz="4" w:space="0" w:color="000000"/>
              <w:right w:val="single" w:sz="4" w:space="0" w:color="000000"/>
            </w:tcBorders>
            <w:hideMark/>
          </w:tcPr>
          <w:p w14:paraId="4C01073F" w14:textId="77777777" w:rsidR="005B7E53" w:rsidRPr="00B15FC7" w:rsidRDefault="005B7E53" w:rsidP="0086665F">
            <w:pPr>
              <w:pStyle w:val="Tablehead"/>
            </w:pPr>
            <w:r w:rsidRPr="00B15FC7">
              <w:t>Distintos formularios de coordinación del</w:t>
            </w:r>
            <w:r w:rsidRPr="00B15FC7">
              <w:br/>
              <w:t>Reglamento de Radiocomunicaciones</w:t>
            </w:r>
          </w:p>
        </w:tc>
      </w:tr>
      <w:tr w:rsidR="005B7E53" w:rsidRPr="00B15FC7" w14:paraId="392EB4FD" w14:textId="77777777" w:rsidTr="0086665F">
        <w:trPr>
          <w:jc w:val="center"/>
        </w:trPr>
        <w:tc>
          <w:tcPr>
            <w:tcW w:w="3572" w:type="dxa"/>
            <w:tcBorders>
              <w:top w:val="single" w:sz="4" w:space="0" w:color="000000"/>
              <w:left w:val="single" w:sz="4" w:space="0" w:color="000000"/>
              <w:bottom w:val="single" w:sz="4" w:space="0" w:color="000000"/>
              <w:right w:val="nil"/>
            </w:tcBorders>
            <w:hideMark/>
          </w:tcPr>
          <w:p w14:paraId="6909144F" w14:textId="77777777" w:rsidR="005B7E53" w:rsidRPr="00B15FC7" w:rsidRDefault="005B7E53" w:rsidP="0086665F">
            <w:pPr>
              <w:pStyle w:val="Tabletext"/>
              <w:jc w:val="center"/>
            </w:pPr>
            <w:r w:rsidRPr="00B15FC7">
              <w:t>A</w:t>
            </w:r>
          </w:p>
        </w:tc>
        <w:tc>
          <w:tcPr>
            <w:tcW w:w="4535" w:type="dxa"/>
            <w:tcBorders>
              <w:top w:val="single" w:sz="4" w:space="0" w:color="000000"/>
              <w:left w:val="single" w:sz="4" w:space="0" w:color="000000"/>
              <w:bottom w:val="single" w:sz="4" w:space="0" w:color="000000"/>
              <w:right w:val="single" w:sz="4" w:space="0" w:color="000000"/>
            </w:tcBorders>
            <w:hideMark/>
          </w:tcPr>
          <w:p w14:paraId="1C5D0FAA" w14:textId="77777777" w:rsidR="005B7E53" w:rsidRPr="00B15FC7" w:rsidRDefault="005B7E53" w:rsidP="0086665F">
            <w:pPr>
              <w:pStyle w:val="Tabletext"/>
            </w:pPr>
            <w:r w:rsidRPr="00B15FC7">
              <w:t xml:space="preserve">Número </w:t>
            </w:r>
            <w:r w:rsidRPr="00B15FC7">
              <w:rPr>
                <w:b/>
                <w:bCs/>
              </w:rPr>
              <w:t>9.7</w:t>
            </w:r>
          </w:p>
        </w:tc>
      </w:tr>
      <w:tr w:rsidR="005B7E53" w:rsidRPr="00B15FC7" w14:paraId="544C04F0" w14:textId="77777777" w:rsidTr="0086665F">
        <w:trPr>
          <w:jc w:val="center"/>
        </w:trPr>
        <w:tc>
          <w:tcPr>
            <w:tcW w:w="3572" w:type="dxa"/>
            <w:tcBorders>
              <w:top w:val="single" w:sz="4" w:space="0" w:color="000000"/>
              <w:left w:val="single" w:sz="4" w:space="0" w:color="000000"/>
              <w:bottom w:val="single" w:sz="4" w:space="0" w:color="000000"/>
              <w:right w:val="nil"/>
            </w:tcBorders>
            <w:hideMark/>
          </w:tcPr>
          <w:p w14:paraId="4FE22BA5" w14:textId="77777777" w:rsidR="005B7E53" w:rsidRPr="00B15FC7" w:rsidRDefault="005B7E53" w:rsidP="0086665F">
            <w:pPr>
              <w:pStyle w:val="Tabletext"/>
              <w:jc w:val="center"/>
            </w:pPr>
            <w:r w:rsidRPr="00B15FC7">
              <w:t>B</w:t>
            </w:r>
          </w:p>
        </w:tc>
        <w:tc>
          <w:tcPr>
            <w:tcW w:w="4535" w:type="dxa"/>
            <w:tcBorders>
              <w:top w:val="single" w:sz="4" w:space="0" w:color="000000"/>
              <w:left w:val="single" w:sz="4" w:space="0" w:color="000000"/>
              <w:bottom w:val="single" w:sz="4" w:space="0" w:color="000000"/>
              <w:right w:val="single" w:sz="4" w:space="0" w:color="000000"/>
            </w:tcBorders>
            <w:hideMark/>
          </w:tcPr>
          <w:p w14:paraId="32B13BB3" w14:textId="019A9826" w:rsidR="005B7E53" w:rsidRPr="00B15FC7" w:rsidRDefault="003763A4" w:rsidP="0086665F">
            <w:pPr>
              <w:pStyle w:val="Tabletext"/>
            </w:pPr>
            <w:r w:rsidRPr="003763A4">
              <w:t>Apéndice</w:t>
            </w:r>
            <w:r w:rsidRPr="003763A4">
              <w:t xml:space="preserve"> </w:t>
            </w:r>
            <w:r w:rsidR="005B7E53" w:rsidRPr="00B15FC7">
              <w:rPr>
                <w:b/>
                <w:bCs/>
              </w:rPr>
              <w:t>30</w:t>
            </w:r>
            <w:r w:rsidR="005B7E53" w:rsidRPr="00B15FC7">
              <w:t xml:space="preserve"> 7.1, </w:t>
            </w:r>
            <w:r w:rsidRPr="003763A4">
              <w:t xml:space="preserve">Apéndice </w:t>
            </w:r>
            <w:r w:rsidR="005B7E53" w:rsidRPr="00B15FC7">
              <w:rPr>
                <w:b/>
                <w:bCs/>
              </w:rPr>
              <w:t>30A</w:t>
            </w:r>
            <w:r w:rsidR="005B7E53" w:rsidRPr="00B15FC7">
              <w:t xml:space="preserve"> 7.1</w:t>
            </w:r>
          </w:p>
        </w:tc>
      </w:tr>
      <w:tr w:rsidR="005B7E53" w:rsidRPr="00B15FC7" w14:paraId="603158E3" w14:textId="77777777" w:rsidTr="0086665F">
        <w:trPr>
          <w:jc w:val="center"/>
        </w:trPr>
        <w:tc>
          <w:tcPr>
            <w:tcW w:w="3572" w:type="dxa"/>
            <w:tcBorders>
              <w:top w:val="single" w:sz="4" w:space="0" w:color="000000"/>
              <w:left w:val="single" w:sz="4" w:space="0" w:color="000000"/>
              <w:bottom w:val="single" w:sz="4" w:space="0" w:color="000000"/>
              <w:right w:val="nil"/>
            </w:tcBorders>
            <w:hideMark/>
          </w:tcPr>
          <w:p w14:paraId="03664CE6" w14:textId="77777777" w:rsidR="005B7E53" w:rsidRPr="00B15FC7" w:rsidRDefault="005B7E53" w:rsidP="0086665F">
            <w:pPr>
              <w:pStyle w:val="Tabletext"/>
              <w:jc w:val="center"/>
            </w:pPr>
            <w:r w:rsidRPr="00B15FC7">
              <w:t>C</w:t>
            </w:r>
          </w:p>
        </w:tc>
        <w:tc>
          <w:tcPr>
            <w:tcW w:w="4535" w:type="dxa"/>
            <w:tcBorders>
              <w:top w:val="single" w:sz="4" w:space="0" w:color="000000"/>
              <w:left w:val="single" w:sz="4" w:space="0" w:color="000000"/>
              <w:bottom w:val="single" w:sz="4" w:space="0" w:color="000000"/>
              <w:right w:val="single" w:sz="4" w:space="0" w:color="000000"/>
            </w:tcBorders>
            <w:hideMark/>
          </w:tcPr>
          <w:p w14:paraId="06A0C1A4" w14:textId="6EC06280" w:rsidR="005B7E53" w:rsidRPr="00B15FC7" w:rsidRDefault="005B7E53" w:rsidP="0086665F">
            <w:pPr>
              <w:pStyle w:val="Tabletext"/>
            </w:pPr>
            <w:r w:rsidRPr="00B15FC7">
              <w:t xml:space="preserve">Número </w:t>
            </w:r>
            <w:r w:rsidRPr="00B15FC7">
              <w:rPr>
                <w:b/>
                <w:bCs/>
              </w:rPr>
              <w:t>9.11</w:t>
            </w:r>
            <w:r w:rsidRPr="00B15FC7">
              <w:t>, R</w:t>
            </w:r>
            <w:r w:rsidR="003763A4">
              <w:t xml:space="preserve">esolución </w:t>
            </w:r>
            <w:r w:rsidRPr="00B15FC7">
              <w:rPr>
                <w:b/>
                <w:bCs/>
              </w:rPr>
              <w:t>539</w:t>
            </w:r>
          </w:p>
        </w:tc>
      </w:tr>
      <w:tr w:rsidR="005B7E53" w:rsidRPr="00B15FC7" w14:paraId="016E71AA" w14:textId="77777777" w:rsidTr="0086665F">
        <w:trPr>
          <w:jc w:val="center"/>
        </w:trPr>
        <w:tc>
          <w:tcPr>
            <w:tcW w:w="3572" w:type="dxa"/>
            <w:tcBorders>
              <w:top w:val="single" w:sz="4" w:space="0" w:color="000000"/>
              <w:left w:val="single" w:sz="4" w:space="0" w:color="000000"/>
              <w:bottom w:val="single" w:sz="4" w:space="0" w:color="000000"/>
              <w:right w:val="nil"/>
            </w:tcBorders>
            <w:hideMark/>
          </w:tcPr>
          <w:p w14:paraId="602BF207" w14:textId="77777777" w:rsidR="005B7E53" w:rsidRPr="00B15FC7" w:rsidRDefault="005B7E53" w:rsidP="0086665F">
            <w:pPr>
              <w:pStyle w:val="Tabletext"/>
              <w:jc w:val="center"/>
            </w:pPr>
            <w:r w:rsidRPr="00B15FC7">
              <w:t>D</w:t>
            </w:r>
          </w:p>
        </w:tc>
        <w:tc>
          <w:tcPr>
            <w:tcW w:w="4535" w:type="dxa"/>
            <w:tcBorders>
              <w:top w:val="single" w:sz="4" w:space="0" w:color="000000"/>
              <w:left w:val="single" w:sz="4" w:space="0" w:color="000000"/>
              <w:bottom w:val="single" w:sz="4" w:space="0" w:color="000000"/>
              <w:right w:val="single" w:sz="4" w:space="0" w:color="000000"/>
            </w:tcBorders>
            <w:hideMark/>
          </w:tcPr>
          <w:p w14:paraId="10F0D029" w14:textId="77777777" w:rsidR="005B7E53" w:rsidRPr="00B15FC7" w:rsidRDefault="005B7E53" w:rsidP="0086665F">
            <w:pPr>
              <w:pStyle w:val="Tabletext"/>
            </w:pPr>
            <w:r w:rsidRPr="00B15FC7">
              <w:t xml:space="preserve">Números </w:t>
            </w:r>
            <w:r w:rsidRPr="00B15FC7">
              <w:rPr>
                <w:b/>
                <w:bCs/>
              </w:rPr>
              <w:t>9.7B</w:t>
            </w:r>
            <w:r w:rsidRPr="00B15FC7">
              <w:t xml:space="preserve">, </w:t>
            </w:r>
            <w:r w:rsidRPr="00B15FC7">
              <w:rPr>
                <w:b/>
                <w:bCs/>
              </w:rPr>
              <w:t>9.11A</w:t>
            </w:r>
            <w:r w:rsidRPr="00B15FC7">
              <w:t xml:space="preserve">, </w:t>
            </w:r>
            <w:r w:rsidRPr="00B15FC7">
              <w:rPr>
                <w:b/>
                <w:bCs/>
              </w:rPr>
              <w:t>9.12</w:t>
            </w:r>
            <w:r w:rsidRPr="00B15FC7">
              <w:t xml:space="preserve">, </w:t>
            </w:r>
            <w:r w:rsidRPr="00B15FC7">
              <w:rPr>
                <w:b/>
                <w:bCs/>
              </w:rPr>
              <w:t>9.12A</w:t>
            </w:r>
            <w:r w:rsidRPr="00B15FC7">
              <w:t xml:space="preserve">, </w:t>
            </w:r>
            <w:r w:rsidRPr="00B15FC7">
              <w:rPr>
                <w:b/>
                <w:bCs/>
              </w:rPr>
              <w:t>9.13</w:t>
            </w:r>
            <w:r w:rsidRPr="00B15FC7">
              <w:t xml:space="preserve">, </w:t>
            </w:r>
            <w:r w:rsidRPr="00B15FC7">
              <w:rPr>
                <w:b/>
                <w:bCs/>
              </w:rPr>
              <w:t>9.14</w:t>
            </w:r>
          </w:p>
        </w:tc>
      </w:tr>
      <w:tr w:rsidR="005B7E53" w:rsidRPr="00B15FC7" w14:paraId="32236219" w14:textId="77777777" w:rsidTr="0086665F">
        <w:trPr>
          <w:jc w:val="center"/>
        </w:trPr>
        <w:tc>
          <w:tcPr>
            <w:tcW w:w="3572" w:type="dxa"/>
            <w:tcBorders>
              <w:top w:val="single" w:sz="4" w:space="0" w:color="000000"/>
              <w:left w:val="single" w:sz="4" w:space="0" w:color="000000"/>
              <w:bottom w:val="single" w:sz="4" w:space="0" w:color="000000"/>
              <w:right w:val="nil"/>
            </w:tcBorders>
            <w:hideMark/>
          </w:tcPr>
          <w:p w14:paraId="050B4627" w14:textId="77777777" w:rsidR="005B7E53" w:rsidRPr="00B15FC7" w:rsidRDefault="005B7E53" w:rsidP="0086665F">
            <w:pPr>
              <w:pStyle w:val="Tabletext"/>
              <w:jc w:val="center"/>
            </w:pPr>
            <w:r w:rsidRPr="00B15FC7">
              <w:t>E</w:t>
            </w:r>
          </w:p>
        </w:tc>
        <w:tc>
          <w:tcPr>
            <w:tcW w:w="4535" w:type="dxa"/>
            <w:tcBorders>
              <w:top w:val="single" w:sz="4" w:space="0" w:color="000000"/>
              <w:left w:val="single" w:sz="4" w:space="0" w:color="000000"/>
              <w:bottom w:val="single" w:sz="4" w:space="0" w:color="000000"/>
              <w:right w:val="single" w:sz="4" w:space="0" w:color="000000"/>
            </w:tcBorders>
            <w:hideMark/>
          </w:tcPr>
          <w:p w14:paraId="1C8EECE9" w14:textId="77777777" w:rsidR="005B7E53" w:rsidRPr="00B15FC7" w:rsidRDefault="005B7E53" w:rsidP="0086665F">
            <w:pPr>
              <w:pStyle w:val="Tabletext"/>
            </w:pPr>
            <w:r w:rsidRPr="00B15FC7">
              <w:t xml:space="preserve">Número </w:t>
            </w:r>
            <w:r w:rsidRPr="00B15FC7">
              <w:rPr>
                <w:b/>
                <w:bCs/>
              </w:rPr>
              <w:t>9.7A</w:t>
            </w:r>
            <w:r w:rsidRPr="00B15FC7">
              <w:rPr>
                <w:rStyle w:val="FootnoteReference"/>
              </w:rPr>
              <w:footnoteReference w:id="4"/>
            </w:r>
          </w:p>
        </w:tc>
      </w:tr>
      <w:tr w:rsidR="005B7E53" w:rsidRPr="00B15FC7" w14:paraId="4D309AEF" w14:textId="77777777" w:rsidTr="0086665F">
        <w:trPr>
          <w:jc w:val="center"/>
        </w:trPr>
        <w:tc>
          <w:tcPr>
            <w:tcW w:w="3572" w:type="dxa"/>
            <w:tcBorders>
              <w:top w:val="single" w:sz="4" w:space="0" w:color="000000"/>
              <w:left w:val="single" w:sz="4" w:space="0" w:color="000000"/>
              <w:bottom w:val="single" w:sz="4" w:space="0" w:color="000000"/>
              <w:right w:val="nil"/>
            </w:tcBorders>
            <w:hideMark/>
          </w:tcPr>
          <w:p w14:paraId="12771D28" w14:textId="77777777" w:rsidR="005B7E53" w:rsidRPr="00B15FC7" w:rsidRDefault="005B7E53" w:rsidP="0086665F">
            <w:pPr>
              <w:pStyle w:val="Tabletext"/>
              <w:jc w:val="center"/>
            </w:pPr>
            <w:r w:rsidRPr="00B15FC7">
              <w:t>F</w:t>
            </w:r>
          </w:p>
        </w:tc>
        <w:tc>
          <w:tcPr>
            <w:tcW w:w="4535" w:type="dxa"/>
            <w:tcBorders>
              <w:top w:val="single" w:sz="4" w:space="0" w:color="000000"/>
              <w:left w:val="single" w:sz="4" w:space="0" w:color="000000"/>
              <w:bottom w:val="single" w:sz="4" w:space="0" w:color="000000"/>
              <w:right w:val="single" w:sz="4" w:space="0" w:color="000000"/>
            </w:tcBorders>
            <w:hideMark/>
          </w:tcPr>
          <w:p w14:paraId="7EA64EF9" w14:textId="77777777" w:rsidR="005B7E53" w:rsidRPr="00B15FC7" w:rsidRDefault="005B7E53" w:rsidP="0086665F">
            <w:pPr>
              <w:pStyle w:val="Tabletext"/>
            </w:pPr>
            <w:r w:rsidRPr="00B15FC7">
              <w:t xml:space="preserve">Número </w:t>
            </w:r>
            <w:r w:rsidRPr="00B15FC7">
              <w:rPr>
                <w:b/>
                <w:bCs/>
              </w:rPr>
              <w:t>9.21</w:t>
            </w:r>
          </w:p>
        </w:tc>
      </w:tr>
    </w:tbl>
    <w:p w14:paraId="5CB4976B" w14:textId="77777777" w:rsidR="005B7E53" w:rsidRPr="00B15FC7" w:rsidRDefault="005B7E53" w:rsidP="005B7E53">
      <w:pPr>
        <w:pStyle w:val="Tablefin"/>
      </w:pPr>
    </w:p>
    <w:p w14:paraId="2D556745" w14:textId="77777777" w:rsidR="00632216" w:rsidRPr="00B15FC7" w:rsidRDefault="00632216" w:rsidP="0032202E">
      <w:pPr>
        <w:pStyle w:val="Reasons"/>
      </w:pPr>
    </w:p>
    <w:p w14:paraId="58F43063" w14:textId="6159DBAC" w:rsidR="00927F93" w:rsidRPr="00B15FC7" w:rsidRDefault="00CE2F0F" w:rsidP="00CE2F0F">
      <w:pPr>
        <w:jc w:val="center"/>
      </w:pPr>
      <w:r w:rsidRPr="00B15FC7">
        <w:t>______________</w:t>
      </w:r>
    </w:p>
    <w:sectPr w:rsidR="00927F93" w:rsidRPr="00B15FC7" w:rsidSect="005B7E53">
      <w:footerReference w:type="default" r:id="rId17"/>
      <w:headerReference w:type="first" r:id="rId18"/>
      <w:footerReference w:type="first" r:id="rId19"/>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B7E53" w:rsidRPr="00784011" w14:paraId="2D68C9E8" w14:textId="77777777" w:rsidTr="00F5114D">
      <w:trPr>
        <w:jc w:val="center"/>
      </w:trPr>
      <w:tc>
        <w:tcPr>
          <w:tcW w:w="1803" w:type="dxa"/>
          <w:vAlign w:val="center"/>
        </w:tcPr>
        <w:p w14:paraId="0515B7A9" w14:textId="0732EDB3" w:rsidR="005B7E53" w:rsidRDefault="009942E0" w:rsidP="00311160">
          <w:pPr>
            <w:pStyle w:val="Header"/>
            <w:jc w:val="left"/>
            <w:rPr>
              <w:noProof/>
            </w:rPr>
          </w:pPr>
          <w:r w:rsidRPr="009942E0">
            <w:rPr>
              <w:noProof/>
            </w:rPr>
            <w:t>R2401124</w:t>
          </w:r>
        </w:p>
      </w:tc>
      <w:tc>
        <w:tcPr>
          <w:tcW w:w="8261" w:type="dxa"/>
        </w:tcPr>
        <w:p w14:paraId="2D338B03" w14:textId="6E3AD4E6" w:rsidR="005B7E53" w:rsidRPr="00E06FD5" w:rsidRDefault="005B7E53" w:rsidP="00311160">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321C6E">
            <w:rPr>
              <w:bCs/>
            </w:rPr>
            <w:t>135</w:t>
          </w:r>
          <w:r>
            <w:rPr>
              <w:bCs/>
            </w:rPr>
            <w:t>-S</w:t>
          </w:r>
          <w:r>
            <w:rPr>
              <w:bCs/>
            </w:rPr>
            <w:tab/>
          </w:r>
          <w:r>
            <w:fldChar w:fldCharType="begin"/>
          </w:r>
          <w:r>
            <w:instrText>PAGE</w:instrText>
          </w:r>
          <w:r>
            <w:fldChar w:fldCharType="separate"/>
          </w:r>
          <w:r>
            <w:t>91</w:t>
          </w:r>
          <w:r>
            <w:rPr>
              <w:noProof/>
            </w:rPr>
            <w:fldChar w:fldCharType="end"/>
          </w:r>
        </w:p>
      </w:tc>
    </w:tr>
  </w:tbl>
  <w:p w14:paraId="28169EA0" w14:textId="77777777" w:rsidR="005B7E53" w:rsidRPr="00311160" w:rsidRDefault="005B7E53" w:rsidP="00311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B7E53" w:rsidRPr="00784011" w14:paraId="441E79DE" w14:textId="77777777" w:rsidTr="00F5114D">
      <w:trPr>
        <w:jc w:val="center"/>
      </w:trPr>
      <w:tc>
        <w:tcPr>
          <w:tcW w:w="1803" w:type="dxa"/>
          <w:vAlign w:val="center"/>
        </w:tcPr>
        <w:p w14:paraId="7CA8B1C5" w14:textId="7F4E0803" w:rsidR="005B7E53" w:rsidRPr="00B1729D" w:rsidRDefault="003763A4" w:rsidP="004759A3">
          <w:pPr>
            <w:spacing w:before="0"/>
            <w:rPr>
              <w:noProof/>
              <w:sz w:val="18"/>
              <w:szCs w:val="18"/>
            </w:rPr>
          </w:pPr>
          <w:hyperlink r:id="rId1" w:history="1">
            <w:r w:rsidR="00B1729D" w:rsidRPr="00B1729D">
              <w:rPr>
                <w:rStyle w:val="Hyperlink"/>
                <w:color w:val="0563C1"/>
                <w:sz w:val="18"/>
                <w:szCs w:val="18"/>
              </w:rPr>
              <w:t>www.itu.int/council</w:t>
            </w:r>
          </w:hyperlink>
        </w:p>
      </w:tc>
      <w:tc>
        <w:tcPr>
          <w:tcW w:w="8261" w:type="dxa"/>
        </w:tcPr>
        <w:p w14:paraId="6EB8D709" w14:textId="20E16521" w:rsidR="005B7E53" w:rsidRPr="00E06FD5" w:rsidRDefault="005B7E53" w:rsidP="00311160">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321C6E">
            <w:rPr>
              <w:bCs/>
            </w:rPr>
            <w:t>135</w:t>
          </w:r>
          <w:r>
            <w:rPr>
              <w:bCs/>
            </w:rPr>
            <w:t>-S</w:t>
          </w:r>
          <w:r>
            <w:rPr>
              <w:bCs/>
            </w:rPr>
            <w:tab/>
          </w:r>
          <w:r>
            <w:fldChar w:fldCharType="begin"/>
          </w:r>
          <w:r>
            <w:instrText>PAGE</w:instrText>
          </w:r>
          <w:r>
            <w:fldChar w:fldCharType="separate"/>
          </w:r>
          <w:r>
            <w:t>91</w:t>
          </w:r>
          <w:r>
            <w:rPr>
              <w:noProof/>
            </w:rPr>
            <w:fldChar w:fldCharType="end"/>
          </w:r>
        </w:p>
      </w:tc>
    </w:tr>
  </w:tbl>
  <w:p w14:paraId="60360E64" w14:textId="77777777" w:rsidR="005B7E53" w:rsidRPr="00311160" w:rsidRDefault="005B7E53" w:rsidP="00311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2100"/>
    </w:tblGrid>
    <w:tr w:rsidR="005B7E53" w:rsidRPr="00784011" w14:paraId="0B5E8BF5" w14:textId="77777777" w:rsidTr="002E4C64">
      <w:trPr>
        <w:jc w:val="center"/>
      </w:trPr>
      <w:tc>
        <w:tcPr>
          <w:tcW w:w="1905" w:type="dxa"/>
          <w:vAlign w:val="center"/>
        </w:tcPr>
        <w:p w14:paraId="11B84DA9" w14:textId="7D016E33" w:rsidR="005B7E53" w:rsidRDefault="009942E0" w:rsidP="002E4C64">
          <w:pPr>
            <w:pStyle w:val="Header"/>
            <w:jc w:val="left"/>
            <w:rPr>
              <w:noProof/>
            </w:rPr>
          </w:pPr>
          <w:r w:rsidRPr="009942E0">
            <w:rPr>
              <w:noProof/>
            </w:rPr>
            <w:t>R2401124</w:t>
          </w:r>
        </w:p>
      </w:tc>
      <w:tc>
        <w:tcPr>
          <w:tcW w:w="12100" w:type="dxa"/>
        </w:tcPr>
        <w:p w14:paraId="66880617" w14:textId="6DC28C4F" w:rsidR="005B7E53" w:rsidRPr="00E06FD5" w:rsidRDefault="005B7E53" w:rsidP="00311160">
          <w:pPr>
            <w:pStyle w:val="Header"/>
            <w:tabs>
              <w:tab w:val="right" w:pos="11316"/>
            </w:tabs>
            <w:jc w:val="left"/>
            <w:rPr>
              <w:rFonts w:ascii="Arial" w:hAnsi="Arial" w:cs="Arial"/>
              <w:b/>
              <w:bCs/>
              <w:szCs w:val="18"/>
            </w:rPr>
          </w:pPr>
          <w:r>
            <w:rPr>
              <w:bCs/>
            </w:rPr>
            <w:tab/>
          </w:r>
          <w:r w:rsidRPr="00623AE3">
            <w:rPr>
              <w:bCs/>
            </w:rPr>
            <w:t>C</w:t>
          </w:r>
          <w:r>
            <w:rPr>
              <w:bCs/>
            </w:rPr>
            <w:t>24</w:t>
          </w:r>
          <w:r w:rsidRPr="00623AE3">
            <w:rPr>
              <w:bCs/>
            </w:rPr>
            <w:t>/</w:t>
          </w:r>
          <w:r w:rsidR="00321C6E">
            <w:rPr>
              <w:bCs/>
            </w:rPr>
            <w:t>135</w:t>
          </w:r>
          <w:r w:rsidRPr="00623AE3">
            <w:rPr>
              <w:bCs/>
            </w:rPr>
            <w:t>-</w:t>
          </w:r>
          <w:r>
            <w:rPr>
              <w:bCs/>
            </w:rPr>
            <w:t>S</w:t>
          </w:r>
          <w:r>
            <w:rPr>
              <w:bCs/>
            </w:rPr>
            <w:tab/>
          </w:r>
          <w:r>
            <w:fldChar w:fldCharType="begin"/>
          </w:r>
          <w:r>
            <w:instrText>PAGE</w:instrText>
          </w:r>
          <w:r>
            <w:fldChar w:fldCharType="separate"/>
          </w:r>
          <w:r>
            <w:t>74</w:t>
          </w:r>
          <w:r>
            <w:rPr>
              <w:noProof/>
            </w:rPr>
            <w:fldChar w:fldCharType="end"/>
          </w:r>
        </w:p>
      </w:tc>
    </w:tr>
  </w:tbl>
  <w:p w14:paraId="452BE330" w14:textId="77777777" w:rsidR="005B7E53" w:rsidRPr="002E4C64" w:rsidRDefault="005B7E53" w:rsidP="00B756EF">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2100"/>
    </w:tblGrid>
    <w:tr w:rsidR="005B7E53" w:rsidRPr="00784011" w14:paraId="08E8B849" w14:textId="77777777" w:rsidTr="00F5114D">
      <w:trPr>
        <w:jc w:val="center"/>
      </w:trPr>
      <w:tc>
        <w:tcPr>
          <w:tcW w:w="1905" w:type="dxa"/>
          <w:vAlign w:val="center"/>
        </w:tcPr>
        <w:p w14:paraId="0C37BE20" w14:textId="3C009283" w:rsidR="005B7E53" w:rsidRDefault="009942E0" w:rsidP="007203B1">
          <w:pPr>
            <w:pStyle w:val="Header"/>
            <w:jc w:val="left"/>
            <w:rPr>
              <w:noProof/>
            </w:rPr>
          </w:pPr>
          <w:r w:rsidRPr="009942E0">
            <w:rPr>
              <w:noProof/>
            </w:rPr>
            <w:t>R2401124</w:t>
          </w:r>
        </w:p>
      </w:tc>
      <w:tc>
        <w:tcPr>
          <w:tcW w:w="12100" w:type="dxa"/>
        </w:tcPr>
        <w:p w14:paraId="51857BBC" w14:textId="59C0816C" w:rsidR="005B7E53" w:rsidRPr="00E06FD5" w:rsidRDefault="005B7E53" w:rsidP="007203B1">
          <w:pPr>
            <w:pStyle w:val="Header"/>
            <w:tabs>
              <w:tab w:val="right" w:pos="11316"/>
            </w:tabs>
            <w:jc w:val="left"/>
            <w:rPr>
              <w:rFonts w:ascii="Arial" w:hAnsi="Arial" w:cs="Arial"/>
              <w:b/>
              <w:bCs/>
              <w:szCs w:val="18"/>
            </w:rPr>
          </w:pPr>
          <w:r>
            <w:rPr>
              <w:bCs/>
            </w:rPr>
            <w:tab/>
          </w:r>
          <w:r w:rsidRPr="00623AE3">
            <w:rPr>
              <w:bCs/>
            </w:rPr>
            <w:t>C</w:t>
          </w:r>
          <w:r>
            <w:rPr>
              <w:bCs/>
            </w:rPr>
            <w:t>24</w:t>
          </w:r>
          <w:r w:rsidRPr="00623AE3">
            <w:rPr>
              <w:bCs/>
            </w:rPr>
            <w:t>/</w:t>
          </w:r>
          <w:r w:rsidR="00321C6E">
            <w:rPr>
              <w:bCs/>
            </w:rPr>
            <w:t>135</w:t>
          </w:r>
          <w:r w:rsidRPr="00623AE3">
            <w:rPr>
              <w:bCs/>
            </w:rPr>
            <w:t>-</w:t>
          </w:r>
          <w:r>
            <w:rPr>
              <w:bCs/>
            </w:rPr>
            <w:t>S</w:t>
          </w:r>
          <w:r>
            <w:rPr>
              <w:bCs/>
            </w:rPr>
            <w:tab/>
          </w:r>
          <w:r>
            <w:fldChar w:fldCharType="begin"/>
          </w:r>
          <w:r>
            <w:instrText>PAGE</w:instrText>
          </w:r>
          <w:r>
            <w:fldChar w:fldCharType="separate"/>
          </w:r>
          <w:r>
            <w:t>65</w:t>
          </w:r>
          <w:r>
            <w:rPr>
              <w:noProof/>
            </w:rPr>
            <w:fldChar w:fldCharType="end"/>
          </w:r>
        </w:p>
      </w:tc>
    </w:tr>
  </w:tbl>
  <w:p w14:paraId="62F28BF4" w14:textId="77777777" w:rsidR="005B7E53" w:rsidRPr="007203B1" w:rsidRDefault="005B7E53" w:rsidP="007203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AED86B9" w:rsidR="003273A4" w:rsidRDefault="009942E0" w:rsidP="003273A4">
          <w:pPr>
            <w:pStyle w:val="Header"/>
            <w:jc w:val="left"/>
            <w:rPr>
              <w:noProof/>
            </w:rPr>
          </w:pPr>
          <w:r w:rsidRPr="009942E0">
            <w:rPr>
              <w:noProof/>
            </w:rPr>
            <w:t>R2401124</w:t>
          </w:r>
        </w:p>
      </w:tc>
      <w:tc>
        <w:tcPr>
          <w:tcW w:w="8261" w:type="dxa"/>
        </w:tcPr>
        <w:p w14:paraId="31328314" w14:textId="263430D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21C6E">
            <w:rPr>
              <w:bCs/>
            </w:rPr>
            <w:t>135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CC1985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/xx-</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1721C07C" w14:textId="77777777" w:rsidR="005B7E53" w:rsidRPr="00F66FB9" w:rsidRDefault="005B7E53" w:rsidP="005B7E53">
      <w:pPr>
        <w:pStyle w:val="FootnoteText"/>
        <w:rPr>
          <w:lang w:val="es-ES"/>
        </w:rPr>
      </w:pPr>
      <w:r>
        <w:rPr>
          <w:rStyle w:val="FootnoteReference"/>
        </w:rPr>
        <w:footnoteRef/>
      </w:r>
      <w:r>
        <w:tab/>
      </w:r>
      <w:r w:rsidRPr="00321C6E">
        <w:rPr>
          <w:sz w:val="20"/>
          <w:lang w:val="es-ES"/>
        </w:rPr>
        <w:t>En este Acuerdo, por "redes de satélites" se entiende todo sistema espacial conforme con el número </w:t>
      </w:r>
      <w:r w:rsidRPr="00321C6E">
        <w:rPr>
          <w:b/>
          <w:bCs/>
          <w:sz w:val="20"/>
          <w:lang w:val="es-ES"/>
        </w:rPr>
        <w:t>1.110</w:t>
      </w:r>
      <w:r w:rsidRPr="00321C6E">
        <w:rPr>
          <w:sz w:val="20"/>
          <w:lang w:val="es-ES"/>
        </w:rPr>
        <w:t xml:space="preserve"> del Reglamento de Radiocomunicaciones.</w:t>
      </w:r>
    </w:p>
  </w:footnote>
  <w:footnote w:id="2">
    <w:p w14:paraId="04E21C02" w14:textId="77777777" w:rsidR="005B7E53" w:rsidRPr="00F66FB9" w:rsidRDefault="005B7E53" w:rsidP="005B7E53">
      <w:pPr>
        <w:pStyle w:val="FootnoteText"/>
        <w:rPr>
          <w:lang w:val="es-ES"/>
        </w:rPr>
      </w:pPr>
      <w:r>
        <w:rPr>
          <w:rStyle w:val="FootnoteReference"/>
        </w:rPr>
        <w:footnoteRef/>
      </w:r>
      <w:r>
        <w:tab/>
      </w:r>
      <w:r w:rsidRPr="00321C6E">
        <w:rPr>
          <w:sz w:val="20"/>
          <w:lang w:val="es-ES"/>
        </w:rPr>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14:paraId="0AED0994" w14:textId="2589E879" w:rsidR="005B7E53" w:rsidRDefault="005B7E53" w:rsidP="005B7E53">
      <w:pPr>
        <w:pStyle w:val="FootnoteText"/>
        <w:spacing w:before="60"/>
        <w:ind w:left="255" w:hanging="255"/>
        <w:rPr>
          <w:lang w:val="es-ES"/>
        </w:rPr>
      </w:pPr>
      <w:r w:rsidRPr="000440A1">
        <w:rPr>
          <w:rStyle w:val="FootnoteReference"/>
        </w:rPr>
        <w:footnoteRef/>
      </w:r>
      <w:r>
        <w:rPr>
          <w:lang w:val="es-ES"/>
        </w:rPr>
        <w:tab/>
      </w:r>
      <w:r w:rsidRPr="00321C6E">
        <w:rPr>
          <w:sz w:val="20"/>
        </w:rPr>
        <w:t>Una presentación de notificaciones con arreglo al Artículo 4 del Apéndice </w:t>
      </w:r>
      <w:r w:rsidRPr="00321C6E">
        <w:rPr>
          <w:b/>
          <w:bCs/>
          <w:sz w:val="20"/>
        </w:rPr>
        <w:t>30</w:t>
      </w:r>
      <w:r w:rsidRPr="00321C6E">
        <w:rPr>
          <w:sz w:val="20"/>
        </w:rPr>
        <w:t xml:space="preserve"> </w:t>
      </w:r>
      <w:r w:rsidR="00B1729D">
        <w:rPr>
          <w:sz w:val="20"/>
        </w:rPr>
        <w:t xml:space="preserve">y del Apéndice </w:t>
      </w:r>
      <w:r w:rsidR="00B1729D" w:rsidRPr="00B1729D">
        <w:rPr>
          <w:b/>
          <w:bCs/>
          <w:sz w:val="20"/>
        </w:rPr>
        <w:t>30A</w:t>
      </w:r>
      <w:r w:rsidR="00B1729D">
        <w:rPr>
          <w:sz w:val="20"/>
        </w:rPr>
        <w:t xml:space="preserve"> </w:t>
      </w:r>
      <w:r w:rsidRPr="00321C6E">
        <w:rPr>
          <w:sz w:val="20"/>
        </w:rPr>
        <w:t>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4">
    <w:p w14:paraId="71592CB9" w14:textId="77777777" w:rsidR="005B7E53" w:rsidRPr="006362ED" w:rsidRDefault="005B7E53" w:rsidP="005B7E53">
      <w:pPr>
        <w:pStyle w:val="FootnoteText"/>
      </w:pPr>
      <w:r>
        <w:rPr>
          <w:rStyle w:val="FootnoteReference"/>
        </w:rPr>
        <w:footnoteRef/>
      </w:r>
      <w:r>
        <w:tab/>
      </w:r>
      <w:r w:rsidRPr="00321C6E">
        <w:rPr>
          <w:sz w:val="20"/>
          <w:lang w:val="es-ES"/>
        </w:rPr>
        <w:t xml:space="preserve">Recuperación de costes sólo en el caso de la Categoría C1. Véase igualmente el punto 11 del </w:t>
      </w:r>
      <w:r w:rsidRPr="00321C6E">
        <w:rPr>
          <w:i/>
          <w:iCs/>
          <w:sz w:val="20"/>
          <w:lang w:val="es-ES"/>
        </w:rPr>
        <w:t>acuerda</w:t>
      </w:r>
      <w:r w:rsidRPr="00321C6E">
        <w:rPr>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B7E53" w:rsidRPr="00784011" w14:paraId="41877556" w14:textId="77777777" w:rsidTr="0086665F">
      <w:trPr>
        <w:trHeight w:val="1104"/>
        <w:jc w:val="center"/>
      </w:trPr>
      <w:tc>
        <w:tcPr>
          <w:tcW w:w="4390" w:type="dxa"/>
          <w:vAlign w:val="center"/>
        </w:tcPr>
        <w:p w14:paraId="64699035" w14:textId="77777777" w:rsidR="005B7E53" w:rsidRPr="009621F8" w:rsidRDefault="005B7E53" w:rsidP="005B7E53">
          <w:pPr>
            <w:pStyle w:val="Header"/>
            <w:jc w:val="left"/>
            <w:rPr>
              <w:rFonts w:ascii="Arial" w:hAnsi="Arial" w:cs="Arial"/>
              <w:b/>
              <w:bCs/>
              <w:color w:val="009CD6"/>
              <w:sz w:val="36"/>
              <w:szCs w:val="36"/>
            </w:rPr>
          </w:pPr>
          <w:r>
            <w:rPr>
              <w:noProof/>
            </w:rPr>
            <w:drawing>
              <wp:inline distT="0" distB="0" distL="0" distR="0" wp14:anchorId="05E2D56A" wp14:editId="63994EEB">
                <wp:extent cx="2368800" cy="558000"/>
                <wp:effectExtent l="0" t="0" r="0" b="0"/>
                <wp:docPr id="1205964815"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64815"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40CE27C2" w14:textId="77777777" w:rsidR="005B7E53" w:rsidRDefault="005B7E53" w:rsidP="005B7E53">
          <w:pPr>
            <w:pStyle w:val="Header"/>
            <w:jc w:val="right"/>
            <w:rPr>
              <w:rFonts w:ascii="Arial" w:hAnsi="Arial" w:cs="Arial"/>
              <w:b/>
              <w:bCs/>
              <w:color w:val="009CD6"/>
              <w:szCs w:val="18"/>
            </w:rPr>
          </w:pPr>
        </w:p>
        <w:p w14:paraId="3FD80389" w14:textId="77777777" w:rsidR="005B7E53" w:rsidRDefault="005B7E53" w:rsidP="005B7E53">
          <w:pPr>
            <w:pStyle w:val="Header"/>
            <w:jc w:val="right"/>
            <w:rPr>
              <w:rFonts w:ascii="Arial" w:hAnsi="Arial" w:cs="Arial"/>
              <w:b/>
              <w:bCs/>
              <w:color w:val="009CD6"/>
              <w:szCs w:val="18"/>
            </w:rPr>
          </w:pPr>
        </w:p>
        <w:p w14:paraId="5D0C723D" w14:textId="77777777" w:rsidR="005B7E53" w:rsidRPr="00784011" w:rsidRDefault="005B7E53" w:rsidP="005B7E5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4AD42A8" w14:textId="77777777" w:rsidR="005B7E53" w:rsidRDefault="005B7E53" w:rsidP="005B7E5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368DF661" wp14:editId="7F31C259">
              <wp:simplePos x="0" y="0"/>
              <wp:positionH relativeFrom="page">
                <wp:posOffset>7620</wp:posOffset>
              </wp:positionH>
              <wp:positionV relativeFrom="topMargin">
                <wp:posOffset>646888</wp:posOffset>
              </wp:positionV>
              <wp:extent cx="92075" cy="360680"/>
              <wp:effectExtent l="0" t="0" r="5080" b="1270"/>
              <wp:wrapNone/>
              <wp:docPr id="1823173452" name="Rectangle 1823173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C57FF" id="Rectangle 1823173452" o:spid="_x0000_s1026" style="position:absolute;margin-left:.6pt;margin-top:50.9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0273" w14:textId="77777777" w:rsidR="005B7E53" w:rsidRDefault="005B7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EEA1" w14:textId="77777777" w:rsidR="005B7E53" w:rsidRDefault="005B7E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0" w:name="_Hlk133422111"/>
          <w:r>
            <w:rPr>
              <w:noProof/>
            </w:rPr>
            <w:drawing>
              <wp:inline distT="0" distB="0" distL="0" distR="0" wp14:anchorId="609EF78D" wp14:editId="2F51CA14">
                <wp:extent cx="2368800" cy="558000"/>
                <wp:effectExtent l="0" t="0" r="0" b="0"/>
                <wp:docPr id="404315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468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C627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E62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0E1E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85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E3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0F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1C3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2A5B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9834FC"/>
    <w:lvl w:ilvl="0">
      <w:start w:val="1"/>
      <w:numFmt w:val="bullet"/>
      <w:lvlText w:val=""/>
      <w:lvlJc w:val="left"/>
      <w:pPr>
        <w:tabs>
          <w:tab w:val="num" w:pos="360"/>
        </w:tabs>
        <w:ind w:left="360" w:hanging="360"/>
      </w:pPr>
      <w:rPr>
        <w:rFonts w:ascii="Symbol" w:hAnsi="Symbol" w:hint="default"/>
      </w:rPr>
    </w:lvl>
  </w:abstractNum>
  <w:num w:numId="1" w16cid:durableId="162278582">
    <w:abstractNumId w:val="9"/>
  </w:num>
  <w:num w:numId="2" w16cid:durableId="1931426408">
    <w:abstractNumId w:val="7"/>
  </w:num>
  <w:num w:numId="3" w16cid:durableId="1713573309">
    <w:abstractNumId w:val="6"/>
  </w:num>
  <w:num w:numId="4" w16cid:durableId="166292502">
    <w:abstractNumId w:val="5"/>
  </w:num>
  <w:num w:numId="5" w16cid:durableId="900601799">
    <w:abstractNumId w:val="4"/>
  </w:num>
  <w:num w:numId="6" w16cid:durableId="421295882">
    <w:abstractNumId w:val="8"/>
  </w:num>
  <w:num w:numId="7" w16cid:durableId="1352104922">
    <w:abstractNumId w:val="3"/>
  </w:num>
  <w:num w:numId="8" w16cid:durableId="705103536">
    <w:abstractNumId w:val="2"/>
  </w:num>
  <w:num w:numId="9" w16cid:durableId="1515000290">
    <w:abstractNumId w:val="1"/>
  </w:num>
  <w:num w:numId="10" w16cid:durableId="1474449435">
    <w:abstractNumId w:val="0"/>
  </w:num>
  <w:num w:numId="11" w16cid:durableId="1918202472">
    <w:abstractNumId w:val="8"/>
  </w:num>
  <w:num w:numId="12" w16cid:durableId="1501313126">
    <w:abstractNumId w:val="3"/>
  </w:num>
  <w:num w:numId="13" w16cid:durableId="444739163">
    <w:abstractNumId w:val="2"/>
  </w:num>
  <w:num w:numId="14" w16cid:durableId="1922595253">
    <w:abstractNumId w:val="1"/>
  </w:num>
  <w:num w:numId="15" w16cid:durableId="95933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45828"/>
    <w:rsid w:val="00093EEB"/>
    <w:rsid w:val="000B0D00"/>
    <w:rsid w:val="000B7C15"/>
    <w:rsid w:val="000D1D0F"/>
    <w:rsid w:val="000E55D7"/>
    <w:rsid w:val="000F5290"/>
    <w:rsid w:val="0010165C"/>
    <w:rsid w:val="00103246"/>
    <w:rsid w:val="001105AA"/>
    <w:rsid w:val="00146BFB"/>
    <w:rsid w:val="001559F5"/>
    <w:rsid w:val="00190C7A"/>
    <w:rsid w:val="001F14A2"/>
    <w:rsid w:val="00227171"/>
    <w:rsid w:val="00231A68"/>
    <w:rsid w:val="00261DEC"/>
    <w:rsid w:val="002801AA"/>
    <w:rsid w:val="002C4676"/>
    <w:rsid w:val="002C70B0"/>
    <w:rsid w:val="002F3CC4"/>
    <w:rsid w:val="00321C6E"/>
    <w:rsid w:val="003273A4"/>
    <w:rsid w:val="003763A4"/>
    <w:rsid w:val="003F1C6A"/>
    <w:rsid w:val="0041770B"/>
    <w:rsid w:val="004337FA"/>
    <w:rsid w:val="00473962"/>
    <w:rsid w:val="004759A3"/>
    <w:rsid w:val="004B5D49"/>
    <w:rsid w:val="004F2A35"/>
    <w:rsid w:val="00513630"/>
    <w:rsid w:val="005329A8"/>
    <w:rsid w:val="0053349D"/>
    <w:rsid w:val="00560125"/>
    <w:rsid w:val="00585553"/>
    <w:rsid w:val="005B34D9"/>
    <w:rsid w:val="005B7E53"/>
    <w:rsid w:val="005D0CCF"/>
    <w:rsid w:val="005F3BCB"/>
    <w:rsid w:val="005F410F"/>
    <w:rsid w:val="0060149A"/>
    <w:rsid w:val="00601924"/>
    <w:rsid w:val="00632216"/>
    <w:rsid w:val="0064032B"/>
    <w:rsid w:val="006447EA"/>
    <w:rsid w:val="0064481D"/>
    <w:rsid w:val="0064731F"/>
    <w:rsid w:val="00664572"/>
    <w:rsid w:val="006710F6"/>
    <w:rsid w:val="00677A97"/>
    <w:rsid w:val="006C1B56"/>
    <w:rsid w:val="006D186C"/>
    <w:rsid w:val="006D4761"/>
    <w:rsid w:val="006E27A1"/>
    <w:rsid w:val="00703E6F"/>
    <w:rsid w:val="00707B49"/>
    <w:rsid w:val="00726872"/>
    <w:rsid w:val="00760F1C"/>
    <w:rsid w:val="007657F0"/>
    <w:rsid w:val="0077252D"/>
    <w:rsid w:val="00773DA9"/>
    <w:rsid w:val="007955DA"/>
    <w:rsid w:val="007E5DD3"/>
    <w:rsid w:val="007F350B"/>
    <w:rsid w:val="0080725C"/>
    <w:rsid w:val="00820BE4"/>
    <w:rsid w:val="008239CD"/>
    <w:rsid w:val="008451E8"/>
    <w:rsid w:val="00913B9C"/>
    <w:rsid w:val="00927F93"/>
    <w:rsid w:val="00951A5D"/>
    <w:rsid w:val="00956E77"/>
    <w:rsid w:val="009942E0"/>
    <w:rsid w:val="009D4C75"/>
    <w:rsid w:val="009F4811"/>
    <w:rsid w:val="00A20B0E"/>
    <w:rsid w:val="00A81C9A"/>
    <w:rsid w:val="00A81D80"/>
    <w:rsid w:val="00A85E5E"/>
    <w:rsid w:val="00AA390C"/>
    <w:rsid w:val="00B0200A"/>
    <w:rsid w:val="00B15FC7"/>
    <w:rsid w:val="00B1729D"/>
    <w:rsid w:val="00B574DB"/>
    <w:rsid w:val="00B826C2"/>
    <w:rsid w:val="00B8298E"/>
    <w:rsid w:val="00BD0723"/>
    <w:rsid w:val="00BD2518"/>
    <w:rsid w:val="00BF1D1C"/>
    <w:rsid w:val="00C20C59"/>
    <w:rsid w:val="00C235B5"/>
    <w:rsid w:val="00C2727F"/>
    <w:rsid w:val="00C538FC"/>
    <w:rsid w:val="00C55B1F"/>
    <w:rsid w:val="00CB421D"/>
    <w:rsid w:val="00CE2F0F"/>
    <w:rsid w:val="00CF1A67"/>
    <w:rsid w:val="00D2750E"/>
    <w:rsid w:val="00D3655C"/>
    <w:rsid w:val="00D43B85"/>
    <w:rsid w:val="00D50A36"/>
    <w:rsid w:val="00D62446"/>
    <w:rsid w:val="00DA4EA2"/>
    <w:rsid w:val="00DB7EC6"/>
    <w:rsid w:val="00DC3D3E"/>
    <w:rsid w:val="00DE2C90"/>
    <w:rsid w:val="00DE3B24"/>
    <w:rsid w:val="00E06947"/>
    <w:rsid w:val="00E34072"/>
    <w:rsid w:val="00E3592D"/>
    <w:rsid w:val="00E50D76"/>
    <w:rsid w:val="00E77A9E"/>
    <w:rsid w:val="00E90E6C"/>
    <w:rsid w:val="00E92DE8"/>
    <w:rsid w:val="00EA0B5E"/>
    <w:rsid w:val="00EB1212"/>
    <w:rsid w:val="00ED65AB"/>
    <w:rsid w:val="00F12850"/>
    <w:rsid w:val="00F24B71"/>
    <w:rsid w:val="00F33BF4"/>
    <w:rsid w:val="00F7105E"/>
    <w:rsid w:val="00F75F57"/>
    <w:rsid w:val="00F82FEE"/>
    <w:rsid w:val="00F86AC1"/>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Italic"/>
    <w:basedOn w:val="DefaultParagraphFont"/>
    <w:qFormat/>
    <w:rsid w:val="000B0D00"/>
    <w:rPr>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超?级链,하이퍼링크2,하이퍼링크21,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CE2F0F"/>
    <w:rPr>
      <w:rFonts w:asciiTheme="minorHAnsi" w:hAnsiTheme="minorHAnsi" w:cstheme="minorHAnsi"/>
    </w:rPr>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rsid w:val="00CE2F0F"/>
    <w:rPr>
      <w:rFonts w:ascii="Calibri" w:hAnsi="Calibri"/>
      <w:i/>
      <w:sz w:val="24"/>
      <w:lang w:val="es-ES_tradnl" w:eastAsia="en-US"/>
    </w:rPr>
  </w:style>
  <w:style w:type="character" w:customStyle="1" w:styleId="NormalaftertitleChar">
    <w:name w:val="Normal after title Char"/>
    <w:link w:val="Normalaftertitle"/>
    <w:rsid w:val="00CE2F0F"/>
    <w:rPr>
      <w:rFonts w:ascii="Calibri" w:hAnsi="Calibri"/>
      <w:sz w:val="24"/>
      <w:lang w:val="es-ES_tradnl" w:eastAsia="en-US"/>
    </w:rPr>
  </w:style>
  <w:style w:type="paragraph" w:customStyle="1" w:styleId="Tablefin">
    <w:name w:val="Table_fin"/>
    <w:basedOn w:val="Tabletext"/>
    <w:rsid w:val="00773DA9"/>
    <w:pPr>
      <w:spacing w:before="0" w:after="0"/>
    </w:pPr>
  </w:style>
  <w:style w:type="table" w:styleId="TableGridLight">
    <w:name w:val="Grid Table Light"/>
    <w:basedOn w:val="TableNormal"/>
    <w:uiPriority w:val="40"/>
    <w:rsid w:val="006322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D3655C"/>
  </w:style>
  <w:style w:type="character" w:customStyle="1" w:styleId="eop">
    <w:name w:val="eop"/>
    <w:basedOn w:val="DefaultParagraphFont"/>
    <w:rsid w:val="00D3655C"/>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qFormat/>
    <w:rsid w:val="005B7E53"/>
    <w:rPr>
      <w:rFonts w:ascii="Calibri" w:hAnsi="Calibri"/>
      <w:sz w:val="24"/>
      <w:lang w:val="es-ES_tradnl" w:eastAsia="en-US"/>
    </w:rPr>
  </w:style>
  <w:style w:type="character" w:customStyle="1" w:styleId="FooterChar">
    <w:name w:val="Footer Char"/>
    <w:link w:val="Footer"/>
    <w:rsid w:val="005B7E53"/>
    <w:rPr>
      <w:rFonts w:ascii="Calibri" w:hAnsi="Calibri"/>
      <w:caps/>
      <w:noProof/>
      <w:sz w:val="16"/>
      <w:lang w:val="es-ES_tradnl" w:eastAsia="en-US"/>
    </w:rPr>
  </w:style>
  <w:style w:type="character" w:styleId="UnresolvedMention">
    <w:name w:val="Unresolved Mention"/>
    <w:basedOn w:val="DefaultParagraphFont"/>
    <w:uiPriority w:val="99"/>
    <w:semiHidden/>
    <w:unhideWhenUsed/>
    <w:rsid w:val="0047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99/docs/docs1/047-es.htm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itudoc/gs/council/c99/docs/docs1/068-es.html"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itu.int/md/S05-CL-C-0029/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4362</Words>
  <Characters>21574</Characters>
  <Application>Microsoft Office Word</Application>
  <DocSecurity>0</DocSecurity>
  <Lines>179</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Company>International Telecommunication Union</Company>
  <LinksUpToDate>false</LinksUpToDate>
  <CharactersWithSpaces>25885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482 - Implementation of cost recovery for satellite nework filings</dc:title>
  <dc:subject>2024 session of the Council</dc:subject>
  <cp:keywords>Council-24; C24; Council 2024</cp:keywords>
  <dc:description/>
  <cp:lastModifiedBy>Brouard, Ricarda</cp:lastModifiedBy>
  <cp:revision>2</cp:revision>
  <cp:lastPrinted>2006-03-24T09:51:00Z</cp:lastPrinted>
  <dcterms:created xsi:type="dcterms:W3CDTF">2024-06-17T07:36:00Z</dcterms:created>
  <dcterms:modified xsi:type="dcterms:W3CDTF">2024-07-16T10:34:00Z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