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0D02E4F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BFD5B79" w14:textId="5DD5624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245309">
              <w:rPr>
                <w:b/>
                <w:lang w:val="fr-CH"/>
              </w:rPr>
              <w:t>134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5D8B4BA9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6F4C43">
              <w:rPr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6F4C43">
              <w:rPr>
                <w:b/>
                <w:lang w:eastAsia="zh-CN"/>
              </w:rPr>
              <w:t>14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57DCAF05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8D70D2">
              <w:rPr>
                <w:b/>
                <w:bCs/>
                <w:lang w:val="zh-CN"/>
              </w:rPr>
              <w:t>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A4F94F2" w14:textId="6BCB4DA9" w:rsidR="00E01F27" w:rsidRDefault="00E01F27" w:rsidP="0007485A">
      <w:pPr>
        <w:pStyle w:val="ResNo"/>
        <w:rPr>
          <w:lang w:val="es-ES" w:eastAsia="zh-CN"/>
        </w:rPr>
      </w:pPr>
      <w:bookmarkStart w:id="5" w:name="annxex"/>
      <w:bookmarkEnd w:id="4"/>
      <w:bookmarkEnd w:id="2"/>
      <w:bookmarkEnd w:id="5"/>
      <w:r>
        <w:rPr>
          <w:lang w:val="zh-CN" w:eastAsia="zh-CN"/>
        </w:rPr>
        <w:t>第</w:t>
      </w:r>
      <w:r w:rsidR="006F4C43">
        <w:rPr>
          <w:lang w:val="es-ES" w:eastAsia="zh-CN"/>
        </w:rPr>
        <w:t>142</w:t>
      </w:r>
      <w:r w:rsidR="00245309">
        <w:rPr>
          <w:lang w:val="es-ES" w:eastAsia="zh-CN"/>
        </w:rPr>
        <w:t>7</w:t>
      </w:r>
      <w:r>
        <w:rPr>
          <w:lang w:val="zh-CN" w:eastAsia="zh-CN"/>
        </w:rPr>
        <w:t>号决议</w:t>
      </w:r>
    </w:p>
    <w:p w14:paraId="4765EE88" w14:textId="50692A0C" w:rsidR="00CD59DA" w:rsidRPr="00FC2588" w:rsidRDefault="00FC2588" w:rsidP="0007485A">
      <w:pPr>
        <w:pStyle w:val="Resref"/>
        <w:rPr>
          <w:b/>
          <w:lang w:val="es-ES" w:eastAsia="zh-CN"/>
        </w:rPr>
      </w:pPr>
      <w:r w:rsidRPr="00FC2588">
        <w:rPr>
          <w:rFonts w:hint="eastAsia"/>
          <w:lang w:val="es-ES" w:eastAsia="zh-CN"/>
        </w:rPr>
        <w:t>（第十次全体会议通过）</w:t>
      </w:r>
    </w:p>
    <w:p w14:paraId="0BF0669B" w14:textId="3DFC59C2" w:rsidR="00D2670F" w:rsidRDefault="00D2670F" w:rsidP="00D2670F">
      <w:pPr>
        <w:pStyle w:val="Restitle"/>
        <w:rPr>
          <w:lang w:eastAsia="zh-CN"/>
        </w:rPr>
      </w:pPr>
      <w:r w:rsidRPr="000546C4">
        <w:rPr>
          <w:rFonts w:asciiTheme="minorHAnsi" w:hAnsiTheme="minorHAnsi" w:cstheme="minorHAnsi"/>
          <w:lang w:eastAsia="zh-CN"/>
        </w:rPr>
        <w:t>2023</w:t>
      </w:r>
      <w:r>
        <w:rPr>
          <w:rFonts w:hint="eastAsia"/>
          <w:lang w:eastAsia="zh-CN"/>
        </w:rPr>
        <w:t>年预算执行</w:t>
      </w:r>
      <w:r>
        <w:rPr>
          <w:rFonts w:hint="eastAsia"/>
          <w:lang w:val="en-US" w:eastAsia="zh-CN"/>
        </w:rPr>
        <w:t>所</w:t>
      </w:r>
      <w:r>
        <w:rPr>
          <w:rFonts w:hint="eastAsia"/>
          <w:lang w:eastAsia="zh-CN"/>
        </w:rPr>
        <w:t>实现节余和</w:t>
      </w:r>
      <w:r w:rsidR="00883750">
        <w:rPr>
          <w:lang w:eastAsia="zh-CN"/>
        </w:rPr>
        <w:br/>
      </w:r>
      <w:r>
        <w:rPr>
          <w:rFonts w:hint="eastAsia"/>
          <w:lang w:eastAsia="zh-CN"/>
        </w:rPr>
        <w:t>电信展周转资本基金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分配</w:t>
      </w:r>
    </w:p>
    <w:p w14:paraId="209CEE4D" w14:textId="77777777" w:rsidR="00D2670F" w:rsidRDefault="00D2670F" w:rsidP="00D2670F">
      <w:pPr>
        <w:pStyle w:val="Normalaftertitle"/>
        <w:rPr>
          <w:rStyle w:val="eop"/>
          <w:rFonts w:cs="Calibri"/>
          <w:lang w:eastAsia="zh-CN"/>
        </w:rPr>
      </w:pPr>
      <w:r>
        <w:rPr>
          <w:lang w:eastAsia="zh-CN"/>
        </w:rPr>
        <w:t>国际电联理事会，</w:t>
      </w:r>
    </w:p>
    <w:p w14:paraId="3F6EB6F8" w14:textId="77777777" w:rsidR="00D2670F" w:rsidRPr="00FC2588" w:rsidRDefault="00D2670F" w:rsidP="00D2670F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Style w:val="eop"/>
          <w:rFonts w:eastAsia="STKaiti" w:cs="Calibri"/>
          <w:iCs/>
          <w:lang w:val="en-US" w:eastAsia="zh-CN"/>
        </w:rPr>
      </w:pPr>
      <w:r w:rsidRPr="00FC2588">
        <w:rPr>
          <w:rFonts w:eastAsia="STKaiti" w:cs="STKaiti" w:hint="eastAsia"/>
          <w:iCs/>
          <w:lang w:val="en-US" w:eastAsia="zh-CN"/>
        </w:rPr>
        <w:t>考虑到</w:t>
      </w:r>
    </w:p>
    <w:p w14:paraId="156E2E60" w14:textId="14D32FAE" w:rsidR="00D2670F" w:rsidRDefault="00D2670F" w:rsidP="00D267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年预算执行</w:t>
      </w:r>
      <w:r>
        <w:rPr>
          <w:rFonts w:cs="Calibri" w:hint="eastAsia"/>
          <w:szCs w:val="24"/>
          <w:lang w:val="en-US" w:eastAsia="zh-CN"/>
        </w:rPr>
        <w:t>所</w:t>
      </w:r>
      <w:r>
        <w:rPr>
          <w:rFonts w:cs="Calibri"/>
          <w:szCs w:val="24"/>
          <w:lang w:eastAsia="zh-CN"/>
        </w:rPr>
        <w:t>实现的节余（结果）为</w:t>
      </w:r>
      <w:r>
        <w:rPr>
          <w:rFonts w:cs="Calibri"/>
          <w:szCs w:val="24"/>
          <w:lang w:eastAsia="zh-CN"/>
        </w:rPr>
        <w:t>1</w:t>
      </w:r>
      <w:r w:rsidR="00FB2243"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423</w:t>
      </w:r>
      <w:r w:rsidR="00FB2243"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加上</w:t>
      </w:r>
      <w:r>
        <w:rPr>
          <w:rFonts w:cs="Calibri"/>
          <w:szCs w:val="24"/>
          <w:lang w:eastAsia="zh-CN"/>
        </w:rPr>
        <w:t>1</w:t>
      </w:r>
      <w:r w:rsidR="00FB2243"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734</w:t>
      </w:r>
      <w:r w:rsidR="00FB2243"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，</w:t>
      </w:r>
      <w:r>
        <w:rPr>
          <w:rFonts w:cs="Calibri" w:hint="eastAsia"/>
          <w:szCs w:val="24"/>
          <w:lang w:val="en-US" w:eastAsia="zh-CN"/>
        </w:rPr>
        <w:t>原因是</w:t>
      </w:r>
      <w:r>
        <w:rPr>
          <w:rFonts w:cs="Calibri"/>
          <w:szCs w:val="24"/>
          <w:lang w:eastAsia="zh-CN"/>
        </w:rPr>
        <w:t>上一年的节余未用于平衡</w:t>
      </w: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年预算执行</w:t>
      </w:r>
      <w:r w:rsidR="00FB4107">
        <w:rPr>
          <w:rFonts w:cs="Calibri" w:hint="eastAsia"/>
          <w:szCs w:val="24"/>
          <w:lang w:eastAsia="zh-CN"/>
        </w:rPr>
        <w:t>，</w:t>
      </w:r>
    </w:p>
    <w:p w14:paraId="3EF5CA07" w14:textId="77777777" w:rsidR="00D2670F" w:rsidRPr="00FC2588" w:rsidRDefault="00D2670F" w:rsidP="00D2670F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STKaiti" w:cs="STKaiti"/>
          <w:iCs/>
          <w:lang w:val="en-US" w:eastAsia="zh-CN"/>
        </w:rPr>
      </w:pPr>
      <w:r w:rsidRPr="00FC2588">
        <w:rPr>
          <w:rFonts w:eastAsia="STKaiti" w:cs="STKaiti"/>
          <w:iCs/>
          <w:lang w:val="en-US" w:eastAsia="zh-CN"/>
        </w:rPr>
        <w:t>进一步考虑</w:t>
      </w:r>
      <w:r w:rsidRPr="00FC2588">
        <w:rPr>
          <w:rFonts w:eastAsia="STKaiti" w:cs="STKaiti" w:hint="eastAsia"/>
          <w:iCs/>
          <w:lang w:val="en-US" w:eastAsia="zh-CN"/>
        </w:rPr>
        <w:t>到</w:t>
      </w:r>
    </w:p>
    <w:p w14:paraId="76544E60" w14:textId="543A5281" w:rsidR="00D2670F" w:rsidRPr="0007485A" w:rsidRDefault="00D2670F" w:rsidP="00D267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eastAsia="zh-CN"/>
        </w:rPr>
      </w:pPr>
      <w:r>
        <w:rPr>
          <w:rFonts w:cs="Calibri"/>
          <w:szCs w:val="24"/>
          <w:lang w:eastAsia="zh-CN"/>
        </w:rPr>
        <w:t>电信展周转资本基金</w:t>
      </w:r>
      <w:r w:rsidR="00FC2588">
        <w:rPr>
          <w:rFonts w:cs="Calibri" w:hint="eastAsia"/>
          <w:szCs w:val="24"/>
          <w:lang w:eastAsia="zh-CN"/>
        </w:rPr>
        <w:t>（</w:t>
      </w:r>
      <w:r w:rsidR="00FC2588">
        <w:rPr>
          <w:rFonts w:cs="Calibri" w:hint="eastAsia"/>
          <w:szCs w:val="24"/>
          <w:lang w:eastAsia="zh-CN"/>
        </w:rPr>
        <w:t>EWCF</w:t>
      </w:r>
      <w:r w:rsidR="00FC2588">
        <w:rPr>
          <w:rFonts w:cs="Calibri" w:hint="eastAsia"/>
          <w:szCs w:val="24"/>
          <w:lang w:eastAsia="zh-CN"/>
        </w:rPr>
        <w:t>）</w:t>
      </w:r>
      <w:r>
        <w:rPr>
          <w:rFonts w:cs="Calibri"/>
          <w:szCs w:val="24"/>
          <w:lang w:eastAsia="zh-CN"/>
        </w:rPr>
        <w:t>余额</w:t>
      </w:r>
      <w:r>
        <w:rPr>
          <w:rFonts w:cs="Calibri" w:hint="eastAsia"/>
          <w:szCs w:val="24"/>
          <w:lang w:val="en-US" w:eastAsia="zh-CN"/>
        </w:rPr>
        <w:t>以及</w:t>
      </w:r>
      <w:r>
        <w:rPr>
          <w:rFonts w:cs="Calibri"/>
          <w:szCs w:val="24"/>
          <w:lang w:eastAsia="zh-CN"/>
        </w:rPr>
        <w:t>秘书长关于</w:t>
      </w:r>
      <w:r>
        <w:rPr>
          <w:rFonts w:cs="Calibri" w:hint="eastAsia"/>
          <w:szCs w:val="24"/>
          <w:lang w:eastAsia="zh-CN"/>
        </w:rPr>
        <w:t>信息通信技术</w:t>
      </w:r>
      <w:r>
        <w:rPr>
          <w:rFonts w:cs="Calibri"/>
          <w:szCs w:val="24"/>
          <w:lang w:eastAsia="zh-CN"/>
        </w:rPr>
        <w:t>发展基金</w:t>
      </w:r>
      <w:r>
        <w:rPr>
          <w:rFonts w:cs="Calibri" w:hint="eastAsia"/>
          <w:szCs w:val="24"/>
          <w:lang w:eastAsia="zh-CN"/>
        </w:rPr>
        <w:t>（</w:t>
      </w:r>
      <w:r>
        <w:rPr>
          <w:rFonts w:cs="Calibri"/>
          <w:spacing w:val="2"/>
          <w:lang w:eastAsia="zh-CN"/>
        </w:rPr>
        <w:t>ICT-DF</w:t>
      </w:r>
      <w:r>
        <w:rPr>
          <w:rFonts w:cs="Calibri" w:hint="eastAsia"/>
          <w:szCs w:val="24"/>
          <w:lang w:eastAsia="zh-CN"/>
        </w:rPr>
        <w:t>）</w:t>
      </w:r>
      <w:r>
        <w:rPr>
          <w:rFonts w:cs="Calibri"/>
          <w:szCs w:val="24"/>
          <w:lang w:eastAsia="zh-CN"/>
        </w:rPr>
        <w:t>状况的报告，</w:t>
      </w:r>
    </w:p>
    <w:p w14:paraId="1B4F9EEE" w14:textId="77777777" w:rsidR="00D2670F" w:rsidRPr="00FC2588" w:rsidRDefault="00D2670F" w:rsidP="00D2670F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STKaiti" w:cs="STKaiti"/>
          <w:iCs/>
          <w:lang w:val="en-US" w:eastAsia="zh-CN"/>
        </w:rPr>
      </w:pPr>
      <w:r w:rsidRPr="00FC2588">
        <w:rPr>
          <w:rFonts w:eastAsia="STKaiti" w:cs="STKaiti" w:hint="eastAsia"/>
          <w:iCs/>
          <w:lang w:val="en-US" w:eastAsia="zh-CN"/>
        </w:rPr>
        <w:t>做出决议</w:t>
      </w:r>
    </w:p>
    <w:p w14:paraId="2AE961D0" w14:textId="11460288" w:rsidR="0007485A" w:rsidRDefault="00D2670F" w:rsidP="004343F7">
      <w:pPr>
        <w:pStyle w:val="Reasons"/>
        <w:ind w:firstLineChars="200" w:firstLine="480"/>
        <w:rPr>
          <w:rFonts w:cs="Calibri"/>
          <w:szCs w:val="24"/>
          <w:lang w:eastAsia="zh-CN"/>
        </w:rPr>
      </w:pPr>
      <w:r>
        <w:rPr>
          <w:rFonts w:cs="Calibri" w:hint="eastAsia"/>
          <w:szCs w:val="24"/>
          <w:lang w:val="en-US" w:eastAsia="zh-CN"/>
        </w:rPr>
        <w:t>划拨</w:t>
      </w: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年预算盈余</w:t>
      </w:r>
      <w:r>
        <w:rPr>
          <w:rFonts w:cs="Calibri" w:hint="eastAsia"/>
          <w:szCs w:val="24"/>
          <w:lang w:eastAsia="zh-CN"/>
        </w:rPr>
        <w:t>，</w:t>
      </w:r>
      <w:r>
        <w:rPr>
          <w:rFonts w:cs="Calibri"/>
          <w:szCs w:val="24"/>
          <w:lang w:eastAsia="zh-CN"/>
        </w:rPr>
        <w:t>用于</w:t>
      </w:r>
      <w:r>
        <w:rPr>
          <w:rFonts w:cs="Calibri" w:hint="eastAsia"/>
          <w:szCs w:val="24"/>
          <w:lang w:val="en-US" w:eastAsia="zh-CN"/>
        </w:rPr>
        <w:t>实施</w:t>
      </w:r>
      <w:r w:rsidR="00FC2588">
        <w:rPr>
          <w:rFonts w:cs="Calibri" w:hint="eastAsia"/>
          <w:szCs w:val="24"/>
          <w:lang w:val="en-US" w:eastAsia="zh-CN"/>
        </w:rPr>
        <w:t>世界无线电通信大会（</w:t>
      </w:r>
      <w:r>
        <w:rPr>
          <w:rFonts w:cs="Calibri"/>
          <w:szCs w:val="24"/>
          <w:lang w:eastAsia="zh-CN"/>
        </w:rPr>
        <w:t>WRC</w:t>
      </w:r>
      <w:r>
        <w:rPr>
          <w:rFonts w:cs="Calibri" w:hint="eastAsia"/>
          <w:szCs w:val="24"/>
          <w:lang w:val="en-US" w:eastAsia="zh-CN"/>
        </w:rPr>
        <w:t>-</w:t>
      </w:r>
      <w:r>
        <w:rPr>
          <w:rFonts w:cs="Calibri"/>
          <w:szCs w:val="24"/>
          <w:lang w:eastAsia="zh-CN"/>
        </w:rPr>
        <w:t>23</w:t>
      </w:r>
      <w:r w:rsidR="00FC2588">
        <w:rPr>
          <w:rFonts w:cs="Calibri" w:hint="eastAsia"/>
          <w:szCs w:val="24"/>
          <w:lang w:eastAsia="zh-CN"/>
        </w:rPr>
        <w:t>）</w:t>
      </w:r>
      <w:r>
        <w:rPr>
          <w:rFonts w:cs="Calibri" w:hint="eastAsia"/>
          <w:szCs w:val="24"/>
          <w:lang w:val="en-US" w:eastAsia="zh-CN"/>
        </w:rPr>
        <w:t>的各项</w:t>
      </w:r>
      <w:r>
        <w:rPr>
          <w:rFonts w:cs="Calibri"/>
          <w:szCs w:val="24"/>
          <w:lang w:eastAsia="zh-CN"/>
        </w:rPr>
        <w:t>决定（</w:t>
      </w:r>
      <w:r>
        <w:rPr>
          <w:rFonts w:cs="Calibri"/>
          <w:szCs w:val="24"/>
          <w:lang w:eastAsia="zh-CN"/>
        </w:rPr>
        <w:t>1</w:t>
      </w:r>
      <w:r>
        <w:rPr>
          <w:rFonts w:cs="Calibri"/>
          <w:szCs w:val="24"/>
          <w:lang w:val="en-US" w:eastAsia="zh-CN"/>
        </w:rPr>
        <w:t> </w:t>
      </w:r>
      <w:r>
        <w:rPr>
          <w:rFonts w:cs="Calibri"/>
          <w:szCs w:val="24"/>
          <w:lang w:eastAsia="zh-CN"/>
        </w:rPr>
        <w:t>423</w:t>
      </w:r>
      <w:r w:rsidR="00FB4107"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），将前几年的节余用于</w:t>
      </w:r>
      <w:r>
        <w:rPr>
          <w:rFonts w:cs="Calibri" w:hint="eastAsia"/>
          <w:szCs w:val="24"/>
          <w:lang w:val="en-US" w:eastAsia="zh-CN"/>
        </w:rPr>
        <w:t>实施</w:t>
      </w:r>
      <w:r>
        <w:rPr>
          <w:rFonts w:cs="Calibri"/>
          <w:szCs w:val="24"/>
          <w:lang w:eastAsia="zh-CN"/>
        </w:rPr>
        <w:t>转型路线图，</w:t>
      </w:r>
      <w:r>
        <w:rPr>
          <w:rFonts w:cs="Calibri" w:hint="eastAsia"/>
          <w:szCs w:val="24"/>
          <w:lang w:val="en-US" w:eastAsia="zh-CN"/>
        </w:rPr>
        <w:t>其中</w:t>
      </w:r>
      <w:r>
        <w:rPr>
          <w:rFonts w:cs="Calibri"/>
          <w:szCs w:val="24"/>
          <w:lang w:eastAsia="zh-CN"/>
        </w:rPr>
        <w:t>包括网站改进路线图、青年专业人员计划（</w:t>
      </w:r>
      <w:r>
        <w:rPr>
          <w:rFonts w:cs="Calibri"/>
          <w:szCs w:val="24"/>
          <w:lang w:eastAsia="zh-CN"/>
        </w:rPr>
        <w:t>YPP</w:t>
      </w:r>
      <w:r>
        <w:rPr>
          <w:rFonts w:cs="Calibri"/>
          <w:szCs w:val="24"/>
          <w:lang w:eastAsia="zh-CN"/>
        </w:rPr>
        <w:t>）和</w:t>
      </w:r>
      <w:r w:rsidR="00FC2588">
        <w:rPr>
          <w:rFonts w:cs="Calibri" w:hint="eastAsia"/>
          <w:szCs w:val="24"/>
          <w:lang w:eastAsia="zh-CN"/>
        </w:rPr>
        <w:t>世界电信</w:t>
      </w:r>
      <w:r w:rsidR="00FC2588">
        <w:rPr>
          <w:rFonts w:cs="Calibri" w:hint="eastAsia"/>
          <w:szCs w:val="24"/>
          <w:lang w:eastAsia="zh-CN"/>
        </w:rPr>
        <w:t>/</w:t>
      </w:r>
      <w:r w:rsidR="00FC2588">
        <w:rPr>
          <w:rFonts w:cs="Calibri" w:hint="eastAsia"/>
          <w:szCs w:val="24"/>
          <w:lang w:eastAsia="zh-CN"/>
        </w:rPr>
        <w:t>信息和通信技术政策论坛（</w:t>
      </w:r>
      <w:r>
        <w:rPr>
          <w:rFonts w:cs="Calibri"/>
          <w:szCs w:val="24"/>
          <w:lang w:eastAsia="zh-CN"/>
        </w:rPr>
        <w:t>WTPF</w:t>
      </w:r>
      <w:r>
        <w:rPr>
          <w:rFonts w:cs="Calibri" w:hint="eastAsia"/>
          <w:szCs w:val="24"/>
          <w:lang w:val="en-US" w:eastAsia="zh-CN"/>
        </w:rPr>
        <w:t>-</w:t>
      </w:r>
      <w:r>
        <w:rPr>
          <w:rFonts w:cs="Calibri"/>
          <w:szCs w:val="24"/>
          <w:lang w:eastAsia="zh-CN"/>
        </w:rPr>
        <w:t>26</w:t>
      </w:r>
      <w:r w:rsidR="00FC2588">
        <w:rPr>
          <w:rFonts w:cs="Calibri" w:hint="eastAsia"/>
          <w:szCs w:val="24"/>
          <w:lang w:eastAsia="zh-CN"/>
        </w:rPr>
        <w:t>）的</w:t>
      </w:r>
      <w:r>
        <w:rPr>
          <w:rFonts w:cs="Calibri"/>
          <w:szCs w:val="24"/>
          <w:lang w:eastAsia="zh-CN"/>
        </w:rPr>
        <w:t>筹备工作（</w:t>
      </w:r>
      <w:r>
        <w:rPr>
          <w:rFonts w:cs="Calibri"/>
          <w:szCs w:val="24"/>
          <w:lang w:eastAsia="zh-CN"/>
        </w:rPr>
        <w:t>1</w:t>
      </w:r>
      <w:r w:rsidR="002C47EF"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734</w:t>
      </w:r>
      <w:r w:rsidR="002C47EF"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），并</w:t>
      </w:r>
      <w:r>
        <w:rPr>
          <w:rFonts w:cs="Calibri" w:hint="eastAsia"/>
          <w:szCs w:val="24"/>
          <w:lang w:val="en-US" w:eastAsia="zh-CN"/>
        </w:rPr>
        <w:t>从</w:t>
      </w:r>
      <w:r w:rsidR="00FC2588">
        <w:rPr>
          <w:rFonts w:cs="Calibri" w:hint="eastAsia"/>
          <w:szCs w:val="24"/>
          <w:lang w:eastAsia="zh-CN"/>
        </w:rPr>
        <w:t>EWCF</w:t>
      </w:r>
      <w:r>
        <w:rPr>
          <w:rFonts w:cs="Calibri" w:hint="eastAsia"/>
          <w:szCs w:val="24"/>
          <w:lang w:val="en-US" w:eastAsia="zh-CN"/>
        </w:rPr>
        <w:t>向</w:t>
      </w:r>
      <w:r w:rsidR="00FC2588">
        <w:rPr>
          <w:rFonts w:cs="Calibri" w:hint="eastAsia"/>
          <w:szCs w:val="24"/>
          <w:lang w:eastAsia="zh-CN"/>
        </w:rPr>
        <w:t>ICT</w:t>
      </w:r>
      <w:r w:rsidR="00FC2588">
        <w:rPr>
          <w:rFonts w:cs="Calibri"/>
          <w:szCs w:val="24"/>
          <w:lang w:eastAsia="zh-CN"/>
        </w:rPr>
        <w:t>-</w:t>
      </w:r>
      <w:r w:rsidR="00FC2588">
        <w:rPr>
          <w:rFonts w:cs="Calibri" w:hint="eastAsia"/>
          <w:szCs w:val="24"/>
          <w:lang w:eastAsia="zh-CN"/>
        </w:rPr>
        <w:t>DF</w:t>
      </w:r>
      <w:r>
        <w:rPr>
          <w:rFonts w:cs="Calibri" w:hint="eastAsia"/>
          <w:szCs w:val="24"/>
          <w:lang w:val="en-US" w:eastAsia="zh-CN"/>
        </w:rPr>
        <w:t>转账</w:t>
      </w:r>
      <w:r>
        <w:rPr>
          <w:rFonts w:cs="Calibri"/>
          <w:szCs w:val="24"/>
          <w:lang w:eastAsia="zh-CN"/>
        </w:rPr>
        <w:t>465</w:t>
      </w:r>
      <w:r w:rsidR="00AB15A0"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</w:t>
      </w:r>
    </w:p>
    <w:p w14:paraId="21E16BDC" w14:textId="77777777" w:rsidR="008946D7" w:rsidRDefault="008946D7" w:rsidP="00FC7D85">
      <w:pPr>
        <w:rPr>
          <w:rFonts w:hint="eastAsia"/>
          <w:lang w:eastAsia="zh-CN"/>
        </w:rPr>
      </w:pPr>
    </w:p>
    <w:p w14:paraId="565A20D5" w14:textId="77777777" w:rsidR="0007485A" w:rsidRDefault="0007485A">
      <w:pPr>
        <w:jc w:val="center"/>
      </w:pPr>
      <w:r>
        <w:t>______________</w:t>
      </w:r>
    </w:p>
    <w:sectPr w:rsidR="0007485A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5454FF3B" w:rsidR="00E24D59" w:rsidRDefault="00E24D59" w:rsidP="00E24D5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28C249C" w14:textId="01F3F014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6F4C43">
            <w:rPr>
              <w:bCs/>
            </w:rPr>
            <w:t>126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03AB93AA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C1544E">
            <w:rPr>
              <w:bCs/>
            </w:rPr>
            <w:t>13</w:t>
          </w:r>
          <w:r w:rsidR="00D2670F"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76D0B"/>
    <w:multiLevelType w:val="multilevel"/>
    <w:tmpl w:val="6DFCF0C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abstractNum w:abstractNumId="2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9368">
    <w:abstractNumId w:val="0"/>
  </w:num>
  <w:num w:numId="2" w16cid:durableId="501241818">
    <w:abstractNumId w:val="5"/>
  </w:num>
  <w:num w:numId="3" w16cid:durableId="371539808">
    <w:abstractNumId w:val="6"/>
  </w:num>
  <w:num w:numId="4" w16cid:durableId="1525828948">
    <w:abstractNumId w:val="7"/>
  </w:num>
  <w:num w:numId="5" w16cid:durableId="2033219779">
    <w:abstractNumId w:val="9"/>
  </w:num>
  <w:num w:numId="6" w16cid:durableId="349645790">
    <w:abstractNumId w:val="8"/>
  </w:num>
  <w:num w:numId="7" w16cid:durableId="1451586466">
    <w:abstractNumId w:val="3"/>
  </w:num>
  <w:num w:numId="8" w16cid:durableId="708533826">
    <w:abstractNumId w:val="11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9" w16cid:durableId="2112315746">
    <w:abstractNumId w:val="1"/>
  </w:num>
  <w:num w:numId="10" w16cid:durableId="1262491437">
    <w:abstractNumId w:val="10"/>
    <w:lvlOverride w:ilvl="0">
      <w:lvl w:ilvl="0" w:tplc="08090001">
        <w:start w:val="1"/>
        <w:numFmt w:val="bullet"/>
        <w:lvlText w:val=""/>
        <w:lvlJc w:val="left"/>
        <w:pPr>
          <w:ind w:left="1065" w:hanging="360"/>
        </w:pPr>
        <w:rPr>
          <w:rFonts w:ascii="Symbol" w:hAnsi="Symbol" w:hint="default"/>
        </w:rPr>
      </w:lvl>
    </w:lvlOverride>
  </w:num>
  <w:num w:numId="11" w16cid:durableId="1397321369">
    <w:abstractNumId w:val="2"/>
    <w:lvlOverride w:ilvl="0">
      <w:lvl w:ilvl="0" w:tplc="FB66012C">
        <w:start w:val="2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12" w16cid:durableId="351877986">
    <w:abstractNumId w:val="4"/>
    <w:lvlOverride w:ilvl="0">
      <w:lvl w:ilvl="0" w:tplc="08090001">
        <w:start w:val="1"/>
        <w:numFmt w:val="bullet"/>
        <w:lvlText w:val=""/>
        <w:lvlJc w:val="left"/>
        <w:pPr>
          <w:ind w:left="1069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7485A"/>
    <w:rsid w:val="000853C0"/>
    <w:rsid w:val="0009409E"/>
    <w:rsid w:val="000A1C21"/>
    <w:rsid w:val="000C0BC5"/>
    <w:rsid w:val="000D15EA"/>
    <w:rsid w:val="000D51EC"/>
    <w:rsid w:val="00100D84"/>
    <w:rsid w:val="00124C9D"/>
    <w:rsid w:val="00130727"/>
    <w:rsid w:val="00157773"/>
    <w:rsid w:val="001710A4"/>
    <w:rsid w:val="0018251A"/>
    <w:rsid w:val="00190272"/>
    <w:rsid w:val="00193244"/>
    <w:rsid w:val="00195C6C"/>
    <w:rsid w:val="00195FED"/>
    <w:rsid w:val="001A4BD6"/>
    <w:rsid w:val="001D503F"/>
    <w:rsid w:val="001D5A18"/>
    <w:rsid w:val="001E060F"/>
    <w:rsid w:val="00224449"/>
    <w:rsid w:val="00245309"/>
    <w:rsid w:val="00280EB8"/>
    <w:rsid w:val="002A6670"/>
    <w:rsid w:val="002C47EF"/>
    <w:rsid w:val="002D4DE9"/>
    <w:rsid w:val="00303502"/>
    <w:rsid w:val="003069DE"/>
    <w:rsid w:val="00325C25"/>
    <w:rsid w:val="00332827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43F7"/>
    <w:rsid w:val="00442621"/>
    <w:rsid w:val="0044717B"/>
    <w:rsid w:val="004672E6"/>
    <w:rsid w:val="00474ED1"/>
    <w:rsid w:val="00493085"/>
    <w:rsid w:val="004A36EC"/>
    <w:rsid w:val="004D163F"/>
    <w:rsid w:val="004E4BFF"/>
    <w:rsid w:val="004F2598"/>
    <w:rsid w:val="004F5B3F"/>
    <w:rsid w:val="005261EE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54257"/>
    <w:rsid w:val="0065435A"/>
    <w:rsid w:val="006A2DD3"/>
    <w:rsid w:val="006A5AF8"/>
    <w:rsid w:val="006C36CD"/>
    <w:rsid w:val="006E0E42"/>
    <w:rsid w:val="006F4C43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83750"/>
    <w:rsid w:val="00890AFB"/>
    <w:rsid w:val="00890FC4"/>
    <w:rsid w:val="008946D7"/>
    <w:rsid w:val="00895905"/>
    <w:rsid w:val="008D70D2"/>
    <w:rsid w:val="008F64AD"/>
    <w:rsid w:val="00911867"/>
    <w:rsid w:val="009164A9"/>
    <w:rsid w:val="009258CB"/>
    <w:rsid w:val="0093362E"/>
    <w:rsid w:val="00944563"/>
    <w:rsid w:val="00944FD4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15A0"/>
    <w:rsid w:val="00AB42C1"/>
    <w:rsid w:val="00AC4BF8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1A64"/>
    <w:rsid w:val="00B62D20"/>
    <w:rsid w:val="00B73698"/>
    <w:rsid w:val="00B81E75"/>
    <w:rsid w:val="00B93453"/>
    <w:rsid w:val="00BD0954"/>
    <w:rsid w:val="00BD1A5A"/>
    <w:rsid w:val="00BD7A9B"/>
    <w:rsid w:val="00BD7BE1"/>
    <w:rsid w:val="00BF416B"/>
    <w:rsid w:val="00C1544E"/>
    <w:rsid w:val="00C45EB2"/>
    <w:rsid w:val="00C46320"/>
    <w:rsid w:val="00C64E4E"/>
    <w:rsid w:val="00C66E64"/>
    <w:rsid w:val="00C761A0"/>
    <w:rsid w:val="00C85F7E"/>
    <w:rsid w:val="00C8774B"/>
    <w:rsid w:val="00C90D53"/>
    <w:rsid w:val="00CA0B2E"/>
    <w:rsid w:val="00CA6EF7"/>
    <w:rsid w:val="00CD47F0"/>
    <w:rsid w:val="00CD5566"/>
    <w:rsid w:val="00CD59DA"/>
    <w:rsid w:val="00CD64D7"/>
    <w:rsid w:val="00CE6F22"/>
    <w:rsid w:val="00CF41F6"/>
    <w:rsid w:val="00CF7D3E"/>
    <w:rsid w:val="00D02B4E"/>
    <w:rsid w:val="00D06B59"/>
    <w:rsid w:val="00D21F11"/>
    <w:rsid w:val="00D2670F"/>
    <w:rsid w:val="00D36817"/>
    <w:rsid w:val="00D453EE"/>
    <w:rsid w:val="00D45691"/>
    <w:rsid w:val="00D5666C"/>
    <w:rsid w:val="00D666BC"/>
    <w:rsid w:val="00D83542"/>
    <w:rsid w:val="00D92F45"/>
    <w:rsid w:val="00D94637"/>
    <w:rsid w:val="00D9725C"/>
    <w:rsid w:val="00DA7006"/>
    <w:rsid w:val="00DB3621"/>
    <w:rsid w:val="00DC075F"/>
    <w:rsid w:val="00DC6427"/>
    <w:rsid w:val="00DD62F5"/>
    <w:rsid w:val="00DD66A1"/>
    <w:rsid w:val="00DE196D"/>
    <w:rsid w:val="00DF6B49"/>
    <w:rsid w:val="00E01F27"/>
    <w:rsid w:val="00E067C5"/>
    <w:rsid w:val="00E160A2"/>
    <w:rsid w:val="00E24D5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2243"/>
    <w:rsid w:val="00FB4107"/>
    <w:rsid w:val="00FB771F"/>
    <w:rsid w:val="00FC2588"/>
    <w:rsid w:val="00FC5386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qFormat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E01F27"/>
    <w:rPr>
      <w:rFonts w:ascii="Calibri" w:eastAsia="Times New Roman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FD4"/>
    <w:rPr>
      <w:color w:val="605E5C"/>
      <w:shd w:val="clear" w:color="auto" w:fill="E1DFDD"/>
    </w:rPr>
  </w:style>
  <w:style w:type="paragraph" w:customStyle="1" w:styleId="TableHead0">
    <w:name w:val="Table_Head"/>
    <w:basedOn w:val="Tabletext"/>
    <w:rsid w:val="00CD59DA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eastAsiaTheme="minorEastAsia" w:hAnsi="Times New Roman"/>
      <w:b/>
    </w:rPr>
  </w:style>
  <w:style w:type="character" w:customStyle="1" w:styleId="RestitleChar">
    <w:name w:val="Res_title Char"/>
    <w:basedOn w:val="DefaultParagraphFont"/>
    <w:link w:val="Restitle"/>
    <w:rsid w:val="00C1544E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C1544E"/>
    <w:pPr>
      <w:keepNext/>
      <w:keepLines/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  <w:style w:type="character" w:customStyle="1" w:styleId="eop">
    <w:name w:val="eop"/>
    <w:basedOn w:val="DefaultParagraphFont"/>
    <w:autoRedefine/>
    <w:qFormat/>
    <w:rsid w:val="00D2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12</TotalTime>
  <Pages>1</Pages>
  <Words>290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1427 - Allocations of savings achieved in 2023 budget</dc:title>
  <dc:subject>2024 session of the Council</dc:subject>
  <cp:keywords>Council-24; C24; Council 2024</cp:keywords>
  <dc:description/>
  <cp:lastPrinted>2015-02-24T13:23:00Z</cp:lastPrinted>
  <dcterms:created xsi:type="dcterms:W3CDTF">2024-06-26T08:58:00Z</dcterms:created>
  <dcterms:modified xsi:type="dcterms:W3CDTF">2024-06-26T14:09:00Z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