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7299DFC" w14:textId="77777777" w:rsidTr="00F363FE">
        <w:tc>
          <w:tcPr>
            <w:tcW w:w="6512" w:type="dxa"/>
          </w:tcPr>
          <w:p w14:paraId="579BC4D0" w14:textId="4461117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DDA34D6" w14:textId="02BDE0B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6E3D73">
              <w:rPr>
                <w:b/>
                <w:bCs/>
                <w:lang w:bidi="ar-EG"/>
              </w:rPr>
              <w:t>133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0A24B48" w14:textId="77777777" w:rsidTr="00F363FE">
        <w:tc>
          <w:tcPr>
            <w:tcW w:w="6512" w:type="dxa"/>
          </w:tcPr>
          <w:p w14:paraId="629E6E6A" w14:textId="77777777" w:rsidR="007B0AA0" w:rsidRPr="008B34D4" w:rsidRDefault="007B0AA0" w:rsidP="00F363FE">
            <w:pPr>
              <w:spacing w:before="60" w:after="60" w:line="26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117" w:type="dxa"/>
          </w:tcPr>
          <w:p w14:paraId="72FEB63E" w14:textId="05E4BD89" w:rsidR="007B0AA0" w:rsidRPr="00A95048" w:rsidRDefault="00A95048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A95048">
              <w:rPr>
                <w:b/>
                <w:bCs/>
                <w:lang w:bidi="ar-EG"/>
              </w:rPr>
              <w:t>14</w:t>
            </w:r>
            <w:r w:rsidR="007B0AA0" w:rsidRPr="00A9504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95048">
              <w:rPr>
                <w:b/>
                <w:bCs/>
                <w:rtl/>
                <w:lang w:bidi="ar-EG"/>
              </w:rPr>
              <w:t xml:space="preserve">يونيو </w:t>
            </w:r>
            <w:r w:rsidR="007B0AA0" w:rsidRPr="00A95048">
              <w:rPr>
                <w:b/>
                <w:bCs/>
                <w:lang w:bidi="ar-EG"/>
              </w:rPr>
              <w:t>202</w:t>
            </w:r>
            <w:r w:rsidR="00B6080B" w:rsidRPr="00A95048">
              <w:rPr>
                <w:b/>
                <w:bCs/>
                <w:lang w:bidi="ar-EG"/>
              </w:rPr>
              <w:t>4</w:t>
            </w:r>
          </w:p>
        </w:tc>
      </w:tr>
      <w:tr w:rsidR="007B0AA0" w14:paraId="00DE4B55" w14:textId="77777777" w:rsidTr="00F363FE">
        <w:tc>
          <w:tcPr>
            <w:tcW w:w="6512" w:type="dxa"/>
          </w:tcPr>
          <w:p w14:paraId="5D2ECC3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75D499F" w14:textId="02AF0BD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310A8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1F59F723" w14:textId="77777777" w:rsidTr="00F363FE">
        <w:tc>
          <w:tcPr>
            <w:tcW w:w="6512" w:type="dxa"/>
          </w:tcPr>
          <w:p w14:paraId="6AFCA4F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95079B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59BC838D" w14:textId="5F504898" w:rsidR="00421994" w:rsidRDefault="00421994" w:rsidP="005343C6">
      <w:pPr>
        <w:pStyle w:val="ResNo"/>
        <w:spacing w:before="720"/>
        <w:rPr>
          <w:rFonts w:eastAsia="Calibri"/>
        </w:rPr>
      </w:pPr>
      <w:r w:rsidRPr="00AC65D5">
        <w:rPr>
          <w:rFonts w:hint="cs"/>
          <w:rtl/>
        </w:rPr>
        <w:t xml:space="preserve">القرار </w:t>
      </w:r>
      <w:r w:rsidR="008B34D4">
        <w:rPr>
          <w:rFonts w:eastAsia="Calibri"/>
        </w:rPr>
        <w:t>142</w:t>
      </w:r>
      <w:r w:rsidR="006E3D73">
        <w:rPr>
          <w:rFonts w:eastAsia="Calibri"/>
        </w:rPr>
        <w:t>6</w:t>
      </w:r>
    </w:p>
    <w:p w14:paraId="2059EA82" w14:textId="660824BA" w:rsidR="00E90B42" w:rsidRDefault="00E90B42" w:rsidP="00E90B42">
      <w:pPr>
        <w:jc w:val="center"/>
      </w:pPr>
      <w:r w:rsidRPr="00E90B42">
        <w:rPr>
          <w:rtl/>
        </w:rPr>
        <w:t>(المعتمَد في الجلسة العامة العاشرة)</w:t>
      </w:r>
    </w:p>
    <w:p w14:paraId="36A75FE0" w14:textId="77777777" w:rsidR="006E3D73" w:rsidRPr="00EC0139" w:rsidRDefault="006E3D73" w:rsidP="00A95048">
      <w:pPr>
        <w:pStyle w:val="Restitle"/>
        <w:rPr>
          <w:rtl/>
        </w:rPr>
      </w:pPr>
      <w:bookmarkStart w:id="0" w:name="_Toc364435673"/>
      <w:bookmarkStart w:id="1" w:name="_Toc423445842"/>
      <w:bookmarkStart w:id="2" w:name="_Toc490216592"/>
      <w:bookmarkStart w:id="3" w:name="_Toc42012341"/>
      <w:r w:rsidRPr="00EC0139">
        <w:rPr>
          <w:rtl/>
        </w:rPr>
        <w:t>تقرير الإدارة المالية لل</w:t>
      </w:r>
      <w:r w:rsidRPr="00EC0139">
        <w:rPr>
          <w:rFonts w:hint="cs"/>
          <w:rtl/>
        </w:rPr>
        <w:t>سنة</w:t>
      </w:r>
      <w:r w:rsidRPr="00EC0139">
        <w:rPr>
          <w:rtl/>
        </w:rPr>
        <w:t xml:space="preserve"> المالية </w:t>
      </w:r>
      <w:bookmarkEnd w:id="0"/>
      <w:bookmarkEnd w:id="1"/>
      <w:bookmarkEnd w:id="2"/>
      <w:bookmarkEnd w:id="3"/>
      <w:r w:rsidRPr="00EC0139">
        <w:t>2022</w:t>
      </w:r>
    </w:p>
    <w:p w14:paraId="4E15DB2F" w14:textId="77777777" w:rsidR="006E3D73" w:rsidRPr="00EC0139" w:rsidRDefault="006E3D73" w:rsidP="006E3D73">
      <w:pPr>
        <w:pStyle w:val="Normalaftertitle"/>
        <w:rPr>
          <w:rtl/>
          <w:lang w:bidi="ar-EG"/>
        </w:rPr>
      </w:pPr>
      <w:r w:rsidRPr="00EC0139">
        <w:rPr>
          <w:rtl/>
        </w:rPr>
        <w:t>إن مجلس</w:t>
      </w:r>
      <w:r w:rsidRPr="00EC0139">
        <w:rPr>
          <w:rFonts w:hint="cs"/>
          <w:rtl/>
        </w:rPr>
        <w:t xml:space="preserve"> الاتحاد</w:t>
      </w:r>
      <w:r w:rsidRPr="00EC0139">
        <w:rPr>
          <w:rtl/>
        </w:rPr>
        <w:t>،</w:t>
      </w:r>
    </w:p>
    <w:p w14:paraId="37866680" w14:textId="77777777" w:rsidR="006E3D73" w:rsidRPr="00EC0139" w:rsidRDefault="006E3D73" w:rsidP="006E3D73">
      <w:pPr>
        <w:pStyle w:val="Call"/>
        <w:ind w:left="1928"/>
        <w:rPr>
          <w:rtl/>
        </w:rPr>
      </w:pPr>
      <w:r w:rsidRPr="00EC0139">
        <w:rPr>
          <w:rFonts w:hint="cs"/>
          <w:rtl/>
        </w:rPr>
        <w:t>إذ يأخذ بعين الاعتبار</w:t>
      </w:r>
    </w:p>
    <w:p w14:paraId="3A1720D4" w14:textId="7FAEB041" w:rsidR="006E3D73" w:rsidRPr="00EC0139" w:rsidRDefault="006E3D73" w:rsidP="006E3D73">
      <w:pPr>
        <w:rPr>
          <w:rtl/>
        </w:rPr>
      </w:pPr>
      <w:r w:rsidRPr="00EC0139">
        <w:rPr>
          <w:rtl/>
        </w:rPr>
        <w:t xml:space="preserve">أحكام </w:t>
      </w:r>
      <w:hyperlink r:id="rId8" w:history="1">
        <w:r w:rsidRPr="00EC0139">
          <w:rPr>
            <w:rStyle w:val="Hyperlink"/>
            <w:rtl/>
          </w:rPr>
          <w:t>الرقم 101</w:t>
        </w:r>
      </w:hyperlink>
      <w:r w:rsidRPr="00EC0139">
        <w:rPr>
          <w:rtl/>
        </w:rPr>
        <w:t xml:space="preserve"> من اتفاقية </w:t>
      </w:r>
      <w:r w:rsidRPr="00EC0139">
        <w:rPr>
          <w:rFonts w:hint="cs"/>
          <w:rtl/>
        </w:rPr>
        <w:t>الاتحاد</w:t>
      </w:r>
      <w:r w:rsidRPr="00EC0139">
        <w:rPr>
          <w:rtl/>
        </w:rPr>
        <w:t xml:space="preserve"> الدولي للاتصالات و</w:t>
      </w:r>
      <w:hyperlink r:id="rId9" w:history="1">
        <w:r w:rsidRPr="00EC0139">
          <w:rPr>
            <w:rStyle w:val="Hyperlink"/>
            <w:rtl/>
          </w:rPr>
          <w:t>ال</w:t>
        </w:r>
        <w:r w:rsidRPr="00EC0139">
          <w:rPr>
            <w:rStyle w:val="Hyperlink"/>
            <w:rFonts w:hint="cs"/>
            <w:rtl/>
          </w:rPr>
          <w:t>م</w:t>
        </w:r>
        <w:r w:rsidRPr="00EC0139">
          <w:rPr>
            <w:rStyle w:val="Hyperlink"/>
            <w:rtl/>
          </w:rPr>
          <w:t>ادة 30</w:t>
        </w:r>
      </w:hyperlink>
      <w:r w:rsidRPr="00EC0139">
        <w:rPr>
          <w:rtl/>
        </w:rPr>
        <w:t xml:space="preserve"> من اللوائح </w:t>
      </w:r>
      <w:r w:rsidRPr="00EC0139">
        <w:rPr>
          <w:rFonts w:hint="cs"/>
          <w:rtl/>
        </w:rPr>
        <w:t>المالية</w:t>
      </w:r>
      <w:r w:rsidRPr="00EC0139">
        <w:rPr>
          <w:rtl/>
        </w:rPr>
        <w:t xml:space="preserve"> </w:t>
      </w:r>
      <w:r w:rsidRPr="00EC0139">
        <w:rPr>
          <w:rFonts w:hint="cs"/>
          <w:rtl/>
        </w:rPr>
        <w:t>للاتحاد</w:t>
      </w:r>
      <w:r w:rsidRPr="00EC0139">
        <w:rPr>
          <w:rtl/>
        </w:rPr>
        <w:t>،</w:t>
      </w:r>
    </w:p>
    <w:p w14:paraId="2453472C" w14:textId="77777777" w:rsidR="006E3D73" w:rsidRPr="00EC0139" w:rsidRDefault="006E3D73" w:rsidP="006E3D73">
      <w:pPr>
        <w:pStyle w:val="Call"/>
        <w:ind w:left="1928"/>
        <w:rPr>
          <w:rtl/>
        </w:rPr>
      </w:pPr>
      <w:r w:rsidRPr="00EC0139">
        <w:rPr>
          <w:rFonts w:hint="cs"/>
          <w:rtl/>
        </w:rPr>
        <w:t>وقد</w:t>
      </w:r>
      <w:r w:rsidRPr="00EC0139">
        <w:rPr>
          <w:rtl/>
        </w:rPr>
        <w:t xml:space="preserve"> اط</w:t>
      </w:r>
      <w:r w:rsidRPr="00EC0139">
        <w:rPr>
          <w:rFonts w:hint="cs"/>
          <w:rtl/>
        </w:rPr>
        <w:t>ّ</w:t>
      </w:r>
      <w:r w:rsidRPr="00EC0139">
        <w:rPr>
          <w:rtl/>
        </w:rPr>
        <w:t>لع على</w:t>
      </w:r>
    </w:p>
    <w:p w14:paraId="29DE3AE0" w14:textId="77777777" w:rsidR="006E3D73" w:rsidRPr="00EC0139" w:rsidRDefault="006E3D73" w:rsidP="00E90B42">
      <w:pPr>
        <w:rPr>
          <w:rtl/>
        </w:rPr>
      </w:pPr>
      <w:r w:rsidRPr="00EC0139">
        <w:rPr>
          <w:rtl/>
        </w:rPr>
        <w:t xml:space="preserve">تقرير الإدارة </w:t>
      </w:r>
      <w:r w:rsidRPr="00EC0139">
        <w:rPr>
          <w:rFonts w:hint="cs"/>
          <w:rtl/>
        </w:rPr>
        <w:t>المالية</w:t>
      </w:r>
      <w:r w:rsidRPr="00EC0139">
        <w:rPr>
          <w:rtl/>
        </w:rPr>
        <w:t xml:space="preserve"> </w:t>
      </w:r>
      <w:r w:rsidRPr="00EC0139">
        <w:rPr>
          <w:rFonts w:hint="cs"/>
          <w:rtl/>
        </w:rPr>
        <w:t>للسنة</w:t>
      </w:r>
      <w:r w:rsidRPr="00EC0139">
        <w:rPr>
          <w:rtl/>
        </w:rPr>
        <w:t xml:space="preserve"> </w:t>
      </w:r>
      <w:r w:rsidRPr="00EC0139">
        <w:rPr>
          <w:rFonts w:hint="cs"/>
          <w:rtl/>
        </w:rPr>
        <w:t>المالية</w:t>
      </w:r>
      <w:r w:rsidRPr="00EC0139">
        <w:rPr>
          <w:rtl/>
        </w:rPr>
        <w:t xml:space="preserve"> </w:t>
      </w:r>
      <w:r w:rsidRPr="00EC0139">
        <w:rPr>
          <w:lang w:bidi="ar-SY"/>
        </w:rPr>
        <w:t>2022</w:t>
      </w:r>
      <w:r w:rsidRPr="00EC0139">
        <w:rPr>
          <w:rFonts w:hint="cs"/>
          <w:rtl/>
          <w:lang w:bidi="ar-SY"/>
        </w:rPr>
        <w:t xml:space="preserve"> </w:t>
      </w:r>
      <w:r w:rsidRPr="00EC0139">
        <w:rPr>
          <w:rtl/>
        </w:rPr>
        <w:t xml:space="preserve">التي تتضمن </w:t>
      </w:r>
      <w:r w:rsidRPr="00EC0139">
        <w:rPr>
          <w:rFonts w:hint="cs"/>
          <w:rtl/>
        </w:rPr>
        <w:t>الحسابات</w:t>
      </w:r>
      <w:r w:rsidRPr="00EC0139">
        <w:rPr>
          <w:rtl/>
        </w:rPr>
        <w:t xml:space="preserve"> </w:t>
      </w:r>
      <w:r w:rsidRPr="00EC0139">
        <w:rPr>
          <w:rFonts w:hint="cs"/>
          <w:rtl/>
        </w:rPr>
        <w:t>المراجعة</w:t>
      </w:r>
      <w:r w:rsidRPr="00EC0139">
        <w:rPr>
          <w:rtl/>
        </w:rPr>
        <w:t xml:space="preserve"> لل</w:t>
      </w:r>
      <w:r w:rsidRPr="00EC0139">
        <w:rPr>
          <w:rFonts w:hint="cs"/>
          <w:rtl/>
        </w:rPr>
        <w:t>سنة</w:t>
      </w:r>
      <w:r w:rsidRPr="00EC0139">
        <w:rPr>
          <w:rtl/>
        </w:rPr>
        <w:t xml:space="preserve"> </w:t>
      </w:r>
      <w:r w:rsidRPr="00EC0139">
        <w:rPr>
          <w:rFonts w:hint="cs"/>
          <w:rtl/>
        </w:rPr>
        <w:t>المالية </w:t>
      </w:r>
      <w:r w:rsidRPr="00EC0139">
        <w:rPr>
          <w:lang w:bidi="ar-SY"/>
        </w:rPr>
        <w:t>2022</w:t>
      </w:r>
      <w:r w:rsidRPr="00EC0139">
        <w:rPr>
          <w:rFonts w:hint="cs"/>
          <w:rtl/>
          <w:lang w:bidi="ar-SY"/>
        </w:rPr>
        <w:t xml:space="preserve"> </w:t>
      </w:r>
      <w:r w:rsidRPr="00EC0139">
        <w:rPr>
          <w:rFonts w:hint="cs"/>
          <w:rtl/>
        </w:rPr>
        <w:t>لميزانية</w:t>
      </w:r>
      <w:r w:rsidRPr="00EC0139">
        <w:rPr>
          <w:rtl/>
        </w:rPr>
        <w:t xml:space="preserve"> الا</w:t>
      </w:r>
      <w:r w:rsidRPr="00EC0139">
        <w:rPr>
          <w:rFonts w:hint="cs"/>
          <w:rtl/>
        </w:rPr>
        <w:t>تح</w:t>
      </w:r>
      <w:r w:rsidRPr="00EC0139">
        <w:rPr>
          <w:rtl/>
        </w:rPr>
        <w:t>اد</w:t>
      </w:r>
      <w:r w:rsidRPr="00EC0139">
        <w:rPr>
          <w:rFonts w:hint="cs"/>
          <w:rtl/>
          <w:lang w:bidi="ar-SY"/>
        </w:rPr>
        <w:t xml:space="preserve">، </w:t>
      </w:r>
      <w:r w:rsidRPr="00EC0139">
        <w:rPr>
          <w:rFonts w:hint="cs"/>
          <w:rtl/>
        </w:rPr>
        <w:t>والحسابات</w:t>
      </w:r>
      <w:r w:rsidRPr="00EC0139">
        <w:rPr>
          <w:rtl/>
        </w:rPr>
        <w:t xml:space="preserve"> </w:t>
      </w:r>
      <w:r w:rsidRPr="00EC0139">
        <w:rPr>
          <w:rFonts w:hint="cs"/>
          <w:rtl/>
        </w:rPr>
        <w:t>المراجعة</w:t>
      </w:r>
      <w:r w:rsidRPr="00EC0139">
        <w:rPr>
          <w:rtl/>
        </w:rPr>
        <w:t xml:space="preserve"> لعام </w:t>
      </w:r>
      <w:r w:rsidRPr="00EC0139">
        <w:rPr>
          <w:lang w:bidi="ar-SY"/>
        </w:rPr>
        <w:t>2021</w:t>
      </w:r>
      <w:r w:rsidRPr="00EC0139">
        <w:rPr>
          <w:rFonts w:hint="cs"/>
          <w:rtl/>
          <w:lang w:bidi="ar-SY"/>
        </w:rPr>
        <w:t xml:space="preserve"> </w:t>
      </w:r>
      <w:r w:rsidRPr="00EC0139">
        <w:rPr>
          <w:rFonts w:hint="cs"/>
          <w:rtl/>
        </w:rPr>
        <w:t>لمشاريع</w:t>
      </w:r>
      <w:r w:rsidRPr="00EC0139">
        <w:rPr>
          <w:rtl/>
        </w:rPr>
        <w:t xml:space="preserve"> التعاون التقني و</w:t>
      </w:r>
      <w:r w:rsidRPr="00EC0139">
        <w:rPr>
          <w:rFonts w:hint="cs"/>
          <w:rtl/>
          <w:lang w:bidi="ar-EG"/>
        </w:rPr>
        <w:t>ال</w:t>
      </w:r>
      <w:r w:rsidRPr="00EC0139">
        <w:rPr>
          <w:rFonts w:hint="cs"/>
          <w:rtl/>
        </w:rPr>
        <w:t>مساهمات</w:t>
      </w:r>
      <w:r w:rsidRPr="00EC0139">
        <w:rPr>
          <w:rtl/>
        </w:rPr>
        <w:t xml:space="preserve"> الطوعية وصندوق التأمينات </w:t>
      </w:r>
      <w:r w:rsidRPr="00EC0139">
        <w:rPr>
          <w:rFonts w:hint="cs"/>
          <w:rtl/>
        </w:rPr>
        <w:t>لموظفي</w:t>
      </w:r>
      <w:r w:rsidRPr="00EC0139">
        <w:rPr>
          <w:rtl/>
        </w:rPr>
        <w:t xml:space="preserve"> </w:t>
      </w:r>
      <w:r w:rsidRPr="00EC0139">
        <w:rPr>
          <w:rFonts w:hint="cs"/>
          <w:rtl/>
        </w:rPr>
        <w:t>الاتحاد</w:t>
      </w:r>
      <w:r w:rsidRPr="00EC0139">
        <w:rPr>
          <w:rtl/>
        </w:rPr>
        <w:t>،</w:t>
      </w:r>
    </w:p>
    <w:p w14:paraId="4D857FB0" w14:textId="77777777" w:rsidR="006E3D73" w:rsidRPr="00EC0139" w:rsidRDefault="006E3D73" w:rsidP="006E3D73">
      <w:pPr>
        <w:pStyle w:val="Call"/>
        <w:ind w:left="1928"/>
        <w:rPr>
          <w:rtl/>
        </w:rPr>
      </w:pPr>
      <w:r w:rsidRPr="00EC0139">
        <w:rPr>
          <w:rFonts w:hint="cs"/>
          <w:rtl/>
        </w:rPr>
        <w:t>وقد أخذ علماً</w:t>
      </w:r>
    </w:p>
    <w:p w14:paraId="15805463" w14:textId="3FE5F412" w:rsidR="006E3D73" w:rsidRPr="00EC0139" w:rsidRDefault="006E3D73" w:rsidP="006E3D73">
      <w:pPr>
        <w:rPr>
          <w:rtl/>
          <w:lang w:bidi="ar-EG"/>
        </w:rPr>
      </w:pPr>
      <w:r w:rsidRPr="00EC0139">
        <w:rPr>
          <w:rFonts w:hint="cs"/>
          <w:rtl/>
        </w:rPr>
        <w:t>ب</w:t>
      </w:r>
      <w:r w:rsidRPr="00EC0139">
        <w:rPr>
          <w:rtl/>
        </w:rPr>
        <w:t xml:space="preserve">تقارير المراجع الخارجي </w:t>
      </w:r>
      <w:r w:rsidRPr="00EC0139">
        <w:rPr>
          <w:rFonts w:hint="cs"/>
          <w:rtl/>
        </w:rPr>
        <w:t>ال</w:t>
      </w:r>
      <w:r w:rsidRPr="00EC0139">
        <w:rPr>
          <w:rtl/>
        </w:rPr>
        <w:t xml:space="preserve">معروضة في </w:t>
      </w:r>
      <w:hyperlink r:id="rId10" w:history="1">
        <w:r w:rsidRPr="00296572">
          <w:rPr>
            <w:rFonts w:hint="cs"/>
            <w:rtl/>
          </w:rPr>
          <w:t xml:space="preserve">الوثيقة </w:t>
        </w:r>
        <w:r w:rsidRPr="00EC0139">
          <w:rPr>
            <w:rStyle w:val="Hyperlink"/>
          </w:rPr>
          <w:t>C2</w:t>
        </w:r>
        <w:r w:rsidR="00CE331D">
          <w:rPr>
            <w:rStyle w:val="Hyperlink"/>
          </w:rPr>
          <w:t>4</w:t>
        </w:r>
        <w:r w:rsidRPr="00EC0139">
          <w:rPr>
            <w:rStyle w:val="Hyperlink"/>
          </w:rPr>
          <w:t>/41</w:t>
        </w:r>
      </w:hyperlink>
      <w:r w:rsidRPr="00EC0139">
        <w:rPr>
          <w:rFonts w:hint="cs"/>
          <w:rtl/>
          <w:lang w:bidi="ar-EG"/>
        </w:rPr>
        <w:t>،</w:t>
      </w:r>
    </w:p>
    <w:p w14:paraId="77321E72" w14:textId="77777777" w:rsidR="006E3D73" w:rsidRPr="00EC0139" w:rsidRDefault="006E3D73" w:rsidP="006E3D73">
      <w:pPr>
        <w:pStyle w:val="Call"/>
        <w:ind w:left="1928"/>
        <w:rPr>
          <w:rtl/>
        </w:rPr>
      </w:pPr>
      <w:r w:rsidRPr="00EC0139">
        <w:rPr>
          <w:rtl/>
        </w:rPr>
        <w:t>يقـرر</w:t>
      </w:r>
    </w:p>
    <w:p w14:paraId="58C6FC5D" w14:textId="7604C6B7" w:rsidR="006E3D73" w:rsidRPr="00EC0139" w:rsidRDefault="006E3D73" w:rsidP="006E3D73">
      <w:pPr>
        <w:rPr>
          <w:rtl/>
        </w:rPr>
      </w:pPr>
      <w:r w:rsidRPr="00EC0139">
        <w:rPr>
          <w:rtl/>
        </w:rPr>
        <w:t>أن يوافق على تقرير الإدارة ا</w:t>
      </w:r>
      <w:r w:rsidRPr="00EC0139">
        <w:rPr>
          <w:rFonts w:hint="cs"/>
          <w:rtl/>
        </w:rPr>
        <w:t>ل</w:t>
      </w:r>
      <w:r w:rsidRPr="00EC0139">
        <w:rPr>
          <w:rtl/>
        </w:rPr>
        <w:t>مالية لل</w:t>
      </w:r>
      <w:r w:rsidRPr="00EC0139">
        <w:rPr>
          <w:rFonts w:hint="cs"/>
          <w:rtl/>
        </w:rPr>
        <w:t>سنة</w:t>
      </w:r>
      <w:r w:rsidRPr="00EC0139">
        <w:rPr>
          <w:rtl/>
        </w:rPr>
        <w:t xml:space="preserve"> المالية </w:t>
      </w:r>
      <w:r w:rsidRPr="00EC0139">
        <w:rPr>
          <w:rFonts w:hint="cs"/>
          <w:rtl/>
          <w:lang w:bidi="ar-SY"/>
        </w:rPr>
        <w:t>2022</w:t>
      </w:r>
      <w:r w:rsidRPr="00EC0139">
        <w:rPr>
          <w:rtl/>
        </w:rPr>
        <w:t xml:space="preserve"> </w:t>
      </w:r>
      <w:r w:rsidRPr="00EC0139">
        <w:rPr>
          <w:rFonts w:hint="cs"/>
          <w:rtl/>
        </w:rPr>
        <w:t>(</w:t>
      </w:r>
      <w:hyperlink r:id="rId11" w:history="1">
        <w:r w:rsidRPr="00296572">
          <w:rPr>
            <w:rFonts w:hint="cs"/>
            <w:rtl/>
          </w:rPr>
          <w:t xml:space="preserve">الوثيقة </w:t>
        </w:r>
        <w:r w:rsidRPr="00EC0139">
          <w:rPr>
            <w:rStyle w:val="Hyperlink"/>
          </w:rPr>
          <w:t>C2</w:t>
        </w:r>
        <w:r w:rsidR="00CE331D">
          <w:rPr>
            <w:rStyle w:val="Hyperlink"/>
          </w:rPr>
          <w:t>4</w:t>
        </w:r>
        <w:r w:rsidRPr="00EC0139">
          <w:rPr>
            <w:rStyle w:val="Hyperlink"/>
          </w:rPr>
          <w:t>/40</w:t>
        </w:r>
      </w:hyperlink>
      <w:hyperlink r:id="rId12" w:history="1"/>
      <w:r w:rsidRPr="00EC0139">
        <w:rPr>
          <w:rtl/>
        </w:rPr>
        <w:t>) الذي يغطي الحسابات المراجعة للاتحاد</w:t>
      </w:r>
      <w:r w:rsidRPr="00EC0139">
        <w:rPr>
          <w:rFonts w:hint="cs"/>
          <w:rtl/>
        </w:rPr>
        <w:t>،</w:t>
      </w:r>
      <w:r w:rsidRPr="00EC0139">
        <w:rPr>
          <w:rtl/>
        </w:rPr>
        <w:t xml:space="preserve"> </w:t>
      </w:r>
      <w:r w:rsidRPr="00EC0139">
        <w:rPr>
          <w:rFonts w:hint="cs"/>
          <w:rtl/>
        </w:rPr>
        <w:t>والحسابات</w:t>
      </w:r>
      <w:r w:rsidRPr="00EC0139">
        <w:rPr>
          <w:rtl/>
        </w:rPr>
        <w:t xml:space="preserve"> المراجعة للأموال من خارج الميزانية،</w:t>
      </w:r>
      <w:r w:rsidRPr="00EC0139">
        <w:rPr>
          <w:rFonts w:hint="cs"/>
          <w:rtl/>
        </w:rPr>
        <w:t xml:space="preserve"> </w:t>
      </w:r>
      <w:r w:rsidRPr="00EC0139">
        <w:rPr>
          <w:rtl/>
        </w:rPr>
        <w:t>وصندوق التأمينات لموظفي</w:t>
      </w:r>
      <w:r w:rsidRPr="00EC0139">
        <w:rPr>
          <w:rFonts w:hint="eastAsia"/>
          <w:rtl/>
          <w:lang w:bidi="ar-SY"/>
        </w:rPr>
        <w:t> </w:t>
      </w:r>
      <w:r w:rsidRPr="00EC0139">
        <w:rPr>
          <w:rFonts w:hint="cs"/>
          <w:rtl/>
        </w:rPr>
        <w:t>الاتحاد</w:t>
      </w:r>
      <w:r w:rsidRPr="00EC0139">
        <w:rPr>
          <w:rtl/>
        </w:rPr>
        <w:t xml:space="preserve"> لعام 2022.</w:t>
      </w:r>
    </w:p>
    <w:p w14:paraId="6B844F98" w14:textId="43E26246" w:rsidR="00421994" w:rsidRDefault="00E90B42" w:rsidP="00E90B4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sectPr w:rsidR="00421994" w:rsidSect="006C3242"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2CF82" w14:textId="77777777" w:rsidR="00076FAD" w:rsidRDefault="00076FAD" w:rsidP="006C3242">
      <w:pPr>
        <w:spacing w:before="0" w:line="240" w:lineRule="auto"/>
      </w:pPr>
      <w:r>
        <w:separator/>
      </w:r>
    </w:p>
  </w:endnote>
  <w:endnote w:type="continuationSeparator" w:id="0">
    <w:p w14:paraId="55134978" w14:textId="77777777" w:rsidR="00076FAD" w:rsidRDefault="00076F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6F51D94" w14:textId="77777777" w:rsidTr="00357086">
      <w:trPr>
        <w:jc w:val="center"/>
      </w:trPr>
      <w:tc>
        <w:tcPr>
          <w:tcW w:w="868" w:type="pct"/>
          <w:vAlign w:val="center"/>
        </w:tcPr>
        <w:p w14:paraId="08F26642" w14:textId="55BDC051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5649AD3E" w14:textId="3C6806A2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74C16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8B34D4">
            <w:rPr>
              <w:rFonts w:ascii="Calibri" w:hAnsi="Calibri" w:cs="Arial"/>
              <w:bCs/>
              <w:color w:val="7F7F7F"/>
              <w:sz w:val="18"/>
            </w:rPr>
            <w:t>26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388175C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47CABF4" w14:textId="6C4114BE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EA44BED" w14:textId="77777777" w:rsidTr="00F50E3F">
      <w:trPr>
        <w:jc w:val="center"/>
      </w:trPr>
      <w:tc>
        <w:tcPr>
          <w:tcW w:w="868" w:type="pct"/>
          <w:vAlign w:val="center"/>
        </w:tcPr>
        <w:p w14:paraId="7467CBEC" w14:textId="77777777" w:rsidR="007B0AA0" w:rsidRPr="007B0AA0" w:rsidRDefault="00CE331D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D070D5A" w14:textId="2317E65E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E3D73">
            <w:rPr>
              <w:rFonts w:ascii="Calibri" w:hAnsi="Calibri" w:cs="Arial"/>
              <w:bCs/>
              <w:color w:val="7F7F7F"/>
              <w:sz w:val="18"/>
            </w:rPr>
            <w:t>133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2980FD6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0018C01" w14:textId="73FA398F" w:rsidR="00387876" w:rsidRPr="00296572" w:rsidRDefault="00387876" w:rsidP="0029657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AB05" w14:textId="77777777" w:rsidR="00076FAD" w:rsidRDefault="00076FAD" w:rsidP="006C3242">
      <w:pPr>
        <w:spacing w:before="0" w:line="240" w:lineRule="auto"/>
      </w:pPr>
      <w:r>
        <w:separator/>
      </w:r>
    </w:p>
  </w:footnote>
  <w:footnote w:type="continuationSeparator" w:id="0">
    <w:p w14:paraId="4B12043A" w14:textId="77777777" w:rsidR="00076FAD" w:rsidRDefault="00076FA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7FAB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1FE77" wp14:editId="43CBDD3E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5671C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7EF36E55" wp14:editId="5BDCB8C6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BF12CF"/>
    <w:multiLevelType w:val="hybridMultilevel"/>
    <w:tmpl w:val="84145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F721B"/>
    <w:multiLevelType w:val="hybridMultilevel"/>
    <w:tmpl w:val="A11C2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AA4129"/>
    <w:multiLevelType w:val="hybridMultilevel"/>
    <w:tmpl w:val="3DF8C852"/>
    <w:lvl w:ilvl="0" w:tplc="D4E01740">
      <w:start w:val="2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851479920">
    <w:abstractNumId w:val="13"/>
  </w:num>
  <w:num w:numId="13" w16cid:durableId="1005128478">
    <w:abstractNumId w:val="11"/>
  </w:num>
  <w:num w:numId="14" w16cid:durableId="1073310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AD"/>
    <w:rsid w:val="000047B3"/>
    <w:rsid w:val="000212E6"/>
    <w:rsid w:val="0006468A"/>
    <w:rsid w:val="00076FAD"/>
    <w:rsid w:val="00084328"/>
    <w:rsid w:val="00090574"/>
    <w:rsid w:val="0009186A"/>
    <w:rsid w:val="00097C1C"/>
    <w:rsid w:val="000A7E74"/>
    <w:rsid w:val="000C1C0E"/>
    <w:rsid w:val="000C548A"/>
    <w:rsid w:val="00174C16"/>
    <w:rsid w:val="00195B5F"/>
    <w:rsid w:val="001C0169"/>
    <w:rsid w:val="001D059D"/>
    <w:rsid w:val="001D1D50"/>
    <w:rsid w:val="001D6745"/>
    <w:rsid w:val="001E446E"/>
    <w:rsid w:val="002154EE"/>
    <w:rsid w:val="002276D2"/>
    <w:rsid w:val="0023283D"/>
    <w:rsid w:val="002464B8"/>
    <w:rsid w:val="00252327"/>
    <w:rsid w:val="0026373E"/>
    <w:rsid w:val="00271C43"/>
    <w:rsid w:val="00290728"/>
    <w:rsid w:val="00296572"/>
    <w:rsid w:val="002978F4"/>
    <w:rsid w:val="002B028D"/>
    <w:rsid w:val="002B385A"/>
    <w:rsid w:val="002E6541"/>
    <w:rsid w:val="00310A85"/>
    <w:rsid w:val="00332020"/>
    <w:rsid w:val="00334924"/>
    <w:rsid w:val="003409BC"/>
    <w:rsid w:val="00357185"/>
    <w:rsid w:val="00383829"/>
    <w:rsid w:val="00387876"/>
    <w:rsid w:val="003B2302"/>
    <w:rsid w:val="003C25C9"/>
    <w:rsid w:val="003C4E08"/>
    <w:rsid w:val="003F4B29"/>
    <w:rsid w:val="00421994"/>
    <w:rsid w:val="0042686F"/>
    <w:rsid w:val="004317D8"/>
    <w:rsid w:val="00434183"/>
    <w:rsid w:val="00443869"/>
    <w:rsid w:val="00447F32"/>
    <w:rsid w:val="00455E09"/>
    <w:rsid w:val="004723E3"/>
    <w:rsid w:val="004B7334"/>
    <w:rsid w:val="004E11DC"/>
    <w:rsid w:val="00525DDD"/>
    <w:rsid w:val="005343C6"/>
    <w:rsid w:val="005409AC"/>
    <w:rsid w:val="00545760"/>
    <w:rsid w:val="0055516A"/>
    <w:rsid w:val="00562241"/>
    <w:rsid w:val="00562A38"/>
    <w:rsid w:val="0057756D"/>
    <w:rsid w:val="0058491B"/>
    <w:rsid w:val="005926B4"/>
    <w:rsid w:val="00592EA5"/>
    <w:rsid w:val="005A3170"/>
    <w:rsid w:val="0063313C"/>
    <w:rsid w:val="006440FC"/>
    <w:rsid w:val="00652CB0"/>
    <w:rsid w:val="00677396"/>
    <w:rsid w:val="0069200F"/>
    <w:rsid w:val="006A65CB"/>
    <w:rsid w:val="006C3242"/>
    <w:rsid w:val="006C7CC0"/>
    <w:rsid w:val="006E3D73"/>
    <w:rsid w:val="006F33B7"/>
    <w:rsid w:val="006F5ED7"/>
    <w:rsid w:val="006F63F7"/>
    <w:rsid w:val="007025C7"/>
    <w:rsid w:val="00706D7A"/>
    <w:rsid w:val="00722F0D"/>
    <w:rsid w:val="0074420E"/>
    <w:rsid w:val="00783E26"/>
    <w:rsid w:val="007A2841"/>
    <w:rsid w:val="007B0AA0"/>
    <w:rsid w:val="007C3BC7"/>
    <w:rsid w:val="007C3BCD"/>
    <w:rsid w:val="007D4ACF"/>
    <w:rsid w:val="007F0787"/>
    <w:rsid w:val="00810B7B"/>
    <w:rsid w:val="00813F84"/>
    <w:rsid w:val="00820689"/>
    <w:rsid w:val="0082358A"/>
    <w:rsid w:val="008235CD"/>
    <w:rsid w:val="008247DE"/>
    <w:rsid w:val="008339C0"/>
    <w:rsid w:val="00840B10"/>
    <w:rsid w:val="008513CB"/>
    <w:rsid w:val="00893550"/>
    <w:rsid w:val="008A7F84"/>
    <w:rsid w:val="008B34D4"/>
    <w:rsid w:val="00914C0D"/>
    <w:rsid w:val="0091702E"/>
    <w:rsid w:val="00923B0C"/>
    <w:rsid w:val="0094021C"/>
    <w:rsid w:val="00952F86"/>
    <w:rsid w:val="00974B51"/>
    <w:rsid w:val="00982B28"/>
    <w:rsid w:val="009B130C"/>
    <w:rsid w:val="009D313F"/>
    <w:rsid w:val="00A47A5A"/>
    <w:rsid w:val="00A6683B"/>
    <w:rsid w:val="00A67FDB"/>
    <w:rsid w:val="00A95048"/>
    <w:rsid w:val="00A97F94"/>
    <w:rsid w:val="00AA7EA2"/>
    <w:rsid w:val="00AB0088"/>
    <w:rsid w:val="00AE7EE6"/>
    <w:rsid w:val="00B03099"/>
    <w:rsid w:val="00B05BC8"/>
    <w:rsid w:val="00B6080B"/>
    <w:rsid w:val="00B64B47"/>
    <w:rsid w:val="00B91B14"/>
    <w:rsid w:val="00B95654"/>
    <w:rsid w:val="00BA1948"/>
    <w:rsid w:val="00C002DE"/>
    <w:rsid w:val="00C36C3D"/>
    <w:rsid w:val="00C511EA"/>
    <w:rsid w:val="00C53BF8"/>
    <w:rsid w:val="00C55E61"/>
    <w:rsid w:val="00C66157"/>
    <w:rsid w:val="00C674FE"/>
    <w:rsid w:val="00C67501"/>
    <w:rsid w:val="00C75633"/>
    <w:rsid w:val="00C97922"/>
    <w:rsid w:val="00CA3A79"/>
    <w:rsid w:val="00CB30EC"/>
    <w:rsid w:val="00CD26EC"/>
    <w:rsid w:val="00CE2EE1"/>
    <w:rsid w:val="00CE331D"/>
    <w:rsid w:val="00CE3349"/>
    <w:rsid w:val="00CE36E5"/>
    <w:rsid w:val="00CE5481"/>
    <w:rsid w:val="00CF27F5"/>
    <w:rsid w:val="00CF3FFD"/>
    <w:rsid w:val="00D10CCF"/>
    <w:rsid w:val="00D13941"/>
    <w:rsid w:val="00D45691"/>
    <w:rsid w:val="00D51512"/>
    <w:rsid w:val="00D63735"/>
    <w:rsid w:val="00D77D0F"/>
    <w:rsid w:val="00DA1CF0"/>
    <w:rsid w:val="00DC1E02"/>
    <w:rsid w:val="00DC24B4"/>
    <w:rsid w:val="00DC5FB0"/>
    <w:rsid w:val="00DC7886"/>
    <w:rsid w:val="00DF16DC"/>
    <w:rsid w:val="00E45211"/>
    <w:rsid w:val="00E473C5"/>
    <w:rsid w:val="00E55F15"/>
    <w:rsid w:val="00E61BE8"/>
    <w:rsid w:val="00E90B42"/>
    <w:rsid w:val="00E92863"/>
    <w:rsid w:val="00E95327"/>
    <w:rsid w:val="00EB796D"/>
    <w:rsid w:val="00EE07F2"/>
    <w:rsid w:val="00F058DC"/>
    <w:rsid w:val="00F24FC4"/>
    <w:rsid w:val="00F2676C"/>
    <w:rsid w:val="00F363FE"/>
    <w:rsid w:val="00F50E3F"/>
    <w:rsid w:val="00F84366"/>
    <w:rsid w:val="00F85089"/>
    <w:rsid w:val="00F974C5"/>
    <w:rsid w:val="00FA1DFB"/>
    <w:rsid w:val="00FA6F46"/>
    <w:rsid w:val="00FC4592"/>
    <w:rsid w:val="00FD2F43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8F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3B2302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421994"/>
    <w:rPr>
      <w:rFonts w:ascii="Dubai" w:hAnsi="Dubai" w:cs="Dubai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C25C9"/>
    <w:rPr>
      <w:color w:val="954F72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F33B7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vention-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2-CL-C-0003/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4-CL-C-004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24-CL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ties/Documents/Financial-regulations/S-GEN-REG_RGTFIN-2022-PDF-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1426 - Financial operating report for the 2022 financial year</dc:title>
  <dc:subject>Additional session of Council 2023</dc:subject>
  <dc:creator/>
  <cp:keywords>C24, Council-24, Council 2024</cp:keywords>
  <dc:description/>
  <cp:lastModifiedBy/>
  <cp:revision>1</cp:revision>
  <dcterms:created xsi:type="dcterms:W3CDTF">2024-06-26T08:19:00Z</dcterms:created>
  <dcterms:modified xsi:type="dcterms:W3CDTF">2024-07-18T09:35:00Z</dcterms:modified>
  <cp:category>Conference document</cp:category>
</cp:coreProperties>
</file>