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22548" w14:paraId="2592CC74" w14:textId="77777777" w:rsidTr="00D72F49">
        <w:trPr>
          <w:cantSplit/>
          <w:trHeight w:val="23"/>
        </w:trPr>
        <w:tc>
          <w:tcPr>
            <w:tcW w:w="3969" w:type="dxa"/>
            <w:vMerge w:val="restart"/>
            <w:tcMar>
              <w:left w:w="0" w:type="dxa"/>
            </w:tcMar>
          </w:tcPr>
          <w:p w14:paraId="27E56DEB" w14:textId="7666CA7E" w:rsidR="00D72F49" w:rsidRPr="00622548" w:rsidRDefault="00D72F49" w:rsidP="00D72F49">
            <w:pPr>
              <w:tabs>
                <w:tab w:val="left" w:pos="851"/>
              </w:tabs>
              <w:spacing w:before="0" w:line="240" w:lineRule="atLeast"/>
              <w:rPr>
                <w:b/>
              </w:rPr>
            </w:pPr>
          </w:p>
        </w:tc>
        <w:tc>
          <w:tcPr>
            <w:tcW w:w="5245" w:type="dxa"/>
          </w:tcPr>
          <w:p w14:paraId="27B6A98A" w14:textId="6701F971" w:rsidR="00D72F49" w:rsidRPr="00622548" w:rsidRDefault="00D72F49" w:rsidP="00D72F49">
            <w:pPr>
              <w:tabs>
                <w:tab w:val="left" w:pos="851"/>
              </w:tabs>
              <w:spacing w:before="0" w:line="240" w:lineRule="atLeast"/>
              <w:jc w:val="right"/>
              <w:rPr>
                <w:b/>
              </w:rPr>
            </w:pPr>
            <w:r w:rsidRPr="00622548">
              <w:rPr>
                <w:b/>
              </w:rPr>
              <w:t>Document C2</w:t>
            </w:r>
            <w:r w:rsidR="0073275D" w:rsidRPr="00622548">
              <w:rPr>
                <w:b/>
              </w:rPr>
              <w:t>4</w:t>
            </w:r>
            <w:r w:rsidRPr="00622548">
              <w:rPr>
                <w:b/>
              </w:rPr>
              <w:t>/</w:t>
            </w:r>
            <w:r w:rsidR="005E03A8">
              <w:rPr>
                <w:b/>
              </w:rPr>
              <w:t>132</w:t>
            </w:r>
            <w:r w:rsidRPr="00622548">
              <w:rPr>
                <w:b/>
              </w:rPr>
              <w:t>-F</w:t>
            </w:r>
          </w:p>
        </w:tc>
      </w:tr>
      <w:tr w:rsidR="00D72F49" w:rsidRPr="00622548" w14:paraId="41096C77" w14:textId="77777777" w:rsidTr="00D72F49">
        <w:trPr>
          <w:cantSplit/>
        </w:trPr>
        <w:tc>
          <w:tcPr>
            <w:tcW w:w="3969" w:type="dxa"/>
            <w:vMerge/>
          </w:tcPr>
          <w:p w14:paraId="0BBA5643" w14:textId="77777777" w:rsidR="00D72F49" w:rsidRPr="00622548" w:rsidRDefault="00D72F49" w:rsidP="00D72F49">
            <w:pPr>
              <w:tabs>
                <w:tab w:val="left" w:pos="851"/>
              </w:tabs>
              <w:spacing w:line="240" w:lineRule="atLeast"/>
              <w:rPr>
                <w:b/>
              </w:rPr>
            </w:pPr>
          </w:p>
        </w:tc>
        <w:tc>
          <w:tcPr>
            <w:tcW w:w="5245" w:type="dxa"/>
          </w:tcPr>
          <w:p w14:paraId="068BECD5" w14:textId="71995667" w:rsidR="00D72F49" w:rsidRPr="00622548" w:rsidRDefault="009A4E09" w:rsidP="00D72F49">
            <w:pPr>
              <w:tabs>
                <w:tab w:val="left" w:pos="851"/>
              </w:tabs>
              <w:spacing w:before="0"/>
              <w:jc w:val="right"/>
              <w:rPr>
                <w:b/>
              </w:rPr>
            </w:pPr>
            <w:r w:rsidRPr="00622548">
              <w:rPr>
                <w:b/>
              </w:rPr>
              <w:t>1</w:t>
            </w:r>
            <w:r w:rsidR="006457E8">
              <w:rPr>
                <w:b/>
              </w:rPr>
              <w:t>4</w:t>
            </w:r>
            <w:r w:rsidR="00713B03" w:rsidRPr="00622548">
              <w:rPr>
                <w:b/>
              </w:rPr>
              <w:t xml:space="preserve"> </w:t>
            </w:r>
            <w:r w:rsidR="001463DF" w:rsidRPr="00622548">
              <w:rPr>
                <w:b/>
              </w:rPr>
              <w:t>juin</w:t>
            </w:r>
            <w:r w:rsidR="00D72F49" w:rsidRPr="00622548">
              <w:rPr>
                <w:b/>
              </w:rPr>
              <w:t xml:space="preserve"> 202</w:t>
            </w:r>
            <w:r w:rsidR="0073275D" w:rsidRPr="00622548">
              <w:rPr>
                <w:b/>
              </w:rPr>
              <w:t>4</w:t>
            </w:r>
          </w:p>
        </w:tc>
      </w:tr>
      <w:tr w:rsidR="00D72F49" w:rsidRPr="00622548" w14:paraId="17E5B988" w14:textId="77777777" w:rsidTr="00D72F49">
        <w:trPr>
          <w:cantSplit/>
          <w:trHeight w:val="23"/>
        </w:trPr>
        <w:tc>
          <w:tcPr>
            <w:tcW w:w="3969" w:type="dxa"/>
            <w:vMerge/>
          </w:tcPr>
          <w:p w14:paraId="2192D6D7" w14:textId="77777777" w:rsidR="00D72F49" w:rsidRPr="00622548" w:rsidRDefault="00D72F49" w:rsidP="00D72F49">
            <w:pPr>
              <w:tabs>
                <w:tab w:val="left" w:pos="851"/>
              </w:tabs>
              <w:spacing w:line="240" w:lineRule="atLeast"/>
              <w:rPr>
                <w:b/>
              </w:rPr>
            </w:pPr>
          </w:p>
        </w:tc>
        <w:tc>
          <w:tcPr>
            <w:tcW w:w="5245" w:type="dxa"/>
          </w:tcPr>
          <w:p w14:paraId="1948C622" w14:textId="77777777" w:rsidR="00D72F49" w:rsidRPr="00622548" w:rsidRDefault="00D72F49" w:rsidP="00D72F49">
            <w:pPr>
              <w:tabs>
                <w:tab w:val="left" w:pos="851"/>
              </w:tabs>
              <w:spacing w:before="0" w:line="240" w:lineRule="atLeast"/>
              <w:jc w:val="right"/>
              <w:rPr>
                <w:b/>
              </w:rPr>
            </w:pPr>
            <w:r w:rsidRPr="00622548">
              <w:rPr>
                <w:b/>
              </w:rPr>
              <w:t>Original: anglais</w:t>
            </w:r>
          </w:p>
        </w:tc>
      </w:tr>
      <w:tr w:rsidR="00D72F49" w:rsidRPr="00622548" w14:paraId="53623BEE" w14:textId="77777777" w:rsidTr="00D72F49">
        <w:trPr>
          <w:cantSplit/>
          <w:trHeight w:val="23"/>
        </w:trPr>
        <w:tc>
          <w:tcPr>
            <w:tcW w:w="3969" w:type="dxa"/>
          </w:tcPr>
          <w:p w14:paraId="630B4C34" w14:textId="77777777" w:rsidR="00D72F49" w:rsidRPr="00622548" w:rsidRDefault="00D72F49" w:rsidP="00D72F49">
            <w:pPr>
              <w:tabs>
                <w:tab w:val="left" w:pos="851"/>
              </w:tabs>
              <w:spacing w:line="240" w:lineRule="atLeast"/>
              <w:rPr>
                <w:b/>
              </w:rPr>
            </w:pPr>
          </w:p>
        </w:tc>
        <w:tc>
          <w:tcPr>
            <w:tcW w:w="5245" w:type="dxa"/>
          </w:tcPr>
          <w:p w14:paraId="437750C4" w14:textId="77777777" w:rsidR="00D72F49" w:rsidRPr="00622548" w:rsidRDefault="00D72F49" w:rsidP="00D72F49">
            <w:pPr>
              <w:tabs>
                <w:tab w:val="left" w:pos="851"/>
              </w:tabs>
              <w:spacing w:before="0" w:line="240" w:lineRule="atLeast"/>
              <w:jc w:val="right"/>
              <w:rPr>
                <w:b/>
              </w:rPr>
            </w:pPr>
          </w:p>
        </w:tc>
      </w:tr>
    </w:tbl>
    <w:p w14:paraId="541438DD" w14:textId="74FEB00D" w:rsidR="00A75E84" w:rsidRPr="00622548" w:rsidRDefault="00A75E84" w:rsidP="00A75E84">
      <w:pPr>
        <w:pStyle w:val="ResNo"/>
      </w:pPr>
      <w:bookmarkStart w:id="0" w:name="_Hlk169259509"/>
      <w:r w:rsidRPr="00622548">
        <w:t>DÉCISION</w:t>
      </w:r>
      <w:r>
        <w:t xml:space="preserve"> </w:t>
      </w:r>
      <w:r w:rsidR="005E03A8">
        <w:t>640</w:t>
      </w:r>
    </w:p>
    <w:p w14:paraId="59FAE6F4" w14:textId="454433EF" w:rsidR="00E60397" w:rsidRPr="00E60397" w:rsidRDefault="00E60397" w:rsidP="00E60397">
      <w:pPr>
        <w:pStyle w:val="Resref"/>
      </w:pPr>
      <w:r w:rsidRPr="00E60397">
        <w:t>(adoptée à la dixième séance plénière)</w:t>
      </w:r>
      <w:bookmarkEnd w:id="0"/>
    </w:p>
    <w:p w14:paraId="197E899C" w14:textId="77777777" w:rsidR="00A75E84" w:rsidRPr="00622548" w:rsidRDefault="00A75E84" w:rsidP="00A75E84">
      <w:pPr>
        <w:pStyle w:val="Restitle"/>
        <w:rPr>
          <w:bCs/>
        </w:rPr>
      </w:pPr>
      <w:bookmarkStart w:id="1" w:name="dtitle1" w:colFirst="0" w:colLast="0"/>
      <w:r w:rsidRPr="00622548">
        <w:t>Nouveau projet réévalué pour les locaux du siège de l'UIT</w:t>
      </w:r>
    </w:p>
    <w:bookmarkEnd w:id="1"/>
    <w:p w14:paraId="2671ED15" w14:textId="77777777" w:rsidR="00A75E84" w:rsidRPr="00622548" w:rsidRDefault="00A75E84" w:rsidP="00A75E84">
      <w:pPr>
        <w:pStyle w:val="Normalaftertitle"/>
      </w:pPr>
      <w:r w:rsidRPr="00622548">
        <w:t>Le Conseil de l'UIT,</w:t>
      </w:r>
    </w:p>
    <w:p w14:paraId="7BA0F613" w14:textId="77777777" w:rsidR="00A75E84" w:rsidRPr="00622548" w:rsidRDefault="00A75E84" w:rsidP="00A75E84">
      <w:pPr>
        <w:pStyle w:val="Call"/>
      </w:pPr>
      <w:r w:rsidRPr="00622548">
        <w:rPr>
          <w:iCs/>
        </w:rPr>
        <w:t>rappelant</w:t>
      </w:r>
    </w:p>
    <w:p w14:paraId="690D20A0" w14:textId="77777777" w:rsidR="00A75E84" w:rsidRPr="00622548" w:rsidRDefault="00A75E84" w:rsidP="00A75E84">
      <w:pPr>
        <w:rPr>
          <w:rFonts w:asciiTheme="minorHAnsi" w:hAnsiTheme="minorHAnsi" w:cstheme="minorBidi"/>
          <w:color w:val="000000" w:themeColor="text1"/>
        </w:rPr>
      </w:pPr>
      <w:r w:rsidRPr="00622548">
        <w:t>la Résolution 212 (Rév. Bucarest, 2022) de la Conférence de plénipotentiaires sur les locaux futurs du siège de l'Union et les Décisions 588 et 619 du Conseil relatives aux locaux du siège de l'UIT,</w:t>
      </w:r>
    </w:p>
    <w:p w14:paraId="37A97F5B" w14:textId="77777777" w:rsidR="00A75E84" w:rsidRPr="00622548" w:rsidRDefault="00A75E84" w:rsidP="00A75E84">
      <w:pPr>
        <w:pStyle w:val="Call"/>
      </w:pPr>
      <w:r w:rsidRPr="00622548">
        <w:rPr>
          <w:iCs/>
        </w:rPr>
        <w:t>reconnaissant</w:t>
      </w:r>
    </w:p>
    <w:p w14:paraId="7C8788BE" w14:textId="77777777" w:rsidR="00A75E84" w:rsidRPr="00622548" w:rsidRDefault="00A75E84" w:rsidP="00A75E84">
      <w:pPr>
        <w:rPr>
          <w:rFonts w:asciiTheme="minorHAnsi" w:hAnsiTheme="minorHAnsi" w:cstheme="minorBidi"/>
          <w:color w:val="000000" w:themeColor="text1"/>
        </w:rPr>
      </w:pPr>
      <w:r w:rsidRPr="00622548">
        <w:rPr>
          <w:i/>
          <w:iCs/>
        </w:rPr>
        <w:t>a)</w:t>
      </w:r>
      <w:r w:rsidRPr="00622548">
        <w:tab/>
        <w:t>que les propositions soumises en vue de la désignation d'une entreprise générale pour le projet de locaux du siège dépassent largement le budget approuvé de 172,69 millions CHF;</w:t>
      </w:r>
    </w:p>
    <w:p w14:paraId="7695D42F" w14:textId="77777777" w:rsidR="00A75E84" w:rsidRPr="00622548" w:rsidRDefault="00A75E84" w:rsidP="00A75E84">
      <w:pPr>
        <w:rPr>
          <w:rFonts w:asciiTheme="minorHAnsi" w:hAnsiTheme="minorHAnsi" w:cstheme="minorBidi"/>
          <w:color w:val="000000" w:themeColor="text1"/>
        </w:rPr>
      </w:pPr>
      <w:r w:rsidRPr="00622548">
        <w:rPr>
          <w:i/>
          <w:iCs/>
        </w:rPr>
        <w:t>b)</w:t>
      </w:r>
      <w:r w:rsidRPr="00622548">
        <w:tab/>
        <w:t>que les deux appels lancés en vue d'obtenir des contributions volontaires et des parrainages supplémentaires n'ont suscité aucun intérêt;</w:t>
      </w:r>
    </w:p>
    <w:p w14:paraId="6CFA1651" w14:textId="77777777" w:rsidR="00A75E84" w:rsidRPr="00622548" w:rsidRDefault="00A75E84" w:rsidP="00A75E84">
      <w:pPr>
        <w:rPr>
          <w:rFonts w:asciiTheme="minorHAnsi" w:hAnsiTheme="minorHAnsi" w:cstheme="minorBidi"/>
          <w:color w:val="000000" w:themeColor="text1"/>
        </w:rPr>
      </w:pPr>
      <w:r w:rsidRPr="00622548">
        <w:rPr>
          <w:i/>
          <w:iCs/>
        </w:rPr>
        <w:t>c)</w:t>
      </w:r>
      <w:r w:rsidRPr="00622548">
        <w:tab/>
        <w:t xml:space="preserve">qu'il faut d'urgence décider du remplacement du bâtiment </w:t>
      </w:r>
      <w:proofErr w:type="spellStart"/>
      <w:r w:rsidRPr="00622548">
        <w:t>Varembé</w:t>
      </w:r>
      <w:proofErr w:type="spellEnd"/>
      <w:r w:rsidRPr="00622548">
        <w:t>, qui approche de la fin de sa durée de vie utile,</w:t>
      </w:r>
    </w:p>
    <w:p w14:paraId="51371C62" w14:textId="77777777" w:rsidR="00A75E84" w:rsidRPr="00622548" w:rsidRDefault="00A75E84" w:rsidP="00A75E84">
      <w:pPr>
        <w:pStyle w:val="Call"/>
        <w:rPr>
          <w:rFonts w:cstheme="minorBidi"/>
        </w:rPr>
      </w:pPr>
      <w:r w:rsidRPr="00622548">
        <w:rPr>
          <w:iCs/>
        </w:rPr>
        <w:t>notant</w:t>
      </w:r>
    </w:p>
    <w:p w14:paraId="4A48B84A" w14:textId="77777777" w:rsidR="00A75E84" w:rsidRPr="00622548" w:rsidRDefault="00A75E84" w:rsidP="00A75E84">
      <w:pPr>
        <w:rPr>
          <w:rFonts w:asciiTheme="minorHAnsi" w:hAnsiTheme="minorHAnsi" w:cstheme="minorBidi"/>
          <w:color w:val="000000" w:themeColor="text1"/>
        </w:rPr>
      </w:pPr>
      <w:r w:rsidRPr="00622548">
        <w:rPr>
          <w:i/>
          <w:iCs/>
        </w:rPr>
        <w:t>a)</w:t>
      </w:r>
      <w:r w:rsidRPr="00622548">
        <w:tab/>
        <w:t xml:space="preserve">la proposition de la Secrétaire générale relative à un nouveau projet réévalué tenant compte des besoins des membres et du personnel de l'UIT dans les limites du budget actuel, ainsi qu'il ressort du Tableau 4 du Document </w:t>
      </w:r>
      <w:hyperlink r:id="rId7" w:history="1">
        <w:r w:rsidRPr="00622548">
          <w:rPr>
            <w:rStyle w:val="Hyperlink"/>
          </w:rPr>
          <w:t>C24/7</w:t>
        </w:r>
      </w:hyperlink>
      <w:r w:rsidRPr="00622548">
        <w:t xml:space="preserve"> du Conseil;</w:t>
      </w:r>
    </w:p>
    <w:p w14:paraId="62D2BCCE" w14:textId="77777777" w:rsidR="00A75E84" w:rsidRPr="00622548" w:rsidRDefault="00A75E84" w:rsidP="00A75E84">
      <w:pPr>
        <w:rPr>
          <w:rFonts w:eastAsia="SimSun" w:cstheme="minorHAnsi"/>
          <w:color w:val="000000"/>
          <w:szCs w:val="24"/>
          <w:shd w:val="clear" w:color="auto" w:fill="FFFFFF"/>
        </w:rPr>
      </w:pPr>
      <w:r w:rsidRPr="00622548">
        <w:rPr>
          <w:i/>
          <w:iCs/>
        </w:rPr>
        <w:t>b)</w:t>
      </w:r>
      <w:r w:rsidRPr="00622548">
        <w:tab/>
        <w:t>les rapports du Groupe consultatif d'États Membres (MSAG) et de la Présidente du Groupe de travail du Conseil sur les ressources financières et les ressources humaines (GTC</w:t>
      </w:r>
      <w:r w:rsidRPr="00622548">
        <w:noBreakHyphen/>
        <w:t>FHR) à la session de 2024 du Conseil, qui appuient le nouveau projet réévalué soumis par la Secrétaire générale,</w:t>
      </w:r>
    </w:p>
    <w:p w14:paraId="49A22771" w14:textId="77777777" w:rsidR="00A75E84" w:rsidRPr="00622548" w:rsidRDefault="00A75E84" w:rsidP="00A75E84">
      <w:pPr>
        <w:pStyle w:val="Call"/>
      </w:pPr>
      <w:r w:rsidRPr="00622548">
        <w:rPr>
          <w:iCs/>
        </w:rPr>
        <w:t>décide</w:t>
      </w:r>
    </w:p>
    <w:p w14:paraId="6CCFF683" w14:textId="0C7ED0B3" w:rsidR="00A75E84" w:rsidRPr="00622548" w:rsidRDefault="00A75E84" w:rsidP="00A75E84">
      <w:pPr>
        <w:rPr>
          <w:rFonts w:cstheme="minorHAnsi"/>
          <w:szCs w:val="24"/>
        </w:rPr>
      </w:pPr>
      <w:r w:rsidRPr="00622548">
        <w:t>d'approuver, sous réserve de l'accord de la majorité des États Membres de l'UIT, conformément au numéro 79 de la Convention, le nouveau projet réévalué, pour un budget ne dépassant pas 172,69 millions</w:t>
      </w:r>
      <w:r w:rsidR="005E03A8">
        <w:t> </w:t>
      </w:r>
      <w:r w:rsidRPr="00622548">
        <w:t>CHF,</w:t>
      </w:r>
    </w:p>
    <w:p w14:paraId="0130DEFA" w14:textId="77777777" w:rsidR="00A75E84" w:rsidRPr="00622548" w:rsidRDefault="00A75E84" w:rsidP="00A75E84">
      <w:pPr>
        <w:pStyle w:val="Call"/>
      </w:pPr>
      <w:r w:rsidRPr="00622548">
        <w:lastRenderedPageBreak/>
        <w:t>charge la Secrétaire générale, sous réserve de l'accord susmentionné de la majorité des États Membres de l'UIT,</w:t>
      </w:r>
    </w:p>
    <w:p w14:paraId="4AE6D923" w14:textId="77777777" w:rsidR="00A75E84" w:rsidRPr="00622548" w:rsidRDefault="00A75E84" w:rsidP="00A75E84">
      <w:pPr>
        <w:rPr>
          <w:rFonts w:cstheme="minorHAnsi"/>
          <w:szCs w:val="24"/>
        </w:rPr>
      </w:pPr>
      <w:r w:rsidRPr="00622548">
        <w:t>1</w:t>
      </w:r>
      <w:r w:rsidRPr="00622548">
        <w:tab/>
        <w:t>de prendre toutes les mesures qui s'imposent pour mettre en œuvre le nouveau projet réévalué, afin de répondre aux besoins des membres et du personnel de l'UIT, ainsi qu'il ressort de l'Annexe;</w:t>
      </w:r>
    </w:p>
    <w:p w14:paraId="1524F606" w14:textId="77777777" w:rsidR="00A75E84" w:rsidRPr="00622548" w:rsidRDefault="00A75E84" w:rsidP="00A75E84">
      <w:pPr>
        <w:rPr>
          <w:rFonts w:cstheme="minorHAnsi"/>
          <w:szCs w:val="24"/>
        </w:rPr>
      </w:pPr>
      <w:r w:rsidRPr="00622548">
        <w:t>2</w:t>
      </w:r>
      <w:r w:rsidRPr="00622548">
        <w:tab/>
        <w:t>d'assurer la liaison avec le pays hôte et de prendre les mesures nécessaires pour réaffecter le prêt de 150 millions CHF au nouveau projet réévalué;</w:t>
      </w:r>
    </w:p>
    <w:p w14:paraId="45FF0F1C" w14:textId="77777777" w:rsidR="00A75E84" w:rsidRPr="00622548" w:rsidRDefault="00A75E84" w:rsidP="00A75E84">
      <w:pPr>
        <w:rPr>
          <w:rFonts w:cstheme="minorHAnsi"/>
          <w:szCs w:val="24"/>
        </w:rPr>
      </w:pPr>
      <w:r w:rsidRPr="00622548">
        <w:t>3</w:t>
      </w:r>
      <w:r w:rsidRPr="00622548">
        <w:tab/>
        <w:t>de dialoguer avec les sponsors et les parties intéressées, en vue de maintenir les engagements de parrainage et autres accords tels qu'exposés dans la Résolution 212 (Rév. Bucarest, 2022) de la Conférence de plénipotentiaires, et de trouver des solutions mutuellement acceptables concernant les engagements qu'il ne serait peut-être pas possible de respecter dans le cadre du nouveau projet réévalué;</w:t>
      </w:r>
    </w:p>
    <w:p w14:paraId="64F37139" w14:textId="77777777" w:rsidR="00A75E84" w:rsidRPr="00622548" w:rsidRDefault="00A75E84" w:rsidP="00A75E84">
      <w:pPr>
        <w:rPr>
          <w:rFonts w:cstheme="minorHAnsi"/>
          <w:szCs w:val="24"/>
        </w:rPr>
      </w:pPr>
      <w:r w:rsidRPr="00622548">
        <w:t>4</w:t>
      </w:r>
      <w:r w:rsidRPr="00622548">
        <w:tab/>
        <w:t>de veiller à ce que la conception et la mise en œuvre du nouveau projet réévalué répondent aux besoins de l'Union, en concertation avec le Groupe MSAG et en fournissant à ce dernier les informations nécessaires pour:</w:t>
      </w:r>
    </w:p>
    <w:p w14:paraId="6A4B7F8E" w14:textId="1D4ED675" w:rsidR="00A75E84" w:rsidRPr="00622548" w:rsidRDefault="00A75E84" w:rsidP="00A75E84">
      <w:pPr>
        <w:pStyle w:val="enumlev2"/>
      </w:pPr>
      <w:r w:rsidRPr="00622548">
        <w:t>a</w:t>
      </w:r>
      <w:r w:rsidR="005E03A8">
        <w:t>.</w:t>
      </w:r>
      <w:r w:rsidRPr="00622548">
        <w:tab/>
        <w:t>formuler des avis d'ordre général et des recommandations sur la mise en œuvre du projet, dans le but de garantir le respect des délais et du budget (qui ne doit pas dépasser 172,69 millions CHF);</w:t>
      </w:r>
    </w:p>
    <w:p w14:paraId="6D696158" w14:textId="547790F9" w:rsidR="00A75E84" w:rsidRPr="00622548" w:rsidRDefault="00A75E84" w:rsidP="00A75E84">
      <w:pPr>
        <w:pStyle w:val="enumlev2"/>
      </w:pPr>
      <w:r w:rsidRPr="00622548">
        <w:t>b</w:t>
      </w:r>
      <w:r w:rsidR="005E03A8">
        <w:t>.</w:t>
      </w:r>
      <w:r w:rsidRPr="00622548">
        <w:tab/>
        <w:t>fournir des avis concernant tout changement de financement résultant d'économies ou tout changement éventuel concernant les parrainages ou les dons; et</w:t>
      </w:r>
    </w:p>
    <w:p w14:paraId="7EC86959" w14:textId="0A0185FD" w:rsidR="00A75E84" w:rsidRPr="00622548" w:rsidRDefault="00A75E84" w:rsidP="00A75E84">
      <w:pPr>
        <w:pStyle w:val="enumlev2"/>
      </w:pPr>
      <w:r w:rsidRPr="00622548">
        <w:t>c</w:t>
      </w:r>
      <w:r w:rsidRPr="00622548">
        <w:tab/>
        <w:t>fournir des orientations sur les échanges avec les sponsors et les parties intéressées;</w:t>
      </w:r>
    </w:p>
    <w:p w14:paraId="697E6940" w14:textId="77777777" w:rsidR="00A75E84" w:rsidRPr="00622548" w:rsidRDefault="00A75E84" w:rsidP="00A75E84">
      <w:pPr>
        <w:rPr>
          <w:rFonts w:cstheme="minorHAnsi"/>
          <w:szCs w:val="24"/>
        </w:rPr>
      </w:pPr>
      <w:r w:rsidRPr="00622548">
        <w:t>5</w:t>
      </w:r>
      <w:r w:rsidRPr="00622548">
        <w:tab/>
        <w:t>d'informer régulièrement le Groupe MSAG, le GTC-FHR et le Conseil de l'état d'avancement des activités décrites dans l'Annexe, dans le respect des règles en matière de passation des marchés;</w:t>
      </w:r>
    </w:p>
    <w:p w14:paraId="3198A813" w14:textId="77777777" w:rsidR="00A75E84" w:rsidRPr="00622548" w:rsidRDefault="00A75E84" w:rsidP="00A75E84">
      <w:pPr>
        <w:rPr>
          <w:rFonts w:cstheme="minorHAnsi"/>
          <w:szCs w:val="24"/>
        </w:rPr>
      </w:pPr>
      <w:r w:rsidRPr="00622548">
        <w:t>6</w:t>
      </w:r>
      <w:r w:rsidRPr="00622548">
        <w:tab/>
        <w:t>de poursuivre les consultations avec le Groupe MSAG pendant toute la durée du processus de conception et de construction, dans le respect des règles en matière de passation des marchés;</w:t>
      </w:r>
    </w:p>
    <w:p w14:paraId="4874A2FD" w14:textId="77777777" w:rsidR="00A75E84" w:rsidRPr="00622548" w:rsidRDefault="00A75E84" w:rsidP="00A75E84">
      <w:pPr>
        <w:rPr>
          <w:rFonts w:cstheme="minorHAnsi"/>
          <w:szCs w:val="24"/>
        </w:rPr>
      </w:pPr>
      <w:r w:rsidRPr="00622548">
        <w:t>7</w:t>
      </w:r>
      <w:r w:rsidRPr="00622548">
        <w:tab/>
        <w:t>d'élaborer un plan d'évaluation et un plan stratégique, en concertation avec les parties prenantes concernées, y compris le Conseil du personnel, et de soumettre un avant-projet au GTC-FHR à sa réunion de janvier 2025, concernant la vision à long terme de la totalité du complexe immobilier de l'UIT à Genève, compte tenu au moins des facteurs suivants:</w:t>
      </w:r>
    </w:p>
    <w:p w14:paraId="3D9DA5B1" w14:textId="0550D93E" w:rsidR="00A75E84" w:rsidRPr="00622548" w:rsidRDefault="00A75E84" w:rsidP="00A75E84">
      <w:pPr>
        <w:pStyle w:val="enumlev2"/>
      </w:pPr>
      <w:r w:rsidRPr="00622548">
        <w:t>a</w:t>
      </w:r>
      <w:r>
        <w:t>.</w:t>
      </w:r>
      <w:r w:rsidRPr="00622548">
        <w:tab/>
        <w:t>les incidences financières globales et la viabilité dudit complexe;</w:t>
      </w:r>
    </w:p>
    <w:p w14:paraId="63EA52B6" w14:textId="7A78CCA4" w:rsidR="00A75E84" w:rsidRPr="00622548" w:rsidRDefault="00A75E84" w:rsidP="00A75E84">
      <w:pPr>
        <w:pStyle w:val="enumlev2"/>
      </w:pPr>
      <w:r w:rsidRPr="00622548">
        <w:t>b</w:t>
      </w:r>
      <w:r>
        <w:t>.</w:t>
      </w:r>
      <w:r w:rsidRPr="00622548">
        <w:tab/>
        <w:t>les exigences de sûreté et de sécurité;</w:t>
      </w:r>
    </w:p>
    <w:p w14:paraId="2F740109" w14:textId="17147D9C" w:rsidR="00A75E84" w:rsidRPr="00622548" w:rsidRDefault="00A75E84" w:rsidP="00A75E84">
      <w:pPr>
        <w:pStyle w:val="enumlev2"/>
      </w:pPr>
      <w:r w:rsidRPr="00622548">
        <w:t>c</w:t>
      </w:r>
      <w:r>
        <w:t>.</w:t>
      </w:r>
      <w:r w:rsidRPr="00622548">
        <w:tab/>
        <w:t>les exigences opérationnelles et de gestion;</w:t>
      </w:r>
    </w:p>
    <w:p w14:paraId="105885D9" w14:textId="57286E15" w:rsidR="00A75E84" w:rsidRPr="00622548" w:rsidRDefault="00A75E84" w:rsidP="00A75E84">
      <w:pPr>
        <w:pStyle w:val="enumlev2"/>
      </w:pPr>
      <w:r w:rsidRPr="00622548">
        <w:t>d</w:t>
      </w:r>
      <w:r>
        <w:t>.</w:t>
      </w:r>
      <w:r w:rsidRPr="00622548">
        <w:tab/>
        <w:t>l'utilisation optimale de toutes les installations;</w:t>
      </w:r>
    </w:p>
    <w:p w14:paraId="2F138590" w14:textId="2E03FCFE" w:rsidR="00A75E84" w:rsidRPr="00622548" w:rsidRDefault="00A75E84" w:rsidP="00A75E84">
      <w:pPr>
        <w:pStyle w:val="enumlev2"/>
      </w:pPr>
      <w:r w:rsidRPr="00622548">
        <w:t>e</w:t>
      </w:r>
      <w:r>
        <w:t>.</w:t>
      </w:r>
      <w:r w:rsidRPr="00622548">
        <w:tab/>
        <w:t>la garantie de continuité des activités;</w:t>
      </w:r>
    </w:p>
    <w:p w14:paraId="1AF7B3D7" w14:textId="21D22433" w:rsidR="00A75E84" w:rsidRPr="00622548" w:rsidRDefault="00A75E84" w:rsidP="00A75E84">
      <w:pPr>
        <w:pStyle w:val="enumlev2"/>
      </w:pPr>
      <w:r w:rsidRPr="00622548">
        <w:t>f</w:t>
      </w:r>
      <w:r>
        <w:t>.</w:t>
      </w:r>
      <w:r w:rsidRPr="00622548">
        <w:tab/>
        <w:t>la prise en compte de l'affectation du budget ordinaire à l'entretien de la totalité du complexe immobilier;</w:t>
      </w:r>
    </w:p>
    <w:p w14:paraId="2BBB005F" w14:textId="08DBE875" w:rsidR="00A75E84" w:rsidRPr="00622548" w:rsidRDefault="00A75E84" w:rsidP="00A75E84">
      <w:pPr>
        <w:pStyle w:val="enumlev2"/>
      </w:pPr>
      <w:r w:rsidRPr="00622548">
        <w:lastRenderedPageBreak/>
        <w:t>g</w:t>
      </w:r>
      <w:r>
        <w:t>.</w:t>
      </w:r>
      <w:r w:rsidRPr="00622548">
        <w:tab/>
        <w:t>la flexibilité de travail du personnel (c'est-à-dire, les modalités de travail hybrides);</w:t>
      </w:r>
    </w:p>
    <w:p w14:paraId="4009F801" w14:textId="57A7B3F3" w:rsidR="00A75E84" w:rsidRPr="00622548" w:rsidRDefault="00A75E84" w:rsidP="00A75E84">
      <w:pPr>
        <w:pStyle w:val="enumlev2"/>
      </w:pPr>
      <w:r w:rsidRPr="00622548">
        <w:t>h</w:t>
      </w:r>
      <w:r>
        <w:t>.</w:t>
      </w:r>
      <w:r w:rsidRPr="00622548">
        <w:tab/>
        <w:t>la possibilité de trouver d'autres lieux pour les réunions de l'UIT en dehors du complexe immobilier; et</w:t>
      </w:r>
    </w:p>
    <w:p w14:paraId="597C20BE" w14:textId="7EE6A145" w:rsidR="00A75E84" w:rsidRPr="00622548" w:rsidRDefault="00A75E84" w:rsidP="00A75E84">
      <w:pPr>
        <w:pStyle w:val="enumlev2"/>
      </w:pPr>
      <w:r w:rsidRPr="00622548">
        <w:t>i</w:t>
      </w:r>
      <w:r>
        <w:t>.</w:t>
      </w:r>
      <w:r w:rsidRPr="00622548">
        <w:tab/>
        <w:t>la collaboration avec le Groupe de travail sur le plan stratégique et le plan financier, le cas échéant;</w:t>
      </w:r>
    </w:p>
    <w:p w14:paraId="0A0105D3" w14:textId="77777777" w:rsidR="00A75E84" w:rsidRPr="00622548" w:rsidRDefault="00A75E84" w:rsidP="00A75E84">
      <w:pPr>
        <w:rPr>
          <w:rFonts w:cstheme="minorHAnsi"/>
          <w:szCs w:val="24"/>
        </w:rPr>
      </w:pPr>
      <w:r w:rsidRPr="00622548">
        <w:t>8</w:t>
      </w:r>
      <w:r w:rsidRPr="00622548">
        <w:tab/>
        <w:t xml:space="preserve">de soumettre tous les rapports sur la mise en œuvre du point 7 du </w:t>
      </w:r>
      <w:r w:rsidRPr="00622548">
        <w:rPr>
          <w:i/>
          <w:iCs/>
        </w:rPr>
        <w:t>charge la Secrétaire générale</w:t>
      </w:r>
      <w:r w:rsidRPr="00622548">
        <w:t xml:space="preserve"> au Conseil de l'UIT pour examen,</w:t>
      </w:r>
    </w:p>
    <w:p w14:paraId="6449193C" w14:textId="77777777" w:rsidR="00A75E84" w:rsidRPr="00622548" w:rsidRDefault="00A75E84" w:rsidP="00A75E84">
      <w:pPr>
        <w:pStyle w:val="Call"/>
      </w:pPr>
      <w:r w:rsidRPr="00622548">
        <w:rPr>
          <w:iCs/>
        </w:rPr>
        <w:t>charge en outre la Secrétaire générale</w:t>
      </w:r>
    </w:p>
    <w:p w14:paraId="635A0BBB" w14:textId="77777777" w:rsidR="00A75E84" w:rsidRPr="00622548" w:rsidRDefault="00A75E84" w:rsidP="00A75E84">
      <w:pPr>
        <w:rPr>
          <w:rFonts w:cstheme="minorHAnsi"/>
          <w:szCs w:val="24"/>
        </w:rPr>
      </w:pPr>
      <w:r w:rsidRPr="00622548">
        <w:t>de procéder à une consultation de tous les États Membres au sujet de la présente Décision, conformément au numéro 79 de la Convention,</w:t>
      </w:r>
    </w:p>
    <w:p w14:paraId="1080E538" w14:textId="77777777" w:rsidR="00A75E84" w:rsidRPr="00622548" w:rsidRDefault="00A75E84" w:rsidP="00A75E84">
      <w:pPr>
        <w:pStyle w:val="Call"/>
      </w:pPr>
      <w:r w:rsidRPr="00622548">
        <w:rPr>
          <w:iCs/>
        </w:rPr>
        <w:t>charge le Groupe consultatif d'États Membres</w:t>
      </w:r>
    </w:p>
    <w:p w14:paraId="3BE6587B" w14:textId="77777777" w:rsidR="00A75E84" w:rsidRPr="00622548" w:rsidRDefault="00A75E84" w:rsidP="00A75E84">
      <w:pPr>
        <w:rPr>
          <w:rFonts w:cstheme="minorHAnsi"/>
          <w:szCs w:val="24"/>
        </w:rPr>
      </w:pPr>
      <w:r w:rsidRPr="00622548">
        <w:t>d'assurer la conformité de son mandat avec la présente Décision et de fournir régulièrement des informations actualisées et des rapports au GTC-FHR.</w:t>
      </w:r>
      <w:bookmarkStart w:id="2" w:name="OpenAt"/>
      <w:bookmarkEnd w:id="2"/>
    </w:p>
    <w:p w14:paraId="0EDD36EF" w14:textId="62B895EC" w:rsidR="00A75E84" w:rsidRPr="00622548" w:rsidRDefault="00A75E84" w:rsidP="004B5048">
      <w:pPr>
        <w:pStyle w:val="Normalaftertitle"/>
        <w:spacing w:before="840"/>
      </w:pPr>
      <w:r w:rsidRPr="004B5048">
        <w:rPr>
          <w:b/>
          <w:bCs/>
        </w:rPr>
        <w:t>Annexe</w:t>
      </w:r>
      <w:r w:rsidRPr="00622548">
        <w:t>:</w:t>
      </w:r>
      <w:r w:rsidR="004B5048">
        <w:t xml:space="preserve"> </w:t>
      </w:r>
      <w:r w:rsidRPr="00622548">
        <w:t>1</w:t>
      </w:r>
    </w:p>
    <w:p w14:paraId="579136E7" w14:textId="77777777" w:rsidR="00A75E84" w:rsidRPr="00622548" w:rsidRDefault="00A75E84" w:rsidP="00A75E84">
      <w:pPr>
        <w:tabs>
          <w:tab w:val="clear" w:pos="567"/>
          <w:tab w:val="clear" w:pos="1134"/>
          <w:tab w:val="clear" w:pos="1701"/>
          <w:tab w:val="clear" w:pos="2268"/>
          <w:tab w:val="clear" w:pos="2835"/>
        </w:tabs>
        <w:overflowPunct/>
        <w:autoSpaceDE/>
        <w:autoSpaceDN/>
        <w:adjustRightInd/>
        <w:spacing w:before="0"/>
        <w:textAlignment w:val="auto"/>
      </w:pPr>
      <w:r w:rsidRPr="00622548">
        <w:br w:type="page"/>
      </w:r>
    </w:p>
    <w:p w14:paraId="78F43214" w14:textId="77777777" w:rsidR="00A75E84" w:rsidRPr="00622548" w:rsidRDefault="00A75E84" w:rsidP="00A75E84">
      <w:pPr>
        <w:pStyle w:val="AnnexNo"/>
        <w:spacing w:after="240"/>
      </w:pPr>
      <w:r w:rsidRPr="00622548">
        <w:lastRenderedPageBreak/>
        <w:t>ANNEXE</w:t>
      </w:r>
    </w:p>
    <w:tbl>
      <w:tblPr>
        <w:tblStyle w:val="TableGrid"/>
        <w:tblW w:w="8364" w:type="dxa"/>
        <w:jc w:val="center"/>
        <w:tblLayout w:type="fixed"/>
        <w:tblLook w:val="04A0" w:firstRow="1" w:lastRow="0" w:firstColumn="1" w:lastColumn="0" w:noHBand="0" w:noVBand="1"/>
      </w:tblPr>
      <w:tblGrid>
        <w:gridCol w:w="2689"/>
        <w:gridCol w:w="5675"/>
      </w:tblGrid>
      <w:tr w:rsidR="00A75E84" w:rsidRPr="00622548" w14:paraId="5B4036DD" w14:textId="77777777" w:rsidTr="006D7157">
        <w:trPr>
          <w:trHeight w:val="381"/>
          <w:jc w:val="center"/>
        </w:trPr>
        <w:tc>
          <w:tcPr>
            <w:tcW w:w="8364" w:type="dxa"/>
            <w:gridSpan w:val="2"/>
            <w:tcBorders>
              <w:top w:val="single" w:sz="4" w:space="0" w:color="auto"/>
              <w:left w:val="single" w:sz="4" w:space="0" w:color="auto"/>
              <w:bottom w:val="single" w:sz="4" w:space="0" w:color="auto"/>
              <w:right w:val="single" w:sz="4" w:space="0" w:color="auto"/>
            </w:tcBorders>
            <w:hideMark/>
          </w:tcPr>
          <w:p w14:paraId="4B321443" w14:textId="77777777" w:rsidR="00A75E84" w:rsidRPr="00622548" w:rsidRDefault="00A75E84" w:rsidP="006D7157">
            <w:pPr>
              <w:pStyle w:val="Tablehead"/>
              <w:rPr>
                <w:rFonts w:eastAsia="Calibri" w:cstheme="minorHAnsi"/>
                <w:kern w:val="24"/>
              </w:rPr>
            </w:pPr>
            <w:r w:rsidRPr="00622548">
              <w:t>Portée du nouveau projet réévalué</w:t>
            </w:r>
          </w:p>
        </w:tc>
      </w:tr>
      <w:tr w:rsidR="00A75E84" w:rsidRPr="00622548" w14:paraId="6FC48293" w14:textId="77777777" w:rsidTr="006D7157">
        <w:trPr>
          <w:trHeight w:val="815"/>
          <w:jc w:val="center"/>
        </w:trPr>
        <w:tc>
          <w:tcPr>
            <w:tcW w:w="2689" w:type="dxa"/>
            <w:tcBorders>
              <w:top w:val="single" w:sz="4" w:space="0" w:color="auto"/>
              <w:left w:val="single" w:sz="4" w:space="0" w:color="auto"/>
              <w:bottom w:val="single" w:sz="4" w:space="0" w:color="auto"/>
              <w:right w:val="single" w:sz="4" w:space="0" w:color="auto"/>
            </w:tcBorders>
            <w:hideMark/>
          </w:tcPr>
          <w:p w14:paraId="4985A509" w14:textId="77777777" w:rsidR="00A75E84" w:rsidRPr="00622548" w:rsidRDefault="00A75E84" w:rsidP="006D7157">
            <w:pPr>
              <w:pStyle w:val="Tabletext"/>
              <w:rPr>
                <w:rFonts w:cstheme="minorHAnsi"/>
                <w:b/>
                <w:bCs/>
              </w:rPr>
            </w:pPr>
            <w:r w:rsidRPr="00622548">
              <w:rPr>
                <w:b/>
                <w:bCs/>
              </w:rPr>
              <w:t>Installations de conférence</w:t>
            </w:r>
          </w:p>
        </w:tc>
        <w:tc>
          <w:tcPr>
            <w:tcW w:w="5675" w:type="dxa"/>
            <w:tcBorders>
              <w:top w:val="single" w:sz="4" w:space="0" w:color="auto"/>
              <w:left w:val="single" w:sz="4" w:space="0" w:color="auto"/>
              <w:bottom w:val="single" w:sz="4" w:space="0" w:color="auto"/>
              <w:right w:val="single" w:sz="4" w:space="0" w:color="auto"/>
            </w:tcBorders>
            <w:hideMark/>
          </w:tcPr>
          <w:p w14:paraId="27192190" w14:textId="77777777" w:rsidR="00A75E84" w:rsidRPr="00622548" w:rsidRDefault="00A75E84" w:rsidP="006D7157">
            <w:pPr>
              <w:pStyle w:val="Tabletext"/>
              <w:ind w:right="-103"/>
            </w:pPr>
            <w:r w:rsidRPr="00622548">
              <w:rPr>
                <w:b/>
                <w:bCs/>
              </w:rPr>
              <w:t>Grande salle de conférence (parrainée par l'Arabie saoudite)</w:t>
            </w:r>
            <w:r w:rsidRPr="00622548">
              <w:rPr>
                <w:b/>
                <w:bCs/>
              </w:rPr>
              <w:br/>
            </w:r>
            <w:r w:rsidRPr="00622548">
              <w:t>Environ 500 places</w:t>
            </w:r>
          </w:p>
          <w:p w14:paraId="0A295C3F" w14:textId="77777777" w:rsidR="00A75E84" w:rsidRPr="00622548" w:rsidRDefault="00A75E84" w:rsidP="006D7157">
            <w:pPr>
              <w:pStyle w:val="Tabletext"/>
            </w:pPr>
            <w:r w:rsidRPr="00622548">
              <w:rPr>
                <w:b/>
                <w:bCs/>
              </w:rPr>
              <w:t>Hall de conférence</w:t>
            </w:r>
            <w:r w:rsidRPr="00622548">
              <w:br/>
              <w:t>Taille proportionnelle</w:t>
            </w:r>
          </w:p>
        </w:tc>
      </w:tr>
      <w:tr w:rsidR="00A75E84" w:rsidRPr="00622548" w14:paraId="00F59DAA" w14:textId="77777777" w:rsidTr="006D7157">
        <w:trPr>
          <w:trHeight w:val="745"/>
          <w:jc w:val="center"/>
        </w:trPr>
        <w:tc>
          <w:tcPr>
            <w:tcW w:w="2689" w:type="dxa"/>
            <w:tcBorders>
              <w:top w:val="single" w:sz="4" w:space="0" w:color="auto"/>
              <w:left w:val="single" w:sz="4" w:space="0" w:color="auto"/>
              <w:bottom w:val="single" w:sz="4" w:space="0" w:color="auto"/>
              <w:right w:val="single" w:sz="4" w:space="0" w:color="auto"/>
            </w:tcBorders>
            <w:hideMark/>
          </w:tcPr>
          <w:p w14:paraId="60D22940" w14:textId="77777777" w:rsidR="00A75E84" w:rsidRPr="00622548" w:rsidRDefault="00A75E84" w:rsidP="006D7157">
            <w:pPr>
              <w:pStyle w:val="Tabletext"/>
              <w:rPr>
                <w:rFonts w:cstheme="minorHAnsi"/>
                <w:b/>
                <w:bCs/>
              </w:rPr>
            </w:pPr>
            <w:r w:rsidRPr="00622548">
              <w:rPr>
                <w:b/>
                <w:bCs/>
              </w:rPr>
              <w:t>Restauration</w:t>
            </w:r>
          </w:p>
        </w:tc>
        <w:tc>
          <w:tcPr>
            <w:tcW w:w="5675" w:type="dxa"/>
            <w:tcBorders>
              <w:top w:val="single" w:sz="4" w:space="0" w:color="auto"/>
              <w:left w:val="single" w:sz="4" w:space="0" w:color="auto"/>
              <w:bottom w:val="single" w:sz="4" w:space="0" w:color="auto"/>
              <w:right w:val="single" w:sz="4" w:space="0" w:color="auto"/>
            </w:tcBorders>
            <w:hideMark/>
          </w:tcPr>
          <w:p w14:paraId="79857328" w14:textId="77777777" w:rsidR="00A75E84" w:rsidRPr="00622548" w:rsidRDefault="00A75E84" w:rsidP="006D7157">
            <w:pPr>
              <w:pStyle w:val="Tabletext"/>
            </w:pPr>
            <w:r w:rsidRPr="00622548">
              <w:rPr>
                <w:b/>
                <w:bCs/>
              </w:rPr>
              <w:t>Cafétéria</w:t>
            </w:r>
            <w:r w:rsidRPr="00622548">
              <w:rPr>
                <w:b/>
                <w:bCs/>
              </w:rPr>
              <w:br/>
            </w:r>
            <w:r w:rsidRPr="00622548">
              <w:t>Réfectoire d'environ 150 places</w:t>
            </w:r>
          </w:p>
          <w:p w14:paraId="0F9FCFDA" w14:textId="77777777" w:rsidR="00A75E84" w:rsidRPr="00622548" w:rsidRDefault="00A75E84" w:rsidP="006D7157">
            <w:pPr>
              <w:pStyle w:val="Tabletext"/>
            </w:pPr>
            <w:r w:rsidRPr="00622548">
              <w:rPr>
                <w:b/>
                <w:bCs/>
              </w:rPr>
              <w:t>Salon des délégués</w:t>
            </w:r>
            <w:r w:rsidRPr="00622548">
              <w:br/>
              <w:t>Environ 120 places</w:t>
            </w:r>
          </w:p>
        </w:tc>
      </w:tr>
      <w:tr w:rsidR="00A75E84" w:rsidRPr="00622548" w14:paraId="653D9FDD" w14:textId="77777777" w:rsidTr="006D7157">
        <w:trPr>
          <w:trHeight w:val="186"/>
          <w:jc w:val="center"/>
        </w:trPr>
        <w:tc>
          <w:tcPr>
            <w:tcW w:w="2689" w:type="dxa"/>
            <w:tcBorders>
              <w:top w:val="single" w:sz="4" w:space="0" w:color="auto"/>
              <w:left w:val="single" w:sz="4" w:space="0" w:color="auto"/>
              <w:bottom w:val="single" w:sz="4" w:space="0" w:color="auto"/>
              <w:right w:val="single" w:sz="4" w:space="0" w:color="auto"/>
            </w:tcBorders>
            <w:hideMark/>
          </w:tcPr>
          <w:p w14:paraId="69AE3076" w14:textId="77777777" w:rsidR="00A75E84" w:rsidRPr="00622548" w:rsidRDefault="00A75E84" w:rsidP="006D7157">
            <w:pPr>
              <w:pStyle w:val="Tabletext"/>
              <w:rPr>
                <w:rFonts w:cstheme="minorHAnsi"/>
                <w:b/>
                <w:bCs/>
              </w:rPr>
            </w:pPr>
            <w:r w:rsidRPr="00622548">
              <w:rPr>
                <w:b/>
                <w:bCs/>
              </w:rPr>
              <w:t>Salles de réunion</w:t>
            </w:r>
          </w:p>
        </w:tc>
        <w:tc>
          <w:tcPr>
            <w:tcW w:w="5675" w:type="dxa"/>
            <w:tcBorders>
              <w:top w:val="single" w:sz="4" w:space="0" w:color="auto"/>
              <w:left w:val="single" w:sz="4" w:space="0" w:color="auto"/>
              <w:bottom w:val="single" w:sz="4" w:space="0" w:color="auto"/>
              <w:right w:val="single" w:sz="4" w:space="0" w:color="auto"/>
            </w:tcBorders>
            <w:hideMark/>
          </w:tcPr>
          <w:p w14:paraId="5A86176D" w14:textId="77777777" w:rsidR="00A75E84" w:rsidRPr="00622548" w:rsidRDefault="00A75E84" w:rsidP="006D7157">
            <w:pPr>
              <w:pStyle w:val="Tabletext"/>
              <w:rPr>
                <w:rFonts w:cstheme="minorHAnsi"/>
              </w:rPr>
            </w:pPr>
            <w:r w:rsidRPr="00622548">
              <w:t>Environ 23 salles</w:t>
            </w:r>
          </w:p>
        </w:tc>
      </w:tr>
      <w:tr w:rsidR="00A75E84" w:rsidRPr="00622548" w14:paraId="6E1A09C7" w14:textId="77777777" w:rsidTr="006D7157">
        <w:trPr>
          <w:trHeight w:val="47"/>
          <w:jc w:val="center"/>
        </w:trPr>
        <w:tc>
          <w:tcPr>
            <w:tcW w:w="2689" w:type="dxa"/>
            <w:tcBorders>
              <w:top w:val="single" w:sz="4" w:space="0" w:color="auto"/>
              <w:left w:val="single" w:sz="4" w:space="0" w:color="auto"/>
              <w:bottom w:val="single" w:sz="4" w:space="0" w:color="auto"/>
              <w:right w:val="single" w:sz="4" w:space="0" w:color="auto"/>
            </w:tcBorders>
            <w:hideMark/>
          </w:tcPr>
          <w:p w14:paraId="082AD760" w14:textId="77777777" w:rsidR="00A75E84" w:rsidRPr="00622548" w:rsidRDefault="00A75E84" w:rsidP="006D7157">
            <w:pPr>
              <w:pStyle w:val="Tabletext"/>
              <w:rPr>
                <w:rFonts w:cstheme="minorHAnsi"/>
                <w:b/>
                <w:bCs/>
              </w:rPr>
            </w:pPr>
            <w:r w:rsidRPr="00622548">
              <w:rPr>
                <w:b/>
                <w:bCs/>
              </w:rPr>
              <w:t>Espaces de bureau</w:t>
            </w:r>
          </w:p>
        </w:tc>
        <w:tc>
          <w:tcPr>
            <w:tcW w:w="5675" w:type="dxa"/>
            <w:tcBorders>
              <w:top w:val="single" w:sz="4" w:space="0" w:color="auto"/>
              <w:left w:val="single" w:sz="4" w:space="0" w:color="auto"/>
              <w:bottom w:val="single" w:sz="4" w:space="0" w:color="auto"/>
              <w:right w:val="single" w:sz="4" w:space="0" w:color="auto"/>
            </w:tcBorders>
            <w:hideMark/>
          </w:tcPr>
          <w:p w14:paraId="6E953B8A" w14:textId="77777777" w:rsidR="00A75E84" w:rsidRPr="00622548" w:rsidRDefault="00A75E84" w:rsidP="006D7157">
            <w:pPr>
              <w:pStyle w:val="Tabletext"/>
              <w:rPr>
                <w:rFonts w:cstheme="minorHAnsi"/>
              </w:rPr>
            </w:pPr>
            <w:r w:rsidRPr="00622548">
              <w:t>Environ 200 places</w:t>
            </w:r>
          </w:p>
        </w:tc>
      </w:tr>
      <w:tr w:rsidR="00A75E84" w:rsidRPr="00622548" w14:paraId="193EED16" w14:textId="77777777" w:rsidTr="006D7157">
        <w:trPr>
          <w:trHeight w:val="47"/>
          <w:jc w:val="center"/>
        </w:trPr>
        <w:tc>
          <w:tcPr>
            <w:tcW w:w="2689" w:type="dxa"/>
            <w:tcBorders>
              <w:top w:val="single" w:sz="4" w:space="0" w:color="auto"/>
              <w:left w:val="single" w:sz="4" w:space="0" w:color="auto"/>
              <w:bottom w:val="single" w:sz="4" w:space="0" w:color="auto"/>
              <w:right w:val="single" w:sz="4" w:space="0" w:color="auto"/>
            </w:tcBorders>
            <w:hideMark/>
          </w:tcPr>
          <w:p w14:paraId="77F5FFD1" w14:textId="77777777" w:rsidR="00A75E84" w:rsidRPr="00622548" w:rsidRDefault="00A75E84" w:rsidP="006D7157">
            <w:pPr>
              <w:pStyle w:val="Tabletext"/>
              <w:rPr>
                <w:rFonts w:cstheme="minorHAnsi"/>
                <w:b/>
                <w:bCs/>
              </w:rPr>
            </w:pPr>
            <w:r w:rsidRPr="00622548">
              <w:rPr>
                <w:b/>
                <w:bCs/>
              </w:rPr>
              <w:t>Services essentiels</w:t>
            </w:r>
          </w:p>
        </w:tc>
        <w:tc>
          <w:tcPr>
            <w:tcW w:w="5675" w:type="dxa"/>
            <w:tcBorders>
              <w:top w:val="single" w:sz="4" w:space="0" w:color="auto"/>
              <w:left w:val="single" w:sz="4" w:space="0" w:color="auto"/>
              <w:bottom w:val="single" w:sz="4" w:space="0" w:color="auto"/>
              <w:right w:val="single" w:sz="4" w:space="0" w:color="auto"/>
            </w:tcBorders>
            <w:hideMark/>
          </w:tcPr>
          <w:p w14:paraId="3363DDC0" w14:textId="77777777" w:rsidR="00A75E84" w:rsidRPr="00622548" w:rsidRDefault="00A75E84" w:rsidP="006D7157">
            <w:pPr>
              <w:pStyle w:val="Tabletext"/>
              <w:rPr>
                <w:rFonts w:cstheme="minorHAnsi"/>
              </w:rPr>
            </w:pPr>
            <w:r w:rsidRPr="00622548">
              <w:t>Aptes à garantir le bon fonctionnement des installations</w:t>
            </w:r>
          </w:p>
        </w:tc>
      </w:tr>
      <w:tr w:rsidR="00A75E84" w:rsidRPr="00622548" w14:paraId="08758AB8" w14:textId="77777777" w:rsidTr="006D7157">
        <w:trPr>
          <w:trHeight w:val="47"/>
          <w:jc w:val="center"/>
        </w:trPr>
        <w:tc>
          <w:tcPr>
            <w:tcW w:w="2689" w:type="dxa"/>
            <w:tcBorders>
              <w:top w:val="single" w:sz="4" w:space="0" w:color="auto"/>
              <w:left w:val="single" w:sz="4" w:space="0" w:color="auto"/>
              <w:bottom w:val="single" w:sz="4" w:space="0" w:color="auto"/>
              <w:right w:val="single" w:sz="4" w:space="0" w:color="auto"/>
            </w:tcBorders>
            <w:hideMark/>
          </w:tcPr>
          <w:p w14:paraId="1E1A32C5" w14:textId="77777777" w:rsidR="00A75E84" w:rsidRPr="00622548" w:rsidRDefault="00A75E84" w:rsidP="006D7157">
            <w:pPr>
              <w:pStyle w:val="Tabletext"/>
              <w:rPr>
                <w:rFonts w:cstheme="minorHAnsi"/>
                <w:b/>
                <w:bCs/>
              </w:rPr>
            </w:pPr>
            <w:r w:rsidRPr="00622548">
              <w:rPr>
                <w:b/>
                <w:bCs/>
              </w:rPr>
              <w:t>Taille prévue du bâtiment</w:t>
            </w:r>
          </w:p>
        </w:tc>
        <w:tc>
          <w:tcPr>
            <w:tcW w:w="5675" w:type="dxa"/>
            <w:tcBorders>
              <w:top w:val="single" w:sz="4" w:space="0" w:color="auto"/>
              <w:left w:val="single" w:sz="4" w:space="0" w:color="auto"/>
              <w:bottom w:val="single" w:sz="4" w:space="0" w:color="auto"/>
              <w:right w:val="single" w:sz="4" w:space="0" w:color="auto"/>
            </w:tcBorders>
            <w:hideMark/>
          </w:tcPr>
          <w:p w14:paraId="6E1A77DF" w14:textId="77777777" w:rsidR="00A75E84" w:rsidRPr="00622548" w:rsidRDefault="00A75E84" w:rsidP="006D7157">
            <w:pPr>
              <w:pStyle w:val="Tabletext"/>
              <w:rPr>
                <w:rFonts w:cstheme="minorHAnsi"/>
              </w:rPr>
            </w:pPr>
            <w:r w:rsidRPr="00622548">
              <w:t>Environ 15 000 m² (similaire au bâtiment qu'il remplacera)</w:t>
            </w:r>
          </w:p>
        </w:tc>
      </w:tr>
    </w:tbl>
    <w:p w14:paraId="20576D1E" w14:textId="77777777" w:rsidR="00A75E84" w:rsidRPr="00622548" w:rsidRDefault="00A75E84" w:rsidP="00A75E84">
      <w:pPr>
        <w:spacing w:before="720"/>
        <w:rPr>
          <w:rFonts w:asciiTheme="minorHAnsi" w:hAnsiTheme="minorHAnsi" w:cstheme="minorHAnsi"/>
          <w:szCs w:val="24"/>
        </w:rPr>
      </w:pPr>
    </w:p>
    <w:tbl>
      <w:tblPr>
        <w:tblStyle w:val="TableGrid"/>
        <w:tblW w:w="8364" w:type="dxa"/>
        <w:jc w:val="center"/>
        <w:tblLayout w:type="fixed"/>
        <w:tblLook w:val="0420" w:firstRow="1" w:lastRow="0" w:firstColumn="0" w:lastColumn="0" w:noHBand="0" w:noVBand="1"/>
      </w:tblPr>
      <w:tblGrid>
        <w:gridCol w:w="4531"/>
        <w:gridCol w:w="3833"/>
      </w:tblGrid>
      <w:tr w:rsidR="00A75E84" w:rsidRPr="00622548" w14:paraId="43427842" w14:textId="77777777" w:rsidTr="006D7157">
        <w:trPr>
          <w:trHeight w:val="47"/>
          <w:jc w:val="center"/>
        </w:trPr>
        <w:tc>
          <w:tcPr>
            <w:tcW w:w="8364" w:type="dxa"/>
            <w:gridSpan w:val="2"/>
            <w:tcBorders>
              <w:top w:val="single" w:sz="4" w:space="0" w:color="auto"/>
              <w:left w:val="single" w:sz="4" w:space="0" w:color="auto"/>
              <w:bottom w:val="single" w:sz="4" w:space="0" w:color="auto"/>
              <w:right w:val="single" w:sz="4" w:space="0" w:color="auto"/>
            </w:tcBorders>
            <w:hideMark/>
          </w:tcPr>
          <w:p w14:paraId="5501DB2F" w14:textId="77777777" w:rsidR="00A75E84" w:rsidRPr="00622548" w:rsidRDefault="00A75E84" w:rsidP="006D7157">
            <w:pPr>
              <w:pStyle w:val="Tablehead"/>
              <w:rPr>
                <w:rFonts w:cstheme="minorHAnsi"/>
              </w:rPr>
            </w:pPr>
            <w:r w:rsidRPr="00622548">
              <w:t>Étapes relatives au nouveau projet réévalué à respecter par le Secrétariat</w:t>
            </w:r>
          </w:p>
        </w:tc>
      </w:tr>
      <w:tr w:rsidR="00A75E84" w:rsidRPr="00622548" w14:paraId="52307AEE" w14:textId="77777777" w:rsidTr="006D7157">
        <w:trPr>
          <w:trHeight w:val="55"/>
          <w:jc w:val="center"/>
        </w:trPr>
        <w:tc>
          <w:tcPr>
            <w:tcW w:w="4531" w:type="dxa"/>
            <w:tcBorders>
              <w:top w:val="single" w:sz="4" w:space="0" w:color="auto"/>
              <w:left w:val="single" w:sz="4" w:space="0" w:color="auto"/>
              <w:bottom w:val="single" w:sz="4" w:space="0" w:color="auto"/>
              <w:right w:val="single" w:sz="4" w:space="0" w:color="auto"/>
            </w:tcBorders>
          </w:tcPr>
          <w:p w14:paraId="680C622D" w14:textId="77777777" w:rsidR="00A75E84" w:rsidRPr="00622548" w:rsidRDefault="00A75E84" w:rsidP="006D7157">
            <w:pPr>
              <w:pStyle w:val="Tabletext"/>
              <w:rPr>
                <w:rFonts w:cstheme="minorHAnsi"/>
                <w:b/>
                <w:bCs/>
              </w:rPr>
            </w:pPr>
            <w:r w:rsidRPr="00622548">
              <w:rPr>
                <w:b/>
                <w:bCs/>
              </w:rPr>
              <w:t>Processus de consultation concernant la présente Décision</w:t>
            </w:r>
          </w:p>
        </w:tc>
        <w:tc>
          <w:tcPr>
            <w:tcW w:w="3833" w:type="dxa"/>
            <w:tcBorders>
              <w:top w:val="single" w:sz="4" w:space="0" w:color="auto"/>
              <w:left w:val="single" w:sz="4" w:space="0" w:color="auto"/>
              <w:bottom w:val="single" w:sz="4" w:space="0" w:color="auto"/>
              <w:right w:val="single" w:sz="4" w:space="0" w:color="auto"/>
            </w:tcBorders>
          </w:tcPr>
          <w:p w14:paraId="3E1F4F42" w14:textId="77777777" w:rsidR="00A75E84" w:rsidRPr="00622548" w:rsidRDefault="00A75E84" w:rsidP="006D7157">
            <w:pPr>
              <w:pStyle w:val="Tabletext"/>
              <w:jc w:val="center"/>
              <w:rPr>
                <w:rFonts w:cstheme="minorHAnsi"/>
              </w:rPr>
            </w:pPr>
            <w:r w:rsidRPr="00622548">
              <w:t>T3-2024</w:t>
            </w:r>
          </w:p>
        </w:tc>
      </w:tr>
      <w:tr w:rsidR="00A75E84" w:rsidRPr="00622548" w14:paraId="4EC4030E" w14:textId="77777777" w:rsidTr="006D7157">
        <w:trPr>
          <w:trHeight w:val="55"/>
          <w:jc w:val="center"/>
        </w:trPr>
        <w:tc>
          <w:tcPr>
            <w:tcW w:w="4531" w:type="dxa"/>
            <w:tcBorders>
              <w:top w:val="single" w:sz="4" w:space="0" w:color="auto"/>
              <w:left w:val="single" w:sz="4" w:space="0" w:color="auto"/>
              <w:bottom w:val="single" w:sz="4" w:space="0" w:color="auto"/>
              <w:right w:val="single" w:sz="4" w:space="0" w:color="auto"/>
            </w:tcBorders>
            <w:hideMark/>
          </w:tcPr>
          <w:p w14:paraId="28E8E224" w14:textId="77777777" w:rsidR="00A75E84" w:rsidRPr="00622548" w:rsidRDefault="00A75E84" w:rsidP="006D7157">
            <w:pPr>
              <w:pStyle w:val="Tabletext"/>
              <w:rPr>
                <w:rFonts w:cstheme="minorHAnsi"/>
                <w:b/>
                <w:bCs/>
              </w:rPr>
            </w:pPr>
            <w:r w:rsidRPr="00622548">
              <w:rPr>
                <w:b/>
                <w:bCs/>
              </w:rPr>
              <w:t>Planification</w:t>
            </w:r>
          </w:p>
        </w:tc>
        <w:tc>
          <w:tcPr>
            <w:tcW w:w="3833" w:type="dxa"/>
            <w:tcBorders>
              <w:top w:val="single" w:sz="4" w:space="0" w:color="auto"/>
              <w:left w:val="single" w:sz="4" w:space="0" w:color="auto"/>
              <w:bottom w:val="single" w:sz="4" w:space="0" w:color="auto"/>
              <w:right w:val="single" w:sz="4" w:space="0" w:color="auto"/>
            </w:tcBorders>
            <w:hideMark/>
          </w:tcPr>
          <w:p w14:paraId="09384537" w14:textId="77777777" w:rsidR="00A75E84" w:rsidRPr="00622548" w:rsidRDefault="00A75E84" w:rsidP="006D7157">
            <w:pPr>
              <w:pStyle w:val="Tabletext"/>
              <w:jc w:val="center"/>
              <w:rPr>
                <w:rFonts w:cstheme="minorHAnsi"/>
              </w:rPr>
            </w:pPr>
            <w:r w:rsidRPr="00622548">
              <w:t>2024-2025</w:t>
            </w:r>
          </w:p>
        </w:tc>
      </w:tr>
      <w:tr w:rsidR="00A75E84" w:rsidRPr="00622548" w14:paraId="1EBE3183" w14:textId="77777777" w:rsidTr="006D715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50B61324" w14:textId="77777777" w:rsidR="00A75E84" w:rsidRPr="00622548" w:rsidRDefault="00A75E84" w:rsidP="006D7157">
            <w:pPr>
              <w:pStyle w:val="Tabletext"/>
              <w:ind w:left="600"/>
              <w:rPr>
                <w:rFonts w:cstheme="minorHAnsi"/>
              </w:rPr>
            </w:pPr>
            <w:r w:rsidRPr="00622548">
              <w:t>Présélection des architectes</w:t>
            </w:r>
          </w:p>
        </w:tc>
        <w:tc>
          <w:tcPr>
            <w:tcW w:w="3833" w:type="dxa"/>
            <w:tcBorders>
              <w:top w:val="single" w:sz="4" w:space="0" w:color="auto"/>
              <w:left w:val="single" w:sz="4" w:space="0" w:color="auto"/>
              <w:bottom w:val="single" w:sz="4" w:space="0" w:color="auto"/>
              <w:right w:val="single" w:sz="4" w:space="0" w:color="auto"/>
            </w:tcBorders>
          </w:tcPr>
          <w:p w14:paraId="74092ADC" w14:textId="77777777" w:rsidR="00A75E84" w:rsidRPr="00622548" w:rsidRDefault="00A75E84" w:rsidP="006D7157">
            <w:pPr>
              <w:pStyle w:val="Tabletext"/>
              <w:jc w:val="center"/>
              <w:rPr>
                <w:rFonts w:cstheme="minorHAnsi"/>
              </w:rPr>
            </w:pPr>
            <w:r w:rsidRPr="00622548">
              <w:t>T4-2024</w:t>
            </w:r>
          </w:p>
        </w:tc>
      </w:tr>
      <w:tr w:rsidR="00A75E84" w:rsidRPr="00622548" w14:paraId="7A6556E8" w14:textId="77777777" w:rsidTr="006D715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017E1E2C" w14:textId="77777777" w:rsidR="00A75E84" w:rsidRPr="00622548" w:rsidRDefault="00A75E84" w:rsidP="006D7157">
            <w:pPr>
              <w:pStyle w:val="Tabletext"/>
              <w:ind w:left="600"/>
              <w:rPr>
                <w:rFonts w:cstheme="minorHAnsi"/>
              </w:rPr>
            </w:pPr>
            <w:r w:rsidRPr="00622548">
              <w:t>Sélection de l'architecte</w:t>
            </w:r>
          </w:p>
        </w:tc>
        <w:tc>
          <w:tcPr>
            <w:tcW w:w="3833" w:type="dxa"/>
            <w:tcBorders>
              <w:top w:val="single" w:sz="4" w:space="0" w:color="auto"/>
              <w:left w:val="single" w:sz="4" w:space="0" w:color="auto"/>
              <w:bottom w:val="single" w:sz="4" w:space="0" w:color="auto"/>
              <w:right w:val="single" w:sz="4" w:space="0" w:color="auto"/>
            </w:tcBorders>
          </w:tcPr>
          <w:p w14:paraId="5E583E92" w14:textId="77777777" w:rsidR="00A75E84" w:rsidRPr="00622548" w:rsidRDefault="00A75E84" w:rsidP="006D7157">
            <w:pPr>
              <w:pStyle w:val="Tabletext"/>
              <w:jc w:val="center"/>
              <w:rPr>
                <w:rFonts w:cstheme="minorHAnsi"/>
              </w:rPr>
            </w:pPr>
            <w:r w:rsidRPr="00622548">
              <w:t>T1-2025</w:t>
            </w:r>
          </w:p>
        </w:tc>
      </w:tr>
      <w:tr w:rsidR="00A75E84" w:rsidRPr="00622548" w14:paraId="0C068CC1" w14:textId="77777777" w:rsidTr="006D715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1CC3EEDB" w14:textId="77777777" w:rsidR="00A75E84" w:rsidRPr="00622548" w:rsidRDefault="00A75E84" w:rsidP="006D7157">
            <w:pPr>
              <w:pStyle w:val="Tabletext"/>
              <w:ind w:left="600"/>
              <w:rPr>
                <w:rFonts w:cstheme="minorHAnsi"/>
              </w:rPr>
            </w:pPr>
            <w:r w:rsidRPr="00622548">
              <w:t>Études de faisabilité</w:t>
            </w:r>
          </w:p>
        </w:tc>
        <w:tc>
          <w:tcPr>
            <w:tcW w:w="3833" w:type="dxa"/>
            <w:tcBorders>
              <w:top w:val="single" w:sz="4" w:space="0" w:color="auto"/>
              <w:left w:val="single" w:sz="4" w:space="0" w:color="auto"/>
              <w:bottom w:val="single" w:sz="4" w:space="0" w:color="auto"/>
              <w:right w:val="single" w:sz="4" w:space="0" w:color="auto"/>
            </w:tcBorders>
          </w:tcPr>
          <w:p w14:paraId="23AF02AE" w14:textId="77777777" w:rsidR="00A75E84" w:rsidRPr="00622548" w:rsidRDefault="00A75E84" w:rsidP="006D7157">
            <w:pPr>
              <w:pStyle w:val="Tabletext"/>
              <w:jc w:val="center"/>
              <w:rPr>
                <w:rFonts w:cstheme="minorHAnsi"/>
              </w:rPr>
            </w:pPr>
            <w:r w:rsidRPr="00622548">
              <w:t>T2-2025</w:t>
            </w:r>
          </w:p>
        </w:tc>
      </w:tr>
      <w:tr w:rsidR="00A75E84" w:rsidRPr="00622548" w14:paraId="0AE5AFD6" w14:textId="77777777" w:rsidTr="006D715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72527CC9" w14:textId="77777777" w:rsidR="00A75E84" w:rsidRPr="00622548" w:rsidRDefault="00A75E84" w:rsidP="006D7157">
            <w:pPr>
              <w:pStyle w:val="Tabletext"/>
              <w:ind w:left="600"/>
              <w:rPr>
                <w:rFonts w:cstheme="minorHAnsi"/>
              </w:rPr>
            </w:pPr>
            <w:r w:rsidRPr="00622548">
              <w:t>Concept architectural</w:t>
            </w:r>
          </w:p>
        </w:tc>
        <w:tc>
          <w:tcPr>
            <w:tcW w:w="3833" w:type="dxa"/>
            <w:tcBorders>
              <w:top w:val="single" w:sz="4" w:space="0" w:color="auto"/>
              <w:left w:val="single" w:sz="4" w:space="0" w:color="auto"/>
              <w:bottom w:val="single" w:sz="4" w:space="0" w:color="auto"/>
              <w:right w:val="single" w:sz="4" w:space="0" w:color="auto"/>
            </w:tcBorders>
          </w:tcPr>
          <w:p w14:paraId="618A1F75" w14:textId="77777777" w:rsidR="00A75E84" w:rsidRPr="00622548" w:rsidRDefault="00A75E84" w:rsidP="006D7157">
            <w:pPr>
              <w:pStyle w:val="Tabletext"/>
              <w:jc w:val="center"/>
              <w:rPr>
                <w:rFonts w:cstheme="minorHAnsi"/>
              </w:rPr>
            </w:pPr>
            <w:r w:rsidRPr="00622548">
              <w:t>T4-2025</w:t>
            </w:r>
          </w:p>
        </w:tc>
      </w:tr>
      <w:tr w:rsidR="00A75E84" w:rsidRPr="00622548" w14:paraId="2B1A12B5" w14:textId="77777777" w:rsidTr="006D7157">
        <w:trPr>
          <w:trHeight w:val="47"/>
          <w:jc w:val="center"/>
        </w:trPr>
        <w:tc>
          <w:tcPr>
            <w:tcW w:w="4531" w:type="dxa"/>
            <w:tcBorders>
              <w:top w:val="single" w:sz="4" w:space="0" w:color="auto"/>
              <w:left w:val="single" w:sz="4" w:space="0" w:color="auto"/>
              <w:bottom w:val="single" w:sz="4" w:space="0" w:color="auto"/>
              <w:right w:val="single" w:sz="4" w:space="0" w:color="auto"/>
            </w:tcBorders>
          </w:tcPr>
          <w:p w14:paraId="28976089" w14:textId="77777777" w:rsidR="00A75E84" w:rsidRPr="00622548" w:rsidRDefault="00A75E84" w:rsidP="006D7157">
            <w:pPr>
              <w:pStyle w:val="Tabletext"/>
              <w:rPr>
                <w:rFonts w:cstheme="minorHAnsi"/>
                <w:b/>
                <w:bCs/>
              </w:rPr>
            </w:pPr>
            <w:r w:rsidRPr="00622548">
              <w:rPr>
                <w:b/>
                <w:bCs/>
              </w:rPr>
              <w:t>Conception détaillée/Appel d'offres/Contrat</w:t>
            </w:r>
          </w:p>
        </w:tc>
        <w:tc>
          <w:tcPr>
            <w:tcW w:w="3833" w:type="dxa"/>
            <w:tcBorders>
              <w:top w:val="single" w:sz="4" w:space="0" w:color="auto"/>
              <w:left w:val="single" w:sz="4" w:space="0" w:color="auto"/>
              <w:bottom w:val="single" w:sz="4" w:space="0" w:color="auto"/>
              <w:right w:val="single" w:sz="4" w:space="0" w:color="auto"/>
            </w:tcBorders>
          </w:tcPr>
          <w:p w14:paraId="525F3FA9" w14:textId="77777777" w:rsidR="00A75E84" w:rsidRPr="00622548" w:rsidRDefault="00A75E84" w:rsidP="006D7157">
            <w:pPr>
              <w:pStyle w:val="Tabletext"/>
              <w:jc w:val="center"/>
              <w:rPr>
                <w:rFonts w:cstheme="minorHAnsi"/>
              </w:rPr>
            </w:pPr>
            <w:r w:rsidRPr="00622548">
              <w:t>2026-2027</w:t>
            </w:r>
          </w:p>
        </w:tc>
      </w:tr>
      <w:tr w:rsidR="00A75E84" w:rsidRPr="00622548" w14:paraId="28A8C377" w14:textId="77777777" w:rsidTr="006D7157">
        <w:trPr>
          <w:trHeight w:val="47"/>
          <w:jc w:val="center"/>
        </w:trPr>
        <w:tc>
          <w:tcPr>
            <w:tcW w:w="4531" w:type="dxa"/>
            <w:tcBorders>
              <w:top w:val="single" w:sz="4" w:space="0" w:color="auto"/>
              <w:left w:val="single" w:sz="4" w:space="0" w:color="auto"/>
              <w:bottom w:val="single" w:sz="4" w:space="0" w:color="auto"/>
              <w:right w:val="single" w:sz="4" w:space="0" w:color="auto"/>
            </w:tcBorders>
            <w:hideMark/>
          </w:tcPr>
          <w:p w14:paraId="224C7B34" w14:textId="77777777" w:rsidR="00A75E84" w:rsidRPr="00622548" w:rsidRDefault="00A75E84" w:rsidP="006D7157">
            <w:pPr>
              <w:pStyle w:val="Tabletext"/>
              <w:rPr>
                <w:rFonts w:cstheme="minorHAnsi"/>
                <w:b/>
                <w:bCs/>
              </w:rPr>
            </w:pPr>
            <w:r w:rsidRPr="00622548">
              <w:rPr>
                <w:b/>
                <w:bCs/>
              </w:rPr>
              <w:t>Exécution</w:t>
            </w:r>
          </w:p>
        </w:tc>
        <w:tc>
          <w:tcPr>
            <w:tcW w:w="3833" w:type="dxa"/>
            <w:tcBorders>
              <w:top w:val="single" w:sz="4" w:space="0" w:color="auto"/>
              <w:left w:val="single" w:sz="4" w:space="0" w:color="auto"/>
              <w:bottom w:val="single" w:sz="4" w:space="0" w:color="auto"/>
              <w:right w:val="single" w:sz="4" w:space="0" w:color="auto"/>
            </w:tcBorders>
            <w:hideMark/>
          </w:tcPr>
          <w:p w14:paraId="6B1F3E5F" w14:textId="77777777" w:rsidR="00A75E84" w:rsidRPr="00622548" w:rsidRDefault="00A75E84" w:rsidP="006D7157">
            <w:pPr>
              <w:pStyle w:val="Tabletext"/>
              <w:jc w:val="center"/>
              <w:rPr>
                <w:rFonts w:cstheme="minorHAnsi"/>
              </w:rPr>
            </w:pPr>
            <w:r w:rsidRPr="00622548">
              <w:t>2028-2031</w:t>
            </w:r>
          </w:p>
        </w:tc>
      </w:tr>
      <w:tr w:rsidR="00A75E84" w:rsidRPr="00622548" w14:paraId="19AE8D18" w14:textId="77777777" w:rsidTr="006D7157">
        <w:trPr>
          <w:trHeight w:val="47"/>
          <w:jc w:val="center"/>
        </w:trPr>
        <w:tc>
          <w:tcPr>
            <w:tcW w:w="4531" w:type="dxa"/>
            <w:tcBorders>
              <w:top w:val="single" w:sz="4" w:space="0" w:color="auto"/>
              <w:left w:val="single" w:sz="4" w:space="0" w:color="auto"/>
              <w:bottom w:val="single" w:sz="4" w:space="0" w:color="auto"/>
              <w:right w:val="single" w:sz="4" w:space="0" w:color="auto"/>
            </w:tcBorders>
            <w:hideMark/>
          </w:tcPr>
          <w:p w14:paraId="6D5F76EE" w14:textId="77777777" w:rsidR="00A75E84" w:rsidRPr="00622548" w:rsidRDefault="00A75E84" w:rsidP="006D7157">
            <w:pPr>
              <w:pStyle w:val="Tabletext"/>
              <w:rPr>
                <w:rFonts w:cstheme="minorHAnsi"/>
                <w:b/>
                <w:bCs/>
              </w:rPr>
            </w:pPr>
            <w:r w:rsidRPr="00622548">
              <w:rPr>
                <w:b/>
                <w:bCs/>
              </w:rPr>
              <w:t>Livraison</w:t>
            </w:r>
          </w:p>
        </w:tc>
        <w:tc>
          <w:tcPr>
            <w:tcW w:w="3833" w:type="dxa"/>
            <w:tcBorders>
              <w:top w:val="single" w:sz="4" w:space="0" w:color="auto"/>
              <w:left w:val="single" w:sz="4" w:space="0" w:color="auto"/>
              <w:bottom w:val="single" w:sz="4" w:space="0" w:color="auto"/>
              <w:right w:val="single" w:sz="4" w:space="0" w:color="auto"/>
            </w:tcBorders>
            <w:hideMark/>
          </w:tcPr>
          <w:p w14:paraId="02628C57" w14:textId="77777777" w:rsidR="00A75E84" w:rsidRPr="00622548" w:rsidRDefault="00A75E84" w:rsidP="006D7157">
            <w:pPr>
              <w:pStyle w:val="Tabletext"/>
              <w:jc w:val="center"/>
              <w:rPr>
                <w:rFonts w:cstheme="minorHAnsi"/>
              </w:rPr>
            </w:pPr>
            <w:r w:rsidRPr="00622548">
              <w:t>2031</w:t>
            </w:r>
          </w:p>
        </w:tc>
      </w:tr>
    </w:tbl>
    <w:p w14:paraId="1C173F07" w14:textId="77777777" w:rsidR="004B5048" w:rsidRDefault="004B5048" w:rsidP="004B5048">
      <w:pPr>
        <w:pStyle w:val="Tablefin"/>
      </w:pPr>
    </w:p>
    <w:p w14:paraId="0F286DCC" w14:textId="5E5C7592" w:rsidR="006F5321" w:rsidRPr="00622548" w:rsidRDefault="00E60397" w:rsidP="00E60397">
      <w:pPr>
        <w:jc w:val="center"/>
      </w:pPr>
      <w:r>
        <w:t>______________</w:t>
      </w:r>
    </w:p>
    <w:sectPr w:rsidR="006F5321" w:rsidRPr="00622548" w:rsidSect="006457E8">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0397" w:rsidRPr="00784011" w14:paraId="287A07C3" w14:textId="77777777" w:rsidTr="00D424CA">
      <w:trPr>
        <w:jc w:val="center"/>
      </w:trPr>
      <w:tc>
        <w:tcPr>
          <w:tcW w:w="1803" w:type="dxa"/>
          <w:vAlign w:val="center"/>
        </w:tcPr>
        <w:p w14:paraId="1172BAE6" w14:textId="3DB0A825" w:rsidR="00E60397" w:rsidRDefault="00E60397" w:rsidP="00E60397">
          <w:pPr>
            <w:pStyle w:val="Header"/>
            <w:jc w:val="left"/>
            <w:rPr>
              <w:noProof/>
            </w:rPr>
          </w:pPr>
        </w:p>
      </w:tc>
      <w:tc>
        <w:tcPr>
          <w:tcW w:w="8261" w:type="dxa"/>
        </w:tcPr>
        <w:p w14:paraId="7978C066" w14:textId="45C4A31D" w:rsidR="00E60397" w:rsidRPr="00E06FD5" w:rsidRDefault="00E60397" w:rsidP="00E6039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5E03A8">
            <w:rPr>
              <w:bCs/>
            </w:rPr>
            <w:t>132</w:t>
          </w:r>
          <w:r w:rsidRPr="00623AE3">
            <w:rPr>
              <w:bCs/>
            </w:rPr>
            <w:t>-</w:t>
          </w:r>
          <w:r>
            <w:rPr>
              <w:bCs/>
            </w:rPr>
            <w:t>F</w:t>
          </w:r>
          <w:r>
            <w:rPr>
              <w:bCs/>
            </w:rPr>
            <w:tab/>
          </w:r>
          <w:r>
            <w:fldChar w:fldCharType="begin"/>
          </w:r>
          <w:r>
            <w:instrText>PAGE</w:instrText>
          </w:r>
          <w:r>
            <w:fldChar w:fldCharType="separate"/>
          </w:r>
          <w:r>
            <w:t>2</w:t>
          </w:r>
          <w:r>
            <w:rPr>
              <w:noProof/>
            </w:rPr>
            <w:fldChar w:fldCharType="end"/>
          </w:r>
        </w:p>
      </w:tc>
    </w:tr>
  </w:tbl>
  <w:p w14:paraId="122C17C5" w14:textId="77777777" w:rsidR="00E60397" w:rsidRDefault="00E60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0397" w:rsidRPr="00784011" w14:paraId="03A4996A" w14:textId="77777777" w:rsidTr="00D424CA">
      <w:trPr>
        <w:jc w:val="center"/>
      </w:trPr>
      <w:tc>
        <w:tcPr>
          <w:tcW w:w="1803" w:type="dxa"/>
          <w:vAlign w:val="center"/>
        </w:tcPr>
        <w:p w14:paraId="6E382BB5" w14:textId="77777777" w:rsidR="00E60397" w:rsidRPr="0082299A" w:rsidRDefault="002041EC" w:rsidP="00E60397">
          <w:pPr>
            <w:pStyle w:val="Header"/>
            <w:jc w:val="left"/>
            <w:rPr>
              <w:noProof/>
              <w:color w:val="0563C1"/>
            </w:rPr>
          </w:pPr>
          <w:hyperlink r:id="rId1" w:history="1">
            <w:r w:rsidR="00E60397" w:rsidRPr="0082299A">
              <w:rPr>
                <w:rStyle w:val="Hyperlink"/>
                <w:color w:val="0563C1"/>
                <w:szCs w:val="14"/>
              </w:rPr>
              <w:t>www.itu.int/council</w:t>
            </w:r>
          </w:hyperlink>
        </w:p>
      </w:tc>
      <w:tc>
        <w:tcPr>
          <w:tcW w:w="8261" w:type="dxa"/>
        </w:tcPr>
        <w:p w14:paraId="7BF1BB1F" w14:textId="66990716" w:rsidR="00E60397" w:rsidRPr="00E06FD5" w:rsidRDefault="00E60397" w:rsidP="00E6039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5E03A8">
            <w:rPr>
              <w:bCs/>
            </w:rPr>
            <w:t>132</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4443753F" w14:textId="77777777" w:rsidR="007B39D2" w:rsidRPr="00E60397" w:rsidRDefault="007B39D2" w:rsidP="00E60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60397" w:rsidRPr="00784011" w14:paraId="529409DA" w14:textId="77777777" w:rsidTr="00D424CA">
      <w:trPr>
        <w:trHeight w:val="1104"/>
        <w:jc w:val="center"/>
      </w:trPr>
      <w:tc>
        <w:tcPr>
          <w:tcW w:w="4390" w:type="dxa"/>
          <w:vAlign w:val="center"/>
        </w:tcPr>
        <w:p w14:paraId="40988881" w14:textId="77777777" w:rsidR="00E60397" w:rsidRPr="009621F8" w:rsidRDefault="00E60397" w:rsidP="00E60397">
          <w:pPr>
            <w:pStyle w:val="Header"/>
            <w:jc w:val="left"/>
            <w:rPr>
              <w:rFonts w:ascii="Arial" w:hAnsi="Arial" w:cs="Arial"/>
              <w:b/>
              <w:bCs/>
              <w:color w:val="009CD6"/>
              <w:sz w:val="36"/>
              <w:szCs w:val="36"/>
            </w:rPr>
          </w:pPr>
          <w:r>
            <w:rPr>
              <w:noProof/>
            </w:rPr>
            <w:drawing>
              <wp:inline distT="0" distB="0" distL="0" distR="0" wp14:anchorId="163DD589" wp14:editId="5D35B126">
                <wp:extent cx="2102400" cy="558000"/>
                <wp:effectExtent l="0" t="0" r="0" b="0"/>
                <wp:docPr id="230141137" name="Picture 2"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41137" name="Picture 2" descr="A black background with blue letters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36B98F96" w14:textId="77777777" w:rsidR="00E60397" w:rsidRDefault="00E60397" w:rsidP="00E60397">
          <w:pPr>
            <w:pStyle w:val="Header"/>
            <w:jc w:val="right"/>
            <w:rPr>
              <w:rFonts w:ascii="Arial" w:hAnsi="Arial" w:cs="Arial"/>
              <w:b/>
              <w:bCs/>
              <w:color w:val="009CD6"/>
              <w:szCs w:val="18"/>
            </w:rPr>
          </w:pPr>
        </w:p>
        <w:p w14:paraId="07C6355A" w14:textId="77777777" w:rsidR="00E60397" w:rsidRDefault="00E60397" w:rsidP="00E60397">
          <w:pPr>
            <w:pStyle w:val="Header"/>
            <w:jc w:val="right"/>
            <w:rPr>
              <w:rFonts w:ascii="Arial" w:hAnsi="Arial" w:cs="Arial"/>
              <w:b/>
              <w:bCs/>
              <w:color w:val="009CD6"/>
              <w:szCs w:val="18"/>
            </w:rPr>
          </w:pPr>
        </w:p>
        <w:p w14:paraId="59F97896" w14:textId="77777777" w:rsidR="00E60397" w:rsidRPr="00784011" w:rsidRDefault="00E60397" w:rsidP="00E603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95A951C" w14:textId="2000CA3A" w:rsidR="007B39D2" w:rsidRPr="00E3467D" w:rsidRDefault="00E60397" w:rsidP="00E603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FD9EA79" wp14:editId="160524D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DFE9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308F"/>
    <w:rsid w:val="00015B0A"/>
    <w:rsid w:val="00032591"/>
    <w:rsid w:val="00040CB3"/>
    <w:rsid w:val="00042CE0"/>
    <w:rsid w:val="00076A2C"/>
    <w:rsid w:val="00083625"/>
    <w:rsid w:val="000A2230"/>
    <w:rsid w:val="000B2F49"/>
    <w:rsid w:val="000D0D0A"/>
    <w:rsid w:val="000E3A1D"/>
    <w:rsid w:val="000F246F"/>
    <w:rsid w:val="00103163"/>
    <w:rsid w:val="00106B19"/>
    <w:rsid w:val="001133EF"/>
    <w:rsid w:val="00115D93"/>
    <w:rsid w:val="001247A8"/>
    <w:rsid w:val="001259FF"/>
    <w:rsid w:val="0013313A"/>
    <w:rsid w:val="00135997"/>
    <w:rsid w:val="00137066"/>
    <w:rsid w:val="001378C0"/>
    <w:rsid w:val="001463DF"/>
    <w:rsid w:val="00165F3D"/>
    <w:rsid w:val="0018694A"/>
    <w:rsid w:val="00190A91"/>
    <w:rsid w:val="001A3287"/>
    <w:rsid w:val="001A6508"/>
    <w:rsid w:val="001C5980"/>
    <w:rsid w:val="001D4C31"/>
    <w:rsid w:val="001E29A2"/>
    <w:rsid w:val="001E4D21"/>
    <w:rsid w:val="002041EC"/>
    <w:rsid w:val="00207CD1"/>
    <w:rsid w:val="0022157C"/>
    <w:rsid w:val="00226657"/>
    <w:rsid w:val="002477A2"/>
    <w:rsid w:val="00263A51"/>
    <w:rsid w:val="00267E02"/>
    <w:rsid w:val="002A04CF"/>
    <w:rsid w:val="002A5D44"/>
    <w:rsid w:val="002C0D5A"/>
    <w:rsid w:val="002D2327"/>
    <w:rsid w:val="002E0BC4"/>
    <w:rsid w:val="002E4B72"/>
    <w:rsid w:val="002E6DB6"/>
    <w:rsid w:val="002F1B76"/>
    <w:rsid w:val="002F72B0"/>
    <w:rsid w:val="00303F88"/>
    <w:rsid w:val="00315870"/>
    <w:rsid w:val="0032212A"/>
    <w:rsid w:val="0033568E"/>
    <w:rsid w:val="00355FF5"/>
    <w:rsid w:val="00357034"/>
    <w:rsid w:val="00361350"/>
    <w:rsid w:val="00361A1F"/>
    <w:rsid w:val="00373375"/>
    <w:rsid w:val="00382B83"/>
    <w:rsid w:val="003951AF"/>
    <w:rsid w:val="003C0BE9"/>
    <w:rsid w:val="003C3FAE"/>
    <w:rsid w:val="004038CB"/>
    <w:rsid w:val="0040546F"/>
    <w:rsid w:val="00412E77"/>
    <w:rsid w:val="004174D9"/>
    <w:rsid w:val="0042404A"/>
    <w:rsid w:val="0044423A"/>
    <w:rsid w:val="00445F7D"/>
    <w:rsid w:val="0044618F"/>
    <w:rsid w:val="00465A7A"/>
    <w:rsid w:val="0046769A"/>
    <w:rsid w:val="00475FB3"/>
    <w:rsid w:val="00485EE5"/>
    <w:rsid w:val="004A4036"/>
    <w:rsid w:val="004B5048"/>
    <w:rsid w:val="004C37A9"/>
    <w:rsid w:val="004D1D50"/>
    <w:rsid w:val="004F259E"/>
    <w:rsid w:val="00511F1D"/>
    <w:rsid w:val="00516A11"/>
    <w:rsid w:val="00520F36"/>
    <w:rsid w:val="00534E13"/>
    <w:rsid w:val="00540615"/>
    <w:rsid w:val="00540A6D"/>
    <w:rsid w:val="00547F4F"/>
    <w:rsid w:val="00566679"/>
    <w:rsid w:val="00571EEA"/>
    <w:rsid w:val="00574F75"/>
    <w:rsid w:val="00575417"/>
    <w:rsid w:val="005763D3"/>
    <w:rsid w:val="005768E1"/>
    <w:rsid w:val="0058108D"/>
    <w:rsid w:val="005939ED"/>
    <w:rsid w:val="005B1938"/>
    <w:rsid w:val="005B34DA"/>
    <w:rsid w:val="005C3890"/>
    <w:rsid w:val="005C69EE"/>
    <w:rsid w:val="005E03A8"/>
    <w:rsid w:val="005F217B"/>
    <w:rsid w:val="005F7BFE"/>
    <w:rsid w:val="00600017"/>
    <w:rsid w:val="0061280F"/>
    <w:rsid w:val="00622548"/>
    <w:rsid w:val="00622984"/>
    <w:rsid w:val="006235CA"/>
    <w:rsid w:val="00640396"/>
    <w:rsid w:val="006457E8"/>
    <w:rsid w:val="006563DA"/>
    <w:rsid w:val="006643AB"/>
    <w:rsid w:val="006704F4"/>
    <w:rsid w:val="006A11AE"/>
    <w:rsid w:val="006B45FC"/>
    <w:rsid w:val="006C14AA"/>
    <w:rsid w:val="006D660C"/>
    <w:rsid w:val="006E4B30"/>
    <w:rsid w:val="006E4FDA"/>
    <w:rsid w:val="006F0A53"/>
    <w:rsid w:val="006F17A6"/>
    <w:rsid w:val="006F5321"/>
    <w:rsid w:val="00713B03"/>
    <w:rsid w:val="007210CD"/>
    <w:rsid w:val="00724835"/>
    <w:rsid w:val="00731B9C"/>
    <w:rsid w:val="00732045"/>
    <w:rsid w:val="0073275D"/>
    <w:rsid w:val="007369DB"/>
    <w:rsid w:val="007454AA"/>
    <w:rsid w:val="007641B9"/>
    <w:rsid w:val="00770D7F"/>
    <w:rsid w:val="00772957"/>
    <w:rsid w:val="0077563F"/>
    <w:rsid w:val="007834A0"/>
    <w:rsid w:val="00790B97"/>
    <w:rsid w:val="007952E5"/>
    <w:rsid w:val="007956C2"/>
    <w:rsid w:val="007A187E"/>
    <w:rsid w:val="007A2EC9"/>
    <w:rsid w:val="007A47F3"/>
    <w:rsid w:val="007B39D2"/>
    <w:rsid w:val="007C2D75"/>
    <w:rsid w:val="007C410D"/>
    <w:rsid w:val="007C72C2"/>
    <w:rsid w:val="007D4436"/>
    <w:rsid w:val="007D4931"/>
    <w:rsid w:val="007E412D"/>
    <w:rsid w:val="007E691A"/>
    <w:rsid w:val="007F257A"/>
    <w:rsid w:val="007F3665"/>
    <w:rsid w:val="00800037"/>
    <w:rsid w:val="00811763"/>
    <w:rsid w:val="0082299A"/>
    <w:rsid w:val="00825A8B"/>
    <w:rsid w:val="008303C3"/>
    <w:rsid w:val="0083391C"/>
    <w:rsid w:val="008371A3"/>
    <w:rsid w:val="00854D8F"/>
    <w:rsid w:val="00861D73"/>
    <w:rsid w:val="00865037"/>
    <w:rsid w:val="00872BE5"/>
    <w:rsid w:val="00874B36"/>
    <w:rsid w:val="00890965"/>
    <w:rsid w:val="00897553"/>
    <w:rsid w:val="008A4E87"/>
    <w:rsid w:val="008B1C5C"/>
    <w:rsid w:val="008B4026"/>
    <w:rsid w:val="008D3EA4"/>
    <w:rsid w:val="008D76E6"/>
    <w:rsid w:val="008F0E46"/>
    <w:rsid w:val="008F29FD"/>
    <w:rsid w:val="008F4BE2"/>
    <w:rsid w:val="00916D3D"/>
    <w:rsid w:val="0092392D"/>
    <w:rsid w:val="00924E2A"/>
    <w:rsid w:val="00931707"/>
    <w:rsid w:val="0093234A"/>
    <w:rsid w:val="00950265"/>
    <w:rsid w:val="00956A78"/>
    <w:rsid w:val="00967725"/>
    <w:rsid w:val="0097363B"/>
    <w:rsid w:val="00973F53"/>
    <w:rsid w:val="00981CAE"/>
    <w:rsid w:val="00985A7F"/>
    <w:rsid w:val="00992EE8"/>
    <w:rsid w:val="00996E85"/>
    <w:rsid w:val="009A218E"/>
    <w:rsid w:val="009A4E09"/>
    <w:rsid w:val="009A6BAA"/>
    <w:rsid w:val="009C307F"/>
    <w:rsid w:val="009C353C"/>
    <w:rsid w:val="009E5E9A"/>
    <w:rsid w:val="009F1A71"/>
    <w:rsid w:val="00A06E51"/>
    <w:rsid w:val="00A2113E"/>
    <w:rsid w:val="00A23A51"/>
    <w:rsid w:val="00A24607"/>
    <w:rsid w:val="00A25CD3"/>
    <w:rsid w:val="00A26DA9"/>
    <w:rsid w:val="00A41246"/>
    <w:rsid w:val="00A46FE4"/>
    <w:rsid w:val="00A51358"/>
    <w:rsid w:val="00A51849"/>
    <w:rsid w:val="00A709FE"/>
    <w:rsid w:val="00A73C60"/>
    <w:rsid w:val="00A7555B"/>
    <w:rsid w:val="00A75E84"/>
    <w:rsid w:val="00A82767"/>
    <w:rsid w:val="00AA332F"/>
    <w:rsid w:val="00AA7BBB"/>
    <w:rsid w:val="00AB59AA"/>
    <w:rsid w:val="00AB64A8"/>
    <w:rsid w:val="00AC0266"/>
    <w:rsid w:val="00AD24EC"/>
    <w:rsid w:val="00B0514E"/>
    <w:rsid w:val="00B26288"/>
    <w:rsid w:val="00B309F9"/>
    <w:rsid w:val="00B32B60"/>
    <w:rsid w:val="00B426A2"/>
    <w:rsid w:val="00B60233"/>
    <w:rsid w:val="00B61619"/>
    <w:rsid w:val="00B71791"/>
    <w:rsid w:val="00B72A9D"/>
    <w:rsid w:val="00B746ED"/>
    <w:rsid w:val="00B92AC5"/>
    <w:rsid w:val="00BB4545"/>
    <w:rsid w:val="00BD5873"/>
    <w:rsid w:val="00BD5BCD"/>
    <w:rsid w:val="00BF4B60"/>
    <w:rsid w:val="00C04BE3"/>
    <w:rsid w:val="00C111C2"/>
    <w:rsid w:val="00C25D29"/>
    <w:rsid w:val="00C27A7C"/>
    <w:rsid w:val="00C326F4"/>
    <w:rsid w:val="00C37513"/>
    <w:rsid w:val="00C42437"/>
    <w:rsid w:val="00C42709"/>
    <w:rsid w:val="00C81E0E"/>
    <w:rsid w:val="00C84FE7"/>
    <w:rsid w:val="00C9383E"/>
    <w:rsid w:val="00CA08ED"/>
    <w:rsid w:val="00CB3E5C"/>
    <w:rsid w:val="00CB51F0"/>
    <w:rsid w:val="00CB6AB7"/>
    <w:rsid w:val="00CF183B"/>
    <w:rsid w:val="00CF556F"/>
    <w:rsid w:val="00D31E89"/>
    <w:rsid w:val="00D375CD"/>
    <w:rsid w:val="00D553A2"/>
    <w:rsid w:val="00D72F49"/>
    <w:rsid w:val="00D774D3"/>
    <w:rsid w:val="00D80733"/>
    <w:rsid w:val="00D817BD"/>
    <w:rsid w:val="00D904E8"/>
    <w:rsid w:val="00DA08C3"/>
    <w:rsid w:val="00DB5A3E"/>
    <w:rsid w:val="00DB7EB4"/>
    <w:rsid w:val="00DC22AA"/>
    <w:rsid w:val="00DC438C"/>
    <w:rsid w:val="00DD6AD6"/>
    <w:rsid w:val="00DD7C67"/>
    <w:rsid w:val="00DE0227"/>
    <w:rsid w:val="00DF74DD"/>
    <w:rsid w:val="00E10503"/>
    <w:rsid w:val="00E11E5E"/>
    <w:rsid w:val="00E25AD0"/>
    <w:rsid w:val="00E3467D"/>
    <w:rsid w:val="00E4330C"/>
    <w:rsid w:val="00E4428F"/>
    <w:rsid w:val="00E44791"/>
    <w:rsid w:val="00E55894"/>
    <w:rsid w:val="00E60397"/>
    <w:rsid w:val="00E67AFC"/>
    <w:rsid w:val="00E849BA"/>
    <w:rsid w:val="00E93668"/>
    <w:rsid w:val="00E95647"/>
    <w:rsid w:val="00EB6350"/>
    <w:rsid w:val="00F15B57"/>
    <w:rsid w:val="00F35EF4"/>
    <w:rsid w:val="00F37FE5"/>
    <w:rsid w:val="00F427DB"/>
    <w:rsid w:val="00F4322F"/>
    <w:rsid w:val="00F55714"/>
    <w:rsid w:val="00F964FA"/>
    <w:rsid w:val="00FA5EB1"/>
    <w:rsid w:val="00FA7439"/>
    <w:rsid w:val="00FB132D"/>
    <w:rsid w:val="00FC4EC0"/>
    <w:rsid w:val="00FD60C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
    <w:basedOn w:val="DefaultParagraphFont"/>
    <w:uiPriority w:val="99"/>
    <w:rsid w:val="00732045"/>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E60397"/>
    <w:rPr>
      <w:rFonts w:asciiTheme="minorHAnsi" w:hAnsiTheme="minorHAnsi" w:cstheme="minorHAnsi"/>
    </w:rPr>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aliases w:val="encabezado Char,he Char,encabezad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1463DF"/>
    <w:rPr>
      <w:color w:val="605E5C"/>
      <w:shd w:val="clear" w:color="auto" w:fill="E1DFDD"/>
    </w:rPr>
  </w:style>
  <w:style w:type="character" w:styleId="CommentReference">
    <w:name w:val="annotation reference"/>
    <w:basedOn w:val="DefaultParagraphFont"/>
    <w:semiHidden/>
    <w:unhideWhenUsed/>
    <w:rsid w:val="000A2230"/>
    <w:rPr>
      <w:sz w:val="16"/>
      <w:szCs w:val="16"/>
    </w:rPr>
  </w:style>
  <w:style w:type="paragraph" w:styleId="CommentText">
    <w:name w:val="annotation text"/>
    <w:basedOn w:val="Normal"/>
    <w:link w:val="CommentTextChar"/>
    <w:semiHidden/>
    <w:unhideWhenUsed/>
    <w:rsid w:val="000A2230"/>
    <w:rPr>
      <w:sz w:val="20"/>
    </w:rPr>
  </w:style>
  <w:style w:type="character" w:customStyle="1" w:styleId="CommentTextChar">
    <w:name w:val="Comment Text Char"/>
    <w:basedOn w:val="DefaultParagraphFont"/>
    <w:link w:val="CommentText"/>
    <w:semiHidden/>
    <w:rsid w:val="000A2230"/>
    <w:rPr>
      <w:rFonts w:ascii="Calibri" w:hAnsi="Calibri"/>
      <w:lang w:val="fr-FR" w:eastAsia="en-US"/>
    </w:rPr>
  </w:style>
  <w:style w:type="paragraph" w:styleId="CommentSubject">
    <w:name w:val="annotation subject"/>
    <w:basedOn w:val="CommentText"/>
    <w:next w:val="CommentText"/>
    <w:link w:val="CommentSubjectChar"/>
    <w:semiHidden/>
    <w:unhideWhenUsed/>
    <w:rsid w:val="000A2230"/>
    <w:rPr>
      <w:b/>
      <w:bCs/>
    </w:rPr>
  </w:style>
  <w:style w:type="character" w:customStyle="1" w:styleId="CommentSubjectChar">
    <w:name w:val="Comment Subject Char"/>
    <w:basedOn w:val="CommentTextChar"/>
    <w:link w:val="CommentSubject"/>
    <w:semiHidden/>
    <w:rsid w:val="000A2230"/>
    <w:rPr>
      <w:rFonts w:ascii="Calibri" w:hAnsi="Calibri"/>
      <w:b/>
      <w:bCs/>
      <w:lang w:val="fr-FR" w:eastAsia="en-US"/>
    </w:rPr>
  </w:style>
  <w:style w:type="character" w:customStyle="1" w:styleId="Heading1Char">
    <w:name w:val="Heading 1 Char"/>
    <w:basedOn w:val="DefaultParagraphFont"/>
    <w:link w:val="Heading1"/>
    <w:rsid w:val="007454AA"/>
    <w:rPr>
      <w:rFonts w:ascii="Calibri" w:hAnsi="Calibri"/>
      <w:b/>
      <w:sz w:val="28"/>
      <w:lang w:val="fr-FR" w:eastAsia="en-US"/>
    </w:rPr>
  </w:style>
  <w:style w:type="character" w:customStyle="1" w:styleId="NormalaftertitleChar">
    <w:name w:val="Normal after title Char"/>
    <w:basedOn w:val="DefaultParagraphFont"/>
    <w:link w:val="Normalaftertitle"/>
    <w:rsid w:val="00A06E51"/>
    <w:rPr>
      <w:rFonts w:ascii="Calibri" w:hAnsi="Calibri"/>
      <w:sz w:val="24"/>
      <w:lang w:val="fr-FR" w:eastAsia="en-US"/>
    </w:rPr>
  </w:style>
  <w:style w:type="character" w:customStyle="1" w:styleId="RestitleChar">
    <w:name w:val="Res_title Char"/>
    <w:basedOn w:val="DefaultParagraphFont"/>
    <w:link w:val="Restitle"/>
    <w:rsid w:val="00A06E51"/>
    <w:rPr>
      <w:rFonts w:ascii="Calibri" w:hAnsi="Calibri"/>
      <w:b/>
      <w:sz w:val="28"/>
      <w:lang w:val="fr-FR" w:eastAsia="en-US"/>
    </w:rPr>
  </w:style>
  <w:style w:type="character" w:customStyle="1" w:styleId="CallChar">
    <w:name w:val="Call Char"/>
    <w:basedOn w:val="DefaultParagraphFont"/>
    <w:link w:val="Call"/>
    <w:rsid w:val="00A06E51"/>
    <w:rPr>
      <w:rFonts w:ascii="Calibri" w:hAnsi="Calibri"/>
      <w:i/>
      <w:sz w:val="24"/>
      <w:lang w:val="fr-FR" w:eastAsia="en-US"/>
    </w:rPr>
  </w:style>
  <w:style w:type="character" w:customStyle="1" w:styleId="ResNoChar">
    <w:name w:val="Res_No Char"/>
    <w:basedOn w:val="DefaultParagraphFont"/>
    <w:link w:val="ResNo"/>
    <w:locked/>
    <w:rsid w:val="00A06E51"/>
    <w:rPr>
      <w:rFonts w:ascii="Calibri" w:hAnsi="Calibri"/>
      <w:caps/>
      <w:sz w:val="28"/>
      <w:lang w:val="fr-FR" w:eastAsia="en-US"/>
    </w:rPr>
  </w:style>
  <w:style w:type="table" w:customStyle="1" w:styleId="TableGrid1">
    <w:name w:val="Table Grid1"/>
    <w:basedOn w:val="TableNormal"/>
    <w:next w:val="TableGrid"/>
    <w:uiPriority w:val="59"/>
    <w:rsid w:val="00950265"/>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uiPriority w:val="99"/>
    <w:rsid w:val="00874B36"/>
    <w:rPr>
      <w:rFonts w:ascii="Calibri" w:hAnsi="Calibri"/>
      <w:sz w:val="24"/>
      <w:lang w:val="fr-FR" w:eastAsia="en-US"/>
    </w:rPr>
  </w:style>
  <w:style w:type="paragraph" w:customStyle="1" w:styleId="Foot">
    <w:name w:val="Foot"/>
    <w:basedOn w:val="Normal"/>
    <w:rsid w:val="00874B36"/>
    <w:pPr>
      <w:tabs>
        <w:tab w:val="left" w:pos="284"/>
      </w:tabs>
      <w:spacing w:before="40" w:line="360" w:lineRule="auto"/>
      <w:ind w:left="284" w:hanging="284"/>
    </w:pPr>
    <w:rPr>
      <w:rFonts w:cstheme="minorHAnsi"/>
      <w:position w:val="6"/>
      <w:sz w:val="16"/>
      <w:lang w:val="fr-CH"/>
    </w:rPr>
  </w:style>
  <w:style w:type="paragraph" w:customStyle="1" w:styleId="Tablefin">
    <w:name w:val="Table_fin"/>
    <w:basedOn w:val="Tabletext"/>
    <w:rsid w:val="004B504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59336">
      <w:bodyDiv w:val="1"/>
      <w:marLeft w:val="0"/>
      <w:marRight w:val="0"/>
      <w:marTop w:val="0"/>
      <w:marBottom w:val="0"/>
      <w:divBdr>
        <w:top w:val="none" w:sz="0" w:space="0" w:color="auto"/>
        <w:left w:val="none" w:sz="0" w:space="0" w:color="auto"/>
        <w:bottom w:val="none" w:sz="0" w:space="0" w:color="auto"/>
        <w:right w:val="none" w:sz="0" w:space="0" w:color="auto"/>
      </w:divBdr>
    </w:div>
    <w:div w:id="18801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md/S24-CL-C-0007/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4BFB-1253-4D58-9194-764EE15E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5123</Characters>
  <Application>Microsoft Office Word</Application>
  <DocSecurity>0</DocSecurity>
  <Lines>42</Lines>
  <Paragraphs>12</Paragraphs>
  <ScaleCrop>false</ScaleCrop>
  <Manager/>
  <Company/>
  <LinksUpToDate>false</LinksUpToDate>
  <CharactersWithSpaces>6041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2024-06-18T06:39:00Z</dcterms:created>
  <dcterms:modified xsi:type="dcterms:W3CDTF">2024-06-18T06:39:00Z</dcterms:modified>
  <cp:category/>
</cp:coreProperties>
</file>