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7952768D" w:rsidR="00E24D59" w:rsidRPr="007C408D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val="en-US" w:eastAsia="zh-CN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5BFD5B79" w14:textId="21AAE31B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proofErr w:type="spellEnd"/>
            <w:r w:rsidRPr="00E24D59">
              <w:rPr>
                <w:b/>
                <w:lang w:val="fr-CH"/>
              </w:rPr>
              <w:t>/</w:t>
            </w:r>
            <w:r w:rsidR="00FD4DE1">
              <w:rPr>
                <w:b/>
                <w:lang w:val="fr-CH"/>
              </w:rPr>
              <w:t>132</w:t>
            </w:r>
            <w:r w:rsidR="00927AB4">
              <w:rPr>
                <w:b/>
                <w:lang w:val="fr-CH"/>
              </w:rPr>
              <w:t>-</w:t>
            </w:r>
            <w:r w:rsidRPr="00E24D59">
              <w:rPr>
                <w:b/>
                <w:lang w:val="fr-CH"/>
              </w:rPr>
              <w:t>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FAFFA43" w14:textId="596DCEEA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392252">
              <w:rPr>
                <w:rFonts w:hint="eastAsia"/>
                <w:b/>
                <w:lang w:eastAsia="zh-CN"/>
              </w:rPr>
              <w:t>6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392252">
              <w:rPr>
                <w:rFonts w:hint="eastAsia"/>
                <w:b/>
                <w:lang w:eastAsia="zh-CN"/>
              </w:rPr>
              <w:t>1</w:t>
            </w:r>
            <w:r w:rsidR="00927AB4">
              <w:rPr>
                <w:b/>
                <w:lang w:eastAsia="zh-CN"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57DCAF05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</w:t>
            </w:r>
            <w:r w:rsidR="008D70D2">
              <w:rPr>
                <w:b/>
                <w:bCs/>
                <w:lang w:val="zh-CN"/>
              </w:rPr>
              <w:t>英文</w:t>
            </w:r>
            <w:proofErr w:type="spellEnd"/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4"/>
    <w:bookmarkEnd w:id="2"/>
    <w:p w14:paraId="50072C96" w14:textId="5F643855" w:rsidR="002A5CC8" w:rsidRDefault="00392252" w:rsidP="00B50C97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640</w:t>
      </w:r>
      <w:r>
        <w:rPr>
          <w:rFonts w:hint="eastAsia"/>
          <w:lang w:eastAsia="zh-CN"/>
        </w:rPr>
        <w:t>号</w:t>
      </w:r>
      <w:r w:rsidR="002A5CC8" w:rsidRPr="009B6B3D">
        <w:rPr>
          <w:lang w:eastAsia="zh-CN"/>
        </w:rPr>
        <w:t>决定</w:t>
      </w:r>
    </w:p>
    <w:p w14:paraId="22D2019A" w14:textId="53538E57" w:rsidR="00392252" w:rsidRPr="00392252" w:rsidRDefault="00392252" w:rsidP="00B50C97">
      <w:pPr>
        <w:pStyle w:val="Resref"/>
        <w:rPr>
          <w:lang w:eastAsia="zh-CN"/>
        </w:rPr>
      </w:pPr>
      <w:r w:rsidRPr="000E21A9">
        <w:rPr>
          <w:rFonts w:hint="eastAsia"/>
          <w:lang w:eastAsia="zh-CN"/>
        </w:rPr>
        <w:t>（在第</w:t>
      </w:r>
      <w:r>
        <w:rPr>
          <w:rFonts w:hint="eastAsia"/>
          <w:lang w:eastAsia="zh-CN"/>
        </w:rPr>
        <w:t>十</w:t>
      </w:r>
      <w:r w:rsidRPr="000E21A9">
        <w:rPr>
          <w:rFonts w:hint="eastAsia"/>
          <w:lang w:eastAsia="zh-CN"/>
        </w:rPr>
        <w:t>次全体会议上通过）</w:t>
      </w:r>
    </w:p>
    <w:p w14:paraId="3980B889" w14:textId="77777777" w:rsidR="00FD4DE1" w:rsidRPr="0005504F" w:rsidRDefault="00FD4DE1" w:rsidP="00B50C97">
      <w:pPr>
        <w:pStyle w:val="Restitle"/>
        <w:rPr>
          <w:bCs/>
          <w:lang w:eastAsia="zh-CN"/>
        </w:rPr>
      </w:pPr>
      <w:r w:rsidRPr="0006108D">
        <w:rPr>
          <w:rFonts w:hint="eastAsia"/>
          <w:lang w:eastAsia="zh-CN"/>
        </w:rPr>
        <w:t>国际电联总部办公场所备选的经重新评估的项目</w:t>
      </w:r>
    </w:p>
    <w:p w14:paraId="1A34266E" w14:textId="77777777" w:rsidR="00FD4DE1" w:rsidRPr="0005504F" w:rsidRDefault="00FD4DE1" w:rsidP="00FD4DE1">
      <w:pPr>
        <w:pStyle w:val="Normalaftertitle"/>
        <w:rPr>
          <w:lang w:eastAsia="zh-CN"/>
        </w:rPr>
      </w:pPr>
      <w:r w:rsidRPr="0006108D">
        <w:rPr>
          <w:rFonts w:hint="eastAsia"/>
          <w:lang w:eastAsia="zh-CN"/>
        </w:rPr>
        <w:t>国际电联理事会</w:t>
      </w:r>
      <w:r>
        <w:rPr>
          <w:rFonts w:hint="eastAsia"/>
          <w:lang w:eastAsia="zh-CN"/>
        </w:rPr>
        <w:t>，</w:t>
      </w:r>
    </w:p>
    <w:p w14:paraId="5DB30873" w14:textId="77777777" w:rsidR="00FD4DE1" w:rsidRPr="00392252" w:rsidRDefault="00FD4DE1" w:rsidP="00FD4DE1">
      <w:pPr>
        <w:pStyle w:val="Call"/>
        <w:rPr>
          <w:rFonts w:eastAsia="STKaiti"/>
          <w:i/>
          <w:iCs/>
          <w:lang w:eastAsia="zh-CN"/>
        </w:rPr>
      </w:pPr>
      <w:r w:rsidRPr="00392252">
        <w:rPr>
          <w:rFonts w:eastAsia="STKaiti" w:hint="eastAsia"/>
          <w:iCs/>
          <w:lang w:eastAsia="zh-CN"/>
        </w:rPr>
        <w:t>忆及</w:t>
      </w:r>
    </w:p>
    <w:p w14:paraId="38581059" w14:textId="77777777" w:rsidR="00FD4DE1" w:rsidRPr="0005504F" w:rsidRDefault="00FD4DE1" w:rsidP="00FD4DE1">
      <w:pPr>
        <w:ind w:firstLineChars="200" w:firstLine="480"/>
        <w:rPr>
          <w:rFonts w:asciiTheme="minorHAnsi" w:hAnsiTheme="minorHAnsi" w:cstheme="minorBidi"/>
          <w:color w:val="000000" w:themeColor="text1"/>
          <w:lang w:eastAsia="zh-CN"/>
        </w:rPr>
      </w:pP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关于国际电联总部未来办公场所的全权代表大会第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212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号决议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（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2022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年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，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布加勒斯特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，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修订版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）以及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关于总部办公场所的理事会第</w:t>
      </w:r>
      <w:r w:rsidRPr="0005504F">
        <w:rPr>
          <w:rFonts w:asciiTheme="minorHAnsi" w:hAnsiTheme="minorHAnsi" w:cstheme="minorBidi"/>
          <w:color w:val="000000" w:themeColor="text1"/>
          <w:lang w:eastAsia="zh-CN"/>
        </w:rPr>
        <w:t>588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和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第</w:t>
      </w:r>
      <w:r w:rsidRPr="0005504F">
        <w:rPr>
          <w:rFonts w:asciiTheme="minorHAnsi" w:hAnsiTheme="minorHAnsi" w:cstheme="minorBidi"/>
          <w:color w:val="000000" w:themeColor="text1"/>
          <w:lang w:eastAsia="zh-CN"/>
        </w:rPr>
        <w:t>619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号决定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，</w:t>
      </w:r>
    </w:p>
    <w:p w14:paraId="257807BE" w14:textId="77777777" w:rsidR="00FD4DE1" w:rsidRPr="00392252" w:rsidRDefault="00FD4DE1" w:rsidP="00FD4DE1">
      <w:pPr>
        <w:pStyle w:val="Call"/>
        <w:rPr>
          <w:rFonts w:eastAsia="STKaiti"/>
          <w:iCs/>
          <w:lang w:eastAsia="zh-CN"/>
        </w:rPr>
      </w:pPr>
      <w:r w:rsidRPr="00392252">
        <w:rPr>
          <w:rFonts w:eastAsia="STKaiti" w:hint="eastAsia"/>
          <w:iCs/>
          <w:lang w:eastAsia="zh-CN"/>
        </w:rPr>
        <w:t>认识到</w:t>
      </w:r>
    </w:p>
    <w:p w14:paraId="08CDBC99" w14:textId="77777777" w:rsidR="00FD4DE1" w:rsidRPr="0005504F" w:rsidRDefault="00FD4DE1" w:rsidP="00FD4DE1">
      <w:pPr>
        <w:rPr>
          <w:rFonts w:asciiTheme="minorHAnsi" w:hAnsiTheme="minorHAnsi" w:cstheme="minorBidi"/>
          <w:color w:val="000000" w:themeColor="text1"/>
          <w:lang w:eastAsia="zh-CN"/>
        </w:rPr>
      </w:pPr>
      <w:r w:rsidRPr="0005504F">
        <w:rPr>
          <w:rFonts w:asciiTheme="minorHAnsi" w:hAnsiTheme="minorHAnsi" w:cstheme="minorBidi"/>
          <w:i/>
          <w:iCs/>
          <w:color w:val="000000" w:themeColor="text1"/>
          <w:lang w:eastAsia="zh-CN"/>
        </w:rPr>
        <w:t>a)</w:t>
      </w:r>
      <w:r w:rsidRPr="0005504F">
        <w:rPr>
          <w:rFonts w:asciiTheme="minorHAnsi" w:hAnsiTheme="minorHAnsi" w:cstheme="minorBidi"/>
          <w:color w:val="000000" w:themeColor="text1"/>
          <w:lang w:eastAsia="zh-CN"/>
        </w:rPr>
        <w:tab/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为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聘用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总部办公场所项目</w:t>
      </w:r>
      <w:r w:rsidRPr="00B458A7">
        <w:rPr>
          <w:rFonts w:asciiTheme="minorHAnsi" w:hAnsiTheme="minorHAnsi" w:cstheme="minorBidi" w:hint="eastAsia"/>
          <w:color w:val="000000" w:themeColor="text1"/>
          <w:lang w:eastAsia="zh-CN"/>
        </w:rPr>
        <w:t>总承包商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而提交的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建议书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大大超</w:t>
      </w:r>
      <w:r w:rsidRPr="00F03C40">
        <w:rPr>
          <w:rFonts w:asciiTheme="minorHAnsi" w:hAnsiTheme="minorHAnsi" w:cstheme="minorBidi" w:hint="eastAsia"/>
          <w:color w:val="000000" w:themeColor="text1"/>
          <w:lang w:eastAsia="zh-CN"/>
        </w:rPr>
        <w:t>出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了</w:t>
      </w:r>
      <w:r w:rsidRPr="00F03C40">
        <w:rPr>
          <w:rFonts w:asciiTheme="minorHAnsi" w:hAnsiTheme="minorHAnsi" w:cstheme="minorBidi" w:hint="eastAsia"/>
          <w:color w:val="000000" w:themeColor="text1"/>
          <w:lang w:eastAsia="zh-CN"/>
        </w:rPr>
        <w:t>所批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准的</w:t>
      </w:r>
      <w:r w:rsidRPr="0005504F">
        <w:rPr>
          <w:rFonts w:asciiTheme="minorHAnsi" w:hAnsiTheme="minorHAnsi" w:cstheme="minorBidi"/>
          <w:color w:val="000000" w:themeColor="text1"/>
          <w:lang w:eastAsia="zh-CN"/>
        </w:rPr>
        <w:t>1.7269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亿瑞郎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的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预算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；</w:t>
      </w:r>
    </w:p>
    <w:p w14:paraId="57C8F260" w14:textId="77777777" w:rsidR="00FD4DE1" w:rsidRPr="0005504F" w:rsidRDefault="00FD4DE1" w:rsidP="00FD4DE1">
      <w:pPr>
        <w:rPr>
          <w:rFonts w:asciiTheme="minorHAnsi" w:hAnsiTheme="minorHAnsi" w:cstheme="minorBidi"/>
          <w:color w:val="000000" w:themeColor="text1"/>
          <w:lang w:eastAsia="zh-CN"/>
        </w:rPr>
      </w:pPr>
      <w:r w:rsidRPr="0005504F">
        <w:rPr>
          <w:rFonts w:asciiTheme="minorHAnsi" w:hAnsiTheme="minorHAnsi" w:cstheme="minorBidi"/>
          <w:i/>
          <w:iCs/>
          <w:color w:val="000000" w:themeColor="text1"/>
          <w:lang w:eastAsia="zh-CN"/>
        </w:rPr>
        <w:t>b)</w:t>
      </w:r>
      <w:r w:rsidRPr="0005504F">
        <w:rPr>
          <w:rFonts w:asciiTheme="minorHAnsi" w:hAnsiTheme="minorHAnsi" w:cstheme="minorBidi"/>
          <w:color w:val="000000" w:themeColor="text1"/>
          <w:lang w:eastAsia="zh-CN"/>
        </w:rPr>
        <w:tab/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两次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呼吁进行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自愿捐款和额外赞助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，但均未收到任何意向；</w:t>
      </w:r>
    </w:p>
    <w:p w14:paraId="530740F0" w14:textId="77777777" w:rsidR="00FD4DE1" w:rsidRPr="0005504F" w:rsidRDefault="00FD4DE1" w:rsidP="00FD4DE1">
      <w:pPr>
        <w:rPr>
          <w:rFonts w:asciiTheme="minorHAnsi" w:hAnsiTheme="minorHAnsi" w:cstheme="minorBidi"/>
          <w:color w:val="000000" w:themeColor="text1"/>
          <w:lang w:eastAsia="zh-CN"/>
        </w:rPr>
      </w:pPr>
      <w:r w:rsidRPr="0005504F">
        <w:rPr>
          <w:rFonts w:asciiTheme="minorHAnsi" w:hAnsiTheme="minorHAnsi" w:cstheme="minorBidi"/>
          <w:i/>
          <w:iCs/>
          <w:color w:val="000000" w:themeColor="text1"/>
          <w:lang w:eastAsia="zh-CN"/>
        </w:rPr>
        <w:t>c)</w:t>
      </w:r>
      <w:r w:rsidRPr="0005504F">
        <w:rPr>
          <w:rFonts w:asciiTheme="minorHAnsi" w:hAnsiTheme="minorHAnsi" w:cstheme="minorBidi"/>
          <w:color w:val="000000" w:themeColor="text1"/>
          <w:lang w:eastAsia="zh-CN"/>
        </w:rPr>
        <w:tab/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迫切需要就重建使用寿命即将结束的</w:t>
      </w:r>
      <w:proofErr w:type="spellStart"/>
      <w:r w:rsidRPr="0005504F">
        <w:rPr>
          <w:rFonts w:asciiTheme="minorHAnsi" w:hAnsiTheme="minorHAnsi" w:cstheme="minorBidi"/>
          <w:color w:val="000000" w:themeColor="text1"/>
          <w:lang w:eastAsia="zh-CN"/>
        </w:rPr>
        <w:t>Varembé</w:t>
      </w:r>
      <w:proofErr w:type="spellEnd"/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办公楼做出决定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，</w:t>
      </w:r>
    </w:p>
    <w:p w14:paraId="58531EE3" w14:textId="77777777" w:rsidR="00FD4DE1" w:rsidRPr="00392252" w:rsidRDefault="00FD4DE1" w:rsidP="00FD4DE1">
      <w:pPr>
        <w:pStyle w:val="Call"/>
        <w:rPr>
          <w:rFonts w:eastAsia="STKaiti"/>
          <w:iCs/>
          <w:lang w:eastAsia="zh-CN"/>
        </w:rPr>
      </w:pPr>
      <w:r w:rsidRPr="00392252">
        <w:rPr>
          <w:rFonts w:eastAsia="STKaiti" w:hint="eastAsia"/>
          <w:iCs/>
          <w:lang w:eastAsia="zh-CN"/>
        </w:rPr>
        <w:t>注意到</w:t>
      </w:r>
    </w:p>
    <w:p w14:paraId="07D4D34B" w14:textId="77777777" w:rsidR="00FD4DE1" w:rsidRPr="0005504F" w:rsidRDefault="00FD4DE1" w:rsidP="00FD4DE1">
      <w:pPr>
        <w:rPr>
          <w:rFonts w:asciiTheme="minorHAnsi" w:hAnsiTheme="minorHAnsi" w:cstheme="minorBidi"/>
          <w:color w:val="000000" w:themeColor="text1"/>
          <w:lang w:eastAsia="zh-CN"/>
        </w:rPr>
      </w:pPr>
      <w:r w:rsidRPr="0005504F">
        <w:rPr>
          <w:rFonts w:asciiTheme="minorHAnsi" w:hAnsiTheme="minorHAnsi" w:cstheme="minorBidi"/>
          <w:i/>
          <w:iCs/>
          <w:color w:val="000000" w:themeColor="text1"/>
          <w:lang w:eastAsia="zh-CN"/>
        </w:rPr>
        <w:t>a)</w:t>
      </w:r>
      <w:r w:rsidRPr="0005504F">
        <w:rPr>
          <w:rFonts w:asciiTheme="minorHAnsi" w:hAnsiTheme="minorHAnsi" w:cstheme="minorBidi"/>
          <w:color w:val="000000" w:themeColor="text1"/>
          <w:lang w:eastAsia="zh-CN"/>
        </w:rPr>
        <w:tab/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秘书长关于备选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的</w:t>
      </w:r>
      <w:r w:rsidRPr="002C1030">
        <w:rPr>
          <w:rFonts w:asciiTheme="minorHAnsi" w:hAnsiTheme="minorHAnsi" w:cstheme="minorBidi" w:hint="eastAsia"/>
          <w:color w:val="000000" w:themeColor="text1"/>
          <w:lang w:eastAsia="zh-CN"/>
        </w:rPr>
        <w:t>经重新评估的项目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的提案，该项目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在现有预算范围内考虑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到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国际电联成员和职员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的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需求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，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如理事会</w:t>
      </w:r>
      <w:hyperlink r:id="rId8" w:history="1">
        <w:r w:rsidRPr="0005504F">
          <w:rPr>
            <w:rStyle w:val="Hyperlink"/>
            <w:rFonts w:asciiTheme="minorHAnsi" w:hAnsiTheme="minorHAnsi" w:cstheme="minorBidi"/>
            <w:lang w:eastAsia="zh-CN"/>
          </w:rPr>
          <w:t>C24/7</w:t>
        </w:r>
      </w:hyperlink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号文件表</w:t>
      </w:r>
      <w:r w:rsidRPr="0005504F">
        <w:rPr>
          <w:rFonts w:asciiTheme="minorHAnsi" w:hAnsiTheme="minorHAnsi" w:cstheme="minorBidi"/>
          <w:color w:val="000000" w:themeColor="text1"/>
          <w:lang w:eastAsia="zh-CN"/>
        </w:rPr>
        <w:t>4</w:t>
      </w:r>
      <w:r w:rsidRPr="0006108D">
        <w:rPr>
          <w:rFonts w:asciiTheme="minorHAnsi" w:hAnsiTheme="minorHAnsi" w:cstheme="minorBidi" w:hint="eastAsia"/>
          <w:color w:val="000000" w:themeColor="text1"/>
          <w:lang w:eastAsia="zh-CN"/>
        </w:rPr>
        <w:t>所述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，</w:t>
      </w:r>
    </w:p>
    <w:p w14:paraId="0ABA9C25" w14:textId="77777777" w:rsidR="00FD4DE1" w:rsidRPr="0005504F" w:rsidRDefault="00FD4DE1" w:rsidP="00FD4DE1">
      <w:pPr>
        <w:rPr>
          <w:rFonts w:cstheme="minorHAnsi"/>
          <w:color w:val="000000"/>
          <w:szCs w:val="24"/>
          <w:shd w:val="clear" w:color="auto" w:fill="FFFFFF"/>
          <w:lang w:eastAsia="zh-CN"/>
        </w:rPr>
      </w:pPr>
      <w:r w:rsidRPr="0005504F">
        <w:rPr>
          <w:rFonts w:asciiTheme="minorHAnsi" w:hAnsiTheme="minorHAnsi"/>
          <w:i/>
          <w:iCs/>
          <w:color w:val="000000" w:themeColor="text1"/>
          <w:lang w:eastAsia="zh-CN"/>
        </w:rPr>
        <w:t>b)</w:t>
      </w:r>
      <w:r w:rsidRPr="0005504F">
        <w:rPr>
          <w:rFonts w:asciiTheme="minorHAnsi" w:hAnsiTheme="minorHAnsi"/>
          <w:color w:val="000000" w:themeColor="text1"/>
          <w:lang w:eastAsia="zh-CN"/>
        </w:rPr>
        <w:tab/>
      </w:r>
      <w:r w:rsidRPr="0006108D"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成员国顾问组</w:t>
      </w:r>
      <w:r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（</w:t>
      </w:r>
      <w:r w:rsidRPr="0005504F">
        <w:rPr>
          <w:rFonts w:asciiTheme="minorHAnsi" w:hAnsiTheme="minorHAnsi"/>
          <w:color w:val="000000" w:themeColor="text1"/>
          <w:lang w:eastAsia="zh-CN"/>
        </w:rPr>
        <w:t>MSAG</w:t>
      </w:r>
      <w:r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）以及</w:t>
      </w:r>
      <w:r w:rsidRPr="0006108D"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理事会财务和人力资源工作组</w:t>
      </w:r>
      <w:r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（</w:t>
      </w:r>
      <w:r w:rsidRPr="0005504F">
        <w:rPr>
          <w:rFonts w:cstheme="minorHAnsi"/>
          <w:color w:val="000000"/>
          <w:szCs w:val="24"/>
          <w:shd w:val="clear" w:color="auto" w:fill="FFFFFF"/>
          <w:lang w:eastAsia="zh-CN"/>
        </w:rPr>
        <w:t>CWG-FHR</w:t>
      </w:r>
      <w:r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）</w:t>
      </w:r>
      <w:r w:rsidRPr="0006108D"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主</w:t>
      </w:r>
      <w:r w:rsidRPr="00F03C40"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席向</w:t>
      </w:r>
      <w:r w:rsidRPr="0006108D"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理事会</w:t>
      </w:r>
      <w:r w:rsidRPr="0006108D"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2024</w:t>
      </w:r>
      <w:r w:rsidRPr="0006108D"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年会议提交的报告支持秘书长</w:t>
      </w:r>
      <w:r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提出的</w:t>
      </w:r>
      <w:r w:rsidRPr="002C1030"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备选的经重新评估的项目</w:t>
      </w:r>
      <w:r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，</w:t>
      </w:r>
    </w:p>
    <w:p w14:paraId="3404FE40" w14:textId="77777777" w:rsidR="00FD4DE1" w:rsidRPr="00392252" w:rsidRDefault="00FD4DE1" w:rsidP="00FD4DE1">
      <w:pPr>
        <w:pStyle w:val="Call"/>
        <w:rPr>
          <w:rFonts w:eastAsia="STKaiti"/>
          <w:iCs/>
          <w:lang w:eastAsia="zh-CN"/>
        </w:rPr>
      </w:pPr>
      <w:r w:rsidRPr="00392252">
        <w:rPr>
          <w:rFonts w:eastAsia="STKaiti" w:hint="eastAsia"/>
          <w:iCs/>
          <w:lang w:eastAsia="zh-CN"/>
        </w:rPr>
        <w:t>做出决定</w:t>
      </w:r>
    </w:p>
    <w:p w14:paraId="3E9AA9AD" w14:textId="77777777" w:rsidR="00FD4DE1" w:rsidRPr="0005504F" w:rsidRDefault="00FD4DE1" w:rsidP="00FD4DE1">
      <w:pPr>
        <w:ind w:firstLineChars="200" w:firstLine="480"/>
        <w:rPr>
          <w:rFonts w:cstheme="minorHAnsi"/>
          <w:szCs w:val="24"/>
          <w:lang w:eastAsia="zh-CN"/>
        </w:rPr>
      </w:pPr>
      <w:r w:rsidRPr="0006108D">
        <w:rPr>
          <w:rFonts w:cstheme="minorHAnsi" w:hint="eastAsia"/>
          <w:szCs w:val="24"/>
          <w:lang w:eastAsia="zh-CN"/>
        </w:rPr>
        <w:t>根据</w:t>
      </w:r>
      <w:r>
        <w:rPr>
          <w:rFonts w:cstheme="minorHAnsi" w:hint="eastAsia"/>
          <w:szCs w:val="24"/>
          <w:lang w:eastAsia="zh-CN"/>
        </w:rPr>
        <w:t>《</w:t>
      </w:r>
      <w:r w:rsidRPr="0006108D">
        <w:rPr>
          <w:rFonts w:cstheme="minorHAnsi" w:hint="eastAsia"/>
          <w:szCs w:val="24"/>
          <w:lang w:eastAsia="zh-CN"/>
        </w:rPr>
        <w:t>公约</w:t>
      </w:r>
      <w:r>
        <w:rPr>
          <w:rFonts w:cstheme="minorHAnsi" w:hint="eastAsia"/>
          <w:szCs w:val="24"/>
          <w:lang w:eastAsia="zh-CN"/>
        </w:rPr>
        <w:t>》</w:t>
      </w:r>
      <w:r w:rsidRPr="0006108D">
        <w:rPr>
          <w:rFonts w:cstheme="minorHAnsi" w:hint="eastAsia"/>
          <w:szCs w:val="24"/>
          <w:lang w:eastAsia="zh-CN"/>
        </w:rPr>
        <w:t>第</w:t>
      </w:r>
      <w:r w:rsidRPr="0005504F">
        <w:rPr>
          <w:lang w:eastAsia="zh-CN"/>
        </w:rPr>
        <w:t>79</w:t>
      </w:r>
      <w:r w:rsidRPr="0006108D">
        <w:rPr>
          <w:rFonts w:cstheme="minorHAnsi" w:hint="eastAsia"/>
          <w:szCs w:val="24"/>
          <w:lang w:eastAsia="zh-CN"/>
        </w:rPr>
        <w:t>款的规定</w:t>
      </w:r>
      <w:r>
        <w:rPr>
          <w:rFonts w:cstheme="minorHAnsi" w:hint="eastAsia"/>
          <w:szCs w:val="24"/>
          <w:lang w:eastAsia="zh-CN"/>
        </w:rPr>
        <w:t>，</w:t>
      </w:r>
      <w:r w:rsidRPr="0006108D">
        <w:rPr>
          <w:rFonts w:cstheme="minorHAnsi" w:hint="eastAsia"/>
          <w:szCs w:val="24"/>
          <w:lang w:eastAsia="zh-CN"/>
        </w:rPr>
        <w:t>在得到国际电联多数成员国同意</w:t>
      </w:r>
      <w:r>
        <w:rPr>
          <w:rFonts w:cstheme="minorHAnsi" w:hint="eastAsia"/>
          <w:szCs w:val="24"/>
          <w:lang w:eastAsia="zh-CN"/>
        </w:rPr>
        <w:t>的情况</w:t>
      </w:r>
      <w:r w:rsidRPr="0006108D">
        <w:rPr>
          <w:rFonts w:cstheme="minorHAnsi" w:hint="eastAsia"/>
          <w:szCs w:val="24"/>
          <w:lang w:eastAsia="zh-CN"/>
        </w:rPr>
        <w:t>下</w:t>
      </w:r>
      <w:r>
        <w:rPr>
          <w:rFonts w:cstheme="minorHAnsi" w:hint="eastAsia"/>
          <w:szCs w:val="24"/>
          <w:lang w:eastAsia="zh-CN"/>
        </w:rPr>
        <w:t>，</w:t>
      </w:r>
      <w:r w:rsidRPr="0006108D">
        <w:rPr>
          <w:rFonts w:cstheme="minorHAnsi" w:hint="eastAsia"/>
          <w:szCs w:val="24"/>
          <w:lang w:eastAsia="zh-CN"/>
        </w:rPr>
        <w:t>批准</w:t>
      </w:r>
      <w:r w:rsidRPr="002C1030"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备选的经重新评估的项目</w:t>
      </w:r>
      <w:r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，</w:t>
      </w:r>
      <w:r w:rsidRPr="0006108D">
        <w:rPr>
          <w:rFonts w:cstheme="minorHAnsi" w:hint="eastAsia"/>
          <w:szCs w:val="24"/>
          <w:lang w:eastAsia="zh-CN"/>
        </w:rPr>
        <w:t>该项目金额不得超过</w:t>
      </w:r>
      <w:r w:rsidRPr="0005504F">
        <w:rPr>
          <w:rFonts w:cstheme="minorHAnsi"/>
          <w:szCs w:val="24"/>
          <w:lang w:eastAsia="zh-CN"/>
        </w:rPr>
        <w:t>1.7269</w:t>
      </w:r>
      <w:r w:rsidRPr="0006108D">
        <w:rPr>
          <w:rFonts w:cstheme="minorHAnsi" w:hint="eastAsia"/>
          <w:szCs w:val="24"/>
          <w:lang w:eastAsia="zh-CN"/>
        </w:rPr>
        <w:t>亿瑞郎</w:t>
      </w:r>
      <w:r>
        <w:rPr>
          <w:rFonts w:cstheme="minorHAnsi" w:hint="eastAsia"/>
          <w:szCs w:val="24"/>
          <w:lang w:eastAsia="zh-CN"/>
        </w:rPr>
        <w:t>，</w:t>
      </w:r>
    </w:p>
    <w:p w14:paraId="4E6C362D" w14:textId="77777777" w:rsidR="00FD4DE1" w:rsidRPr="00AF2834" w:rsidRDefault="00FD4DE1" w:rsidP="00FD4DE1">
      <w:pPr>
        <w:pStyle w:val="Call"/>
        <w:rPr>
          <w:i/>
          <w:iCs/>
          <w:lang w:eastAsia="zh-CN"/>
        </w:rPr>
      </w:pPr>
      <w:r w:rsidRPr="00392252">
        <w:rPr>
          <w:rFonts w:eastAsia="STKaiti" w:hint="eastAsia"/>
          <w:iCs/>
          <w:lang w:eastAsia="zh-CN"/>
        </w:rPr>
        <w:t>责成秘书长，在得到上述的国际电联多数成员国同意的情况下</w:t>
      </w:r>
    </w:p>
    <w:p w14:paraId="28673E81" w14:textId="77777777" w:rsidR="00FD4DE1" w:rsidRPr="0005504F" w:rsidRDefault="00FD4DE1" w:rsidP="00FD4DE1">
      <w:pPr>
        <w:rPr>
          <w:rFonts w:cstheme="minorHAnsi"/>
          <w:szCs w:val="24"/>
          <w:lang w:eastAsia="zh-CN"/>
        </w:rPr>
      </w:pPr>
      <w:r w:rsidRPr="0005504F">
        <w:rPr>
          <w:rFonts w:cstheme="minorHAnsi"/>
          <w:szCs w:val="24"/>
          <w:lang w:eastAsia="zh-CN"/>
        </w:rPr>
        <w:t>1</w:t>
      </w:r>
      <w:r w:rsidRPr="0005504F">
        <w:rPr>
          <w:rFonts w:cstheme="minorHAnsi"/>
          <w:szCs w:val="24"/>
          <w:lang w:eastAsia="zh-CN"/>
        </w:rPr>
        <w:tab/>
      </w:r>
      <w:r w:rsidRPr="0006108D">
        <w:rPr>
          <w:rFonts w:cstheme="minorHAnsi" w:hint="eastAsia"/>
          <w:szCs w:val="24"/>
          <w:lang w:eastAsia="zh-CN"/>
        </w:rPr>
        <w:t>根据附件</w:t>
      </w:r>
      <w:r>
        <w:rPr>
          <w:rFonts w:cstheme="minorHAnsi" w:hint="eastAsia"/>
          <w:szCs w:val="24"/>
          <w:lang w:eastAsia="zh-CN"/>
        </w:rPr>
        <w:t>，</w:t>
      </w:r>
      <w:r w:rsidRPr="0006108D">
        <w:rPr>
          <w:rFonts w:cstheme="minorHAnsi" w:hint="eastAsia"/>
          <w:szCs w:val="24"/>
          <w:lang w:eastAsia="zh-CN"/>
        </w:rPr>
        <w:t>采取一切必要措施</w:t>
      </w:r>
      <w:r>
        <w:rPr>
          <w:rFonts w:cstheme="minorHAnsi" w:hint="eastAsia"/>
          <w:szCs w:val="24"/>
          <w:lang w:eastAsia="zh-CN"/>
        </w:rPr>
        <w:t>，</w:t>
      </w:r>
      <w:r w:rsidRPr="0006108D">
        <w:rPr>
          <w:rFonts w:cstheme="minorHAnsi" w:hint="eastAsia"/>
          <w:szCs w:val="24"/>
          <w:lang w:eastAsia="zh-CN"/>
        </w:rPr>
        <w:t>实施</w:t>
      </w:r>
      <w:r w:rsidRPr="002C1030"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备选的经重新评估的项目</w:t>
      </w:r>
      <w:r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，</w:t>
      </w:r>
      <w:r w:rsidRPr="0006108D">
        <w:rPr>
          <w:rFonts w:cstheme="minorHAnsi" w:hint="eastAsia"/>
          <w:szCs w:val="24"/>
          <w:lang w:eastAsia="zh-CN"/>
        </w:rPr>
        <w:t>以满足国际电联成员和职员的需求</w:t>
      </w:r>
      <w:r>
        <w:rPr>
          <w:rFonts w:cstheme="minorHAnsi" w:hint="eastAsia"/>
          <w:szCs w:val="24"/>
          <w:lang w:eastAsia="zh-CN"/>
        </w:rPr>
        <w:t>；</w:t>
      </w:r>
    </w:p>
    <w:p w14:paraId="1BD5B2C2" w14:textId="77777777" w:rsidR="00FD4DE1" w:rsidRDefault="00FD4DE1" w:rsidP="00FD4DE1">
      <w:pPr>
        <w:rPr>
          <w:rFonts w:cstheme="minorHAnsi"/>
          <w:szCs w:val="24"/>
          <w:lang w:eastAsia="zh-CN"/>
        </w:rPr>
      </w:pPr>
      <w:r w:rsidRPr="0005504F">
        <w:rPr>
          <w:rFonts w:cstheme="minorHAnsi"/>
          <w:szCs w:val="24"/>
          <w:lang w:eastAsia="zh-CN"/>
        </w:rPr>
        <w:t>2</w:t>
      </w:r>
      <w:r w:rsidRPr="0005504F">
        <w:rPr>
          <w:rFonts w:cstheme="minorHAnsi"/>
          <w:szCs w:val="24"/>
          <w:lang w:eastAsia="zh-CN"/>
        </w:rPr>
        <w:tab/>
      </w:r>
      <w:r w:rsidRPr="0006108D">
        <w:rPr>
          <w:rFonts w:cstheme="minorHAnsi" w:hint="eastAsia"/>
          <w:szCs w:val="24"/>
          <w:lang w:eastAsia="zh-CN"/>
        </w:rPr>
        <w:t>与东道国联络并采取必要措施</w:t>
      </w:r>
      <w:r>
        <w:rPr>
          <w:rFonts w:cstheme="minorHAnsi" w:hint="eastAsia"/>
          <w:szCs w:val="24"/>
          <w:lang w:eastAsia="zh-CN"/>
        </w:rPr>
        <w:t>，</w:t>
      </w:r>
      <w:r w:rsidRPr="0006108D">
        <w:rPr>
          <w:rFonts w:cstheme="minorHAnsi" w:hint="eastAsia"/>
          <w:szCs w:val="24"/>
          <w:lang w:eastAsia="zh-CN"/>
        </w:rPr>
        <w:t>将</w:t>
      </w:r>
      <w:r w:rsidRPr="0005504F">
        <w:rPr>
          <w:rFonts w:cstheme="minorHAnsi"/>
          <w:szCs w:val="24"/>
          <w:lang w:eastAsia="zh-CN"/>
        </w:rPr>
        <w:t>1</w:t>
      </w:r>
      <w:r>
        <w:rPr>
          <w:rFonts w:cstheme="minorHAnsi" w:hint="eastAsia"/>
          <w:szCs w:val="24"/>
          <w:lang w:eastAsia="zh-CN"/>
        </w:rPr>
        <w:t>.</w:t>
      </w:r>
      <w:r w:rsidRPr="0005504F">
        <w:rPr>
          <w:rFonts w:cstheme="minorHAnsi"/>
          <w:szCs w:val="24"/>
          <w:lang w:eastAsia="zh-CN"/>
        </w:rPr>
        <w:t>5</w:t>
      </w:r>
      <w:r w:rsidRPr="0006108D">
        <w:rPr>
          <w:rFonts w:cstheme="minorHAnsi" w:hint="eastAsia"/>
          <w:szCs w:val="24"/>
          <w:lang w:eastAsia="zh-CN"/>
        </w:rPr>
        <w:t>亿瑞郎的贷款</w:t>
      </w:r>
      <w:r>
        <w:rPr>
          <w:rFonts w:cstheme="minorHAnsi" w:hint="eastAsia"/>
          <w:szCs w:val="24"/>
          <w:lang w:eastAsia="zh-CN"/>
        </w:rPr>
        <w:t>转</w:t>
      </w:r>
      <w:r w:rsidRPr="0006108D">
        <w:rPr>
          <w:rFonts w:cstheme="minorHAnsi" w:hint="eastAsia"/>
          <w:szCs w:val="24"/>
          <w:lang w:eastAsia="zh-CN"/>
        </w:rPr>
        <w:t>用于</w:t>
      </w:r>
      <w:r w:rsidRPr="002C1030"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备选的经重新评估的项目</w:t>
      </w:r>
      <w:r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；</w:t>
      </w:r>
    </w:p>
    <w:p w14:paraId="7037726C" w14:textId="77777777" w:rsidR="00FD4DE1" w:rsidRPr="0005504F" w:rsidRDefault="00FD4DE1" w:rsidP="00FD4DE1">
      <w:pPr>
        <w:rPr>
          <w:rFonts w:cstheme="minorHAnsi"/>
          <w:szCs w:val="24"/>
          <w:lang w:eastAsia="zh-CN"/>
        </w:rPr>
      </w:pPr>
      <w:r w:rsidRPr="0005504F">
        <w:rPr>
          <w:rFonts w:cstheme="minorHAnsi"/>
          <w:szCs w:val="24"/>
          <w:lang w:eastAsia="zh-CN"/>
        </w:rPr>
        <w:lastRenderedPageBreak/>
        <w:t>3</w:t>
      </w:r>
      <w:r w:rsidRPr="0005504F">
        <w:rPr>
          <w:rFonts w:cstheme="minorHAnsi"/>
          <w:szCs w:val="24"/>
          <w:lang w:eastAsia="zh-CN"/>
        </w:rPr>
        <w:tab/>
      </w:r>
      <w:r w:rsidRPr="0006108D">
        <w:rPr>
          <w:rFonts w:cstheme="minorHAnsi" w:hint="eastAsia"/>
          <w:szCs w:val="24"/>
          <w:lang w:eastAsia="zh-CN"/>
        </w:rPr>
        <w:t>与赞助方和</w:t>
      </w:r>
      <w:r>
        <w:rPr>
          <w:rFonts w:cstheme="minorHAnsi" w:hint="eastAsia"/>
          <w:szCs w:val="24"/>
          <w:lang w:eastAsia="zh-CN"/>
        </w:rPr>
        <w:t>相关</w:t>
      </w:r>
      <w:r w:rsidRPr="0006108D">
        <w:rPr>
          <w:rFonts w:cstheme="minorHAnsi" w:hint="eastAsia"/>
          <w:szCs w:val="24"/>
          <w:lang w:eastAsia="zh-CN"/>
        </w:rPr>
        <w:t>各方</w:t>
      </w:r>
      <w:r>
        <w:rPr>
          <w:rFonts w:cstheme="minorHAnsi" w:hint="eastAsia"/>
          <w:szCs w:val="24"/>
          <w:lang w:eastAsia="zh-CN"/>
        </w:rPr>
        <w:t>接触，</w:t>
      </w:r>
      <w:r w:rsidRPr="00F03C40">
        <w:rPr>
          <w:rFonts w:cstheme="minorHAnsi" w:hint="eastAsia"/>
          <w:szCs w:val="24"/>
          <w:lang w:eastAsia="zh-CN"/>
        </w:rPr>
        <w:t>以保证第</w:t>
      </w:r>
      <w:r w:rsidRPr="0006108D">
        <w:rPr>
          <w:rFonts w:cstheme="minorHAnsi" w:hint="eastAsia"/>
          <w:szCs w:val="24"/>
          <w:lang w:eastAsia="zh-CN"/>
        </w:rPr>
        <w:t>212</w:t>
      </w:r>
      <w:r w:rsidRPr="0006108D">
        <w:rPr>
          <w:rFonts w:cstheme="minorHAnsi" w:hint="eastAsia"/>
          <w:szCs w:val="24"/>
          <w:lang w:eastAsia="zh-CN"/>
        </w:rPr>
        <w:t>号决议</w:t>
      </w:r>
      <w:r>
        <w:rPr>
          <w:rFonts w:cstheme="minorHAnsi" w:hint="eastAsia"/>
          <w:szCs w:val="24"/>
          <w:lang w:eastAsia="zh-CN"/>
        </w:rPr>
        <w:t>（</w:t>
      </w:r>
      <w:r w:rsidRPr="0006108D">
        <w:rPr>
          <w:rFonts w:cstheme="minorHAnsi" w:hint="eastAsia"/>
          <w:szCs w:val="24"/>
          <w:lang w:eastAsia="zh-CN"/>
        </w:rPr>
        <w:t>2022</w:t>
      </w:r>
      <w:r w:rsidRPr="0006108D">
        <w:rPr>
          <w:rFonts w:cstheme="minorHAnsi" w:hint="eastAsia"/>
          <w:szCs w:val="24"/>
          <w:lang w:eastAsia="zh-CN"/>
        </w:rPr>
        <w:t>年</w:t>
      </w:r>
      <w:r>
        <w:rPr>
          <w:rFonts w:cstheme="minorHAnsi" w:hint="eastAsia"/>
          <w:szCs w:val="24"/>
          <w:lang w:eastAsia="zh-CN"/>
        </w:rPr>
        <w:t>，</w:t>
      </w:r>
      <w:r w:rsidRPr="0006108D">
        <w:rPr>
          <w:rFonts w:cstheme="minorHAnsi" w:hint="eastAsia"/>
          <w:szCs w:val="24"/>
          <w:lang w:eastAsia="zh-CN"/>
        </w:rPr>
        <w:t>布加勒斯特</w:t>
      </w:r>
      <w:r>
        <w:rPr>
          <w:rFonts w:cstheme="minorHAnsi" w:hint="eastAsia"/>
          <w:szCs w:val="24"/>
          <w:lang w:eastAsia="zh-CN"/>
        </w:rPr>
        <w:t>，</w:t>
      </w:r>
      <w:r w:rsidRPr="0006108D">
        <w:rPr>
          <w:rFonts w:cstheme="minorHAnsi" w:hint="eastAsia"/>
          <w:szCs w:val="24"/>
          <w:lang w:eastAsia="zh-CN"/>
        </w:rPr>
        <w:t>修订版</w:t>
      </w:r>
      <w:r>
        <w:rPr>
          <w:rFonts w:cstheme="minorHAnsi" w:hint="eastAsia"/>
          <w:szCs w:val="24"/>
          <w:lang w:eastAsia="zh-CN"/>
        </w:rPr>
        <w:t>）</w:t>
      </w:r>
      <w:r w:rsidRPr="0006108D">
        <w:rPr>
          <w:rFonts w:cstheme="minorHAnsi" w:hint="eastAsia"/>
          <w:szCs w:val="24"/>
          <w:lang w:eastAsia="zh-CN"/>
        </w:rPr>
        <w:t>中</w:t>
      </w:r>
      <w:r>
        <w:rPr>
          <w:rFonts w:cstheme="minorHAnsi" w:hint="eastAsia"/>
          <w:szCs w:val="24"/>
          <w:lang w:eastAsia="zh-CN"/>
        </w:rPr>
        <w:t>所述</w:t>
      </w:r>
      <w:r w:rsidRPr="0006108D">
        <w:rPr>
          <w:rFonts w:cstheme="minorHAnsi" w:hint="eastAsia"/>
          <w:szCs w:val="24"/>
          <w:lang w:eastAsia="zh-CN"/>
        </w:rPr>
        <w:t>的承诺赞助和其他安排</w:t>
      </w:r>
      <w:r>
        <w:rPr>
          <w:rFonts w:cstheme="minorHAnsi" w:hint="eastAsia"/>
          <w:szCs w:val="24"/>
          <w:lang w:eastAsia="zh-CN"/>
        </w:rPr>
        <w:t>，</w:t>
      </w:r>
      <w:r w:rsidRPr="0006108D">
        <w:rPr>
          <w:rFonts w:cstheme="minorHAnsi" w:hint="eastAsia"/>
          <w:szCs w:val="24"/>
          <w:lang w:eastAsia="zh-CN"/>
        </w:rPr>
        <w:t>并找到双方</w:t>
      </w:r>
      <w:r>
        <w:rPr>
          <w:rFonts w:cstheme="minorHAnsi" w:hint="eastAsia"/>
          <w:szCs w:val="24"/>
          <w:lang w:eastAsia="zh-CN"/>
        </w:rPr>
        <w:t>均</w:t>
      </w:r>
      <w:r w:rsidRPr="0006108D">
        <w:rPr>
          <w:rFonts w:cstheme="minorHAnsi" w:hint="eastAsia"/>
          <w:szCs w:val="24"/>
          <w:lang w:eastAsia="zh-CN"/>
        </w:rPr>
        <w:t>可接受的解决方案</w:t>
      </w:r>
      <w:r>
        <w:rPr>
          <w:rFonts w:cstheme="minorHAnsi" w:hint="eastAsia"/>
          <w:szCs w:val="24"/>
          <w:lang w:eastAsia="zh-CN"/>
        </w:rPr>
        <w:t>，</w:t>
      </w:r>
      <w:r w:rsidRPr="0006108D">
        <w:rPr>
          <w:rFonts w:cstheme="minorHAnsi" w:hint="eastAsia"/>
          <w:szCs w:val="24"/>
          <w:lang w:eastAsia="zh-CN"/>
        </w:rPr>
        <w:t>以</w:t>
      </w:r>
      <w:r>
        <w:rPr>
          <w:rFonts w:cstheme="minorHAnsi" w:hint="eastAsia"/>
          <w:szCs w:val="24"/>
          <w:lang w:eastAsia="zh-CN"/>
        </w:rPr>
        <w:t>履行在</w:t>
      </w:r>
      <w:r w:rsidRPr="002C1030"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备选的经重新评估的项目</w:t>
      </w:r>
      <w:r w:rsidRPr="0006108D">
        <w:rPr>
          <w:rFonts w:cstheme="minorHAnsi" w:hint="eastAsia"/>
          <w:szCs w:val="24"/>
          <w:lang w:eastAsia="zh-CN"/>
        </w:rPr>
        <w:t>中可能无法兑现的承诺</w:t>
      </w:r>
      <w:r>
        <w:rPr>
          <w:rFonts w:cstheme="minorHAnsi" w:hint="eastAsia"/>
          <w:szCs w:val="24"/>
          <w:lang w:eastAsia="zh-CN"/>
        </w:rPr>
        <w:t>；</w:t>
      </w:r>
    </w:p>
    <w:p w14:paraId="1A2D910C" w14:textId="77777777" w:rsidR="00FD4DE1" w:rsidRPr="0005504F" w:rsidRDefault="00FD4DE1" w:rsidP="00FD4DE1">
      <w:pPr>
        <w:rPr>
          <w:rFonts w:cstheme="minorHAnsi"/>
          <w:szCs w:val="24"/>
          <w:lang w:eastAsia="zh-CN"/>
        </w:rPr>
      </w:pPr>
      <w:r w:rsidRPr="0005504F">
        <w:rPr>
          <w:rFonts w:cstheme="minorHAnsi"/>
          <w:szCs w:val="24"/>
          <w:lang w:eastAsia="zh-CN"/>
        </w:rPr>
        <w:t>4</w:t>
      </w:r>
      <w:r w:rsidRPr="0005504F">
        <w:rPr>
          <w:rFonts w:cstheme="minorHAnsi"/>
          <w:szCs w:val="24"/>
          <w:lang w:eastAsia="zh-CN"/>
        </w:rPr>
        <w:tab/>
      </w:r>
      <w:r w:rsidRPr="0006108D">
        <w:rPr>
          <w:rFonts w:cstheme="minorHAnsi" w:hint="eastAsia"/>
          <w:szCs w:val="24"/>
          <w:lang w:eastAsia="zh-CN"/>
        </w:rPr>
        <w:t>与</w:t>
      </w:r>
      <w:r w:rsidRPr="0005504F">
        <w:rPr>
          <w:rFonts w:cstheme="minorHAnsi"/>
          <w:szCs w:val="24"/>
          <w:lang w:eastAsia="zh-CN"/>
        </w:rPr>
        <w:t>MSAG</w:t>
      </w:r>
      <w:r w:rsidRPr="0006108D">
        <w:rPr>
          <w:rFonts w:cstheme="minorHAnsi" w:hint="eastAsia"/>
          <w:szCs w:val="24"/>
          <w:lang w:eastAsia="zh-CN"/>
        </w:rPr>
        <w:t>协商并向</w:t>
      </w:r>
      <w:r>
        <w:rPr>
          <w:rFonts w:cstheme="minorHAnsi" w:hint="eastAsia"/>
          <w:szCs w:val="24"/>
          <w:lang w:eastAsia="zh-CN"/>
        </w:rPr>
        <w:t>其</w:t>
      </w:r>
      <w:r w:rsidRPr="0006108D">
        <w:rPr>
          <w:rFonts w:cstheme="minorHAnsi" w:hint="eastAsia"/>
          <w:szCs w:val="24"/>
          <w:lang w:eastAsia="zh-CN"/>
        </w:rPr>
        <w:t>提供必要信息</w:t>
      </w:r>
      <w:r>
        <w:rPr>
          <w:rFonts w:cstheme="minorHAnsi" w:hint="eastAsia"/>
          <w:szCs w:val="24"/>
          <w:lang w:eastAsia="zh-CN"/>
        </w:rPr>
        <w:t>，</w:t>
      </w:r>
      <w:r w:rsidRPr="0006108D">
        <w:rPr>
          <w:rFonts w:cstheme="minorHAnsi" w:hint="eastAsia"/>
          <w:szCs w:val="24"/>
          <w:lang w:eastAsia="zh-CN"/>
        </w:rPr>
        <w:t>确保</w:t>
      </w:r>
      <w:r w:rsidRPr="002C1030">
        <w:rPr>
          <w:rFonts w:cstheme="minorHAnsi" w:hint="eastAsia"/>
          <w:color w:val="000000"/>
          <w:szCs w:val="24"/>
          <w:shd w:val="clear" w:color="auto" w:fill="FFFFFF"/>
          <w:lang w:eastAsia="zh-CN"/>
        </w:rPr>
        <w:t>备选的经重新评估的项目</w:t>
      </w:r>
      <w:r w:rsidRPr="0006108D">
        <w:rPr>
          <w:rFonts w:cstheme="minorHAnsi" w:hint="eastAsia"/>
          <w:szCs w:val="24"/>
          <w:lang w:eastAsia="zh-CN"/>
        </w:rPr>
        <w:t>的设计和实施满足国际电联的</w:t>
      </w:r>
      <w:r>
        <w:rPr>
          <w:rFonts w:cstheme="minorHAnsi" w:hint="eastAsia"/>
          <w:szCs w:val="24"/>
          <w:lang w:eastAsia="zh-CN"/>
        </w:rPr>
        <w:t>需求，</w:t>
      </w:r>
      <w:r w:rsidRPr="0006108D">
        <w:rPr>
          <w:rFonts w:cstheme="minorHAnsi" w:hint="eastAsia"/>
          <w:szCs w:val="24"/>
          <w:lang w:eastAsia="zh-CN"/>
        </w:rPr>
        <w:t>以便</w:t>
      </w:r>
      <w:r>
        <w:rPr>
          <w:rFonts w:cstheme="minorHAnsi" w:hint="eastAsia"/>
          <w:szCs w:val="24"/>
          <w:lang w:eastAsia="zh-CN"/>
        </w:rPr>
        <w:t>：</w:t>
      </w:r>
    </w:p>
    <w:p w14:paraId="61223DEB" w14:textId="77777777" w:rsidR="00FD4DE1" w:rsidRPr="0005504F" w:rsidRDefault="00FD4DE1" w:rsidP="00B50C97">
      <w:pPr>
        <w:pStyle w:val="enumlev1"/>
        <w:rPr>
          <w:lang w:eastAsia="zh-CN"/>
        </w:rPr>
      </w:pPr>
      <w:r w:rsidRPr="0090522C">
        <w:rPr>
          <w:lang w:eastAsia="zh-CN"/>
        </w:rPr>
        <w:t>a</w:t>
      </w:r>
      <w:r>
        <w:rPr>
          <w:rFonts w:hint="eastAsia"/>
          <w:lang w:eastAsia="zh-CN"/>
        </w:rPr>
        <w:t>)</w:t>
      </w:r>
      <w:r w:rsidRPr="0005504F">
        <w:rPr>
          <w:lang w:eastAsia="zh-CN"/>
        </w:rPr>
        <w:tab/>
      </w:r>
      <w:r w:rsidRPr="0006108D">
        <w:rPr>
          <w:rFonts w:hint="eastAsia"/>
          <w:lang w:eastAsia="zh-CN"/>
        </w:rPr>
        <w:t>就项目实施提出总体意见和建议</w:t>
      </w:r>
      <w:r>
        <w:rPr>
          <w:rFonts w:hint="eastAsia"/>
          <w:lang w:eastAsia="zh-CN"/>
        </w:rPr>
        <w:t>，</w:t>
      </w:r>
      <w:r w:rsidRPr="0006108D">
        <w:rPr>
          <w:rFonts w:hint="eastAsia"/>
          <w:lang w:eastAsia="zh-CN"/>
        </w:rPr>
        <w:t>以确保遵守时间表和预算</w:t>
      </w:r>
      <w:r>
        <w:rPr>
          <w:rFonts w:hint="eastAsia"/>
          <w:lang w:eastAsia="zh-CN"/>
        </w:rPr>
        <w:t>（</w:t>
      </w:r>
      <w:r w:rsidRPr="0006108D">
        <w:rPr>
          <w:rFonts w:hint="eastAsia"/>
          <w:lang w:eastAsia="zh-CN"/>
        </w:rPr>
        <w:t>不超过</w:t>
      </w:r>
      <w:r w:rsidRPr="0005504F">
        <w:rPr>
          <w:lang w:eastAsia="zh-CN"/>
        </w:rPr>
        <w:t>1.7269</w:t>
      </w:r>
      <w:r w:rsidRPr="0006108D">
        <w:rPr>
          <w:rFonts w:hint="eastAsia"/>
          <w:lang w:eastAsia="zh-CN"/>
        </w:rPr>
        <w:t>亿瑞郎</w:t>
      </w:r>
      <w:r>
        <w:rPr>
          <w:rFonts w:hint="eastAsia"/>
          <w:lang w:eastAsia="zh-CN"/>
        </w:rPr>
        <w:t>）；</w:t>
      </w:r>
    </w:p>
    <w:p w14:paraId="79AE41ED" w14:textId="77777777" w:rsidR="00FD4DE1" w:rsidRPr="0005504F" w:rsidRDefault="00FD4DE1" w:rsidP="00B50C97">
      <w:pPr>
        <w:pStyle w:val="enumlev1"/>
        <w:rPr>
          <w:lang w:eastAsia="zh-CN"/>
        </w:rPr>
      </w:pPr>
      <w:r w:rsidRPr="0090522C">
        <w:rPr>
          <w:lang w:eastAsia="zh-CN"/>
        </w:rPr>
        <w:t>b</w:t>
      </w:r>
      <w:r>
        <w:rPr>
          <w:rFonts w:hint="eastAsia"/>
          <w:lang w:eastAsia="zh-CN"/>
        </w:rPr>
        <w:t>)</w:t>
      </w:r>
      <w:r w:rsidRPr="0005504F">
        <w:rPr>
          <w:lang w:eastAsia="zh-CN"/>
        </w:rPr>
        <w:tab/>
      </w:r>
      <w:r w:rsidRPr="0006108D">
        <w:rPr>
          <w:rFonts w:hint="eastAsia"/>
          <w:lang w:eastAsia="zh-CN"/>
        </w:rPr>
        <w:t>就因</w:t>
      </w:r>
      <w:r>
        <w:rPr>
          <w:rFonts w:hint="eastAsia"/>
          <w:lang w:eastAsia="zh-CN"/>
        </w:rPr>
        <w:t>节余或者</w:t>
      </w:r>
      <w:r w:rsidRPr="0006108D">
        <w:rPr>
          <w:rFonts w:hint="eastAsia"/>
          <w:lang w:eastAsia="zh-CN"/>
        </w:rPr>
        <w:t>赞助或捐赠</w:t>
      </w:r>
      <w:r>
        <w:rPr>
          <w:rFonts w:hint="eastAsia"/>
          <w:lang w:eastAsia="zh-CN"/>
        </w:rPr>
        <w:t>方面</w:t>
      </w:r>
      <w:r w:rsidRPr="0006108D">
        <w:rPr>
          <w:rFonts w:hint="eastAsia"/>
          <w:lang w:eastAsia="zh-CN"/>
        </w:rPr>
        <w:t>的任何最终变化而导致的任何资金</w:t>
      </w:r>
      <w:r>
        <w:rPr>
          <w:rFonts w:hint="eastAsia"/>
          <w:lang w:eastAsia="zh-CN"/>
        </w:rPr>
        <w:t>变动</w:t>
      </w:r>
      <w:r w:rsidRPr="0006108D">
        <w:rPr>
          <w:rFonts w:hint="eastAsia"/>
          <w:lang w:eastAsia="zh-CN"/>
        </w:rPr>
        <w:t>提供指导</w:t>
      </w:r>
      <w:r>
        <w:rPr>
          <w:rFonts w:hint="eastAsia"/>
          <w:lang w:eastAsia="zh-CN"/>
        </w:rPr>
        <w:t>；以及</w:t>
      </w:r>
    </w:p>
    <w:p w14:paraId="2D240DF8" w14:textId="77777777" w:rsidR="00FD4DE1" w:rsidRPr="0005504F" w:rsidRDefault="00FD4DE1" w:rsidP="00B50C97">
      <w:pPr>
        <w:pStyle w:val="enumlev1"/>
        <w:rPr>
          <w:lang w:eastAsia="zh-CN"/>
        </w:rPr>
      </w:pPr>
      <w:r w:rsidRPr="0090522C">
        <w:rPr>
          <w:lang w:eastAsia="zh-CN"/>
        </w:rPr>
        <w:t>c</w:t>
      </w:r>
      <w:r>
        <w:rPr>
          <w:rFonts w:hint="eastAsia"/>
          <w:lang w:eastAsia="zh-CN"/>
        </w:rPr>
        <w:t>)</w:t>
      </w:r>
      <w:r w:rsidRPr="0005504F">
        <w:rPr>
          <w:lang w:eastAsia="zh-CN"/>
        </w:rPr>
        <w:tab/>
      </w:r>
      <w:r>
        <w:rPr>
          <w:rFonts w:hint="eastAsia"/>
          <w:lang w:eastAsia="zh-CN"/>
        </w:rPr>
        <w:t>就</w:t>
      </w:r>
      <w:r w:rsidRPr="0006108D">
        <w:rPr>
          <w:rFonts w:hint="eastAsia"/>
          <w:lang w:eastAsia="zh-CN"/>
        </w:rPr>
        <w:t>与赞助商和相关</w:t>
      </w:r>
      <w:r>
        <w:rPr>
          <w:rFonts w:hint="eastAsia"/>
          <w:lang w:eastAsia="zh-CN"/>
        </w:rPr>
        <w:t>各</w:t>
      </w:r>
      <w:r w:rsidRPr="0006108D">
        <w:rPr>
          <w:rFonts w:hint="eastAsia"/>
          <w:lang w:eastAsia="zh-CN"/>
        </w:rPr>
        <w:t>方的接触提供指导</w:t>
      </w:r>
      <w:r>
        <w:rPr>
          <w:rFonts w:hint="eastAsia"/>
          <w:lang w:eastAsia="zh-CN"/>
        </w:rPr>
        <w:t>；</w:t>
      </w:r>
    </w:p>
    <w:p w14:paraId="5B38BA16" w14:textId="77777777" w:rsidR="00FD4DE1" w:rsidRPr="0005504F" w:rsidRDefault="00FD4DE1" w:rsidP="00FD4DE1">
      <w:pPr>
        <w:rPr>
          <w:rFonts w:cstheme="minorHAnsi"/>
          <w:szCs w:val="24"/>
          <w:lang w:eastAsia="zh-CN"/>
        </w:rPr>
      </w:pPr>
      <w:r w:rsidRPr="0005504F">
        <w:rPr>
          <w:rFonts w:cstheme="minorHAnsi"/>
          <w:szCs w:val="24"/>
          <w:lang w:eastAsia="zh-CN"/>
        </w:rPr>
        <w:t>5</w:t>
      </w:r>
      <w:r w:rsidRPr="0005504F">
        <w:rPr>
          <w:rFonts w:cstheme="minorHAnsi"/>
          <w:szCs w:val="24"/>
          <w:lang w:eastAsia="zh-CN"/>
        </w:rPr>
        <w:tab/>
      </w:r>
      <w:r w:rsidRPr="0006108D">
        <w:rPr>
          <w:rFonts w:cstheme="minorHAnsi" w:hint="eastAsia"/>
          <w:szCs w:val="24"/>
          <w:lang w:eastAsia="zh-CN"/>
        </w:rPr>
        <w:t>定期向</w:t>
      </w:r>
      <w:r w:rsidRPr="0005504F">
        <w:rPr>
          <w:rFonts w:cstheme="minorHAnsi"/>
          <w:szCs w:val="24"/>
          <w:lang w:eastAsia="zh-CN"/>
        </w:rPr>
        <w:t>MSAG</w:t>
      </w:r>
      <w:r>
        <w:rPr>
          <w:rFonts w:cstheme="minorHAnsi" w:hint="eastAsia"/>
          <w:szCs w:val="24"/>
          <w:lang w:eastAsia="zh-CN"/>
        </w:rPr>
        <w:t>、</w:t>
      </w:r>
      <w:r w:rsidRPr="0005504F">
        <w:rPr>
          <w:rFonts w:cstheme="minorHAnsi"/>
          <w:szCs w:val="24"/>
          <w:lang w:eastAsia="zh-CN"/>
        </w:rPr>
        <w:t>CWG-FHR</w:t>
      </w:r>
      <w:r w:rsidRPr="0006108D">
        <w:rPr>
          <w:rFonts w:cstheme="minorHAnsi" w:hint="eastAsia"/>
          <w:szCs w:val="24"/>
          <w:lang w:eastAsia="zh-CN"/>
        </w:rPr>
        <w:t>和理事会</w:t>
      </w:r>
      <w:r>
        <w:rPr>
          <w:rFonts w:cstheme="minorHAnsi" w:hint="eastAsia"/>
          <w:szCs w:val="24"/>
          <w:lang w:eastAsia="zh-CN"/>
        </w:rPr>
        <w:t>通报</w:t>
      </w:r>
      <w:r w:rsidRPr="0006108D">
        <w:rPr>
          <w:rFonts w:cstheme="minorHAnsi" w:hint="eastAsia"/>
          <w:szCs w:val="24"/>
          <w:lang w:eastAsia="zh-CN"/>
        </w:rPr>
        <w:t>有关附件所述活动</w:t>
      </w:r>
      <w:r>
        <w:rPr>
          <w:rFonts w:cstheme="minorHAnsi" w:hint="eastAsia"/>
          <w:szCs w:val="24"/>
          <w:lang w:eastAsia="zh-CN"/>
        </w:rPr>
        <w:t>的</w:t>
      </w:r>
      <w:r w:rsidRPr="0006108D">
        <w:rPr>
          <w:rFonts w:cstheme="minorHAnsi" w:hint="eastAsia"/>
          <w:szCs w:val="24"/>
          <w:lang w:eastAsia="zh-CN"/>
        </w:rPr>
        <w:t>最新进展情况</w:t>
      </w:r>
      <w:r>
        <w:rPr>
          <w:rFonts w:cstheme="minorHAnsi" w:hint="eastAsia"/>
          <w:szCs w:val="24"/>
          <w:lang w:eastAsia="zh-CN"/>
        </w:rPr>
        <w:t>，</w:t>
      </w:r>
      <w:r w:rsidRPr="0006108D">
        <w:rPr>
          <w:rFonts w:cstheme="minorHAnsi" w:hint="eastAsia"/>
          <w:szCs w:val="24"/>
          <w:lang w:eastAsia="zh-CN"/>
        </w:rPr>
        <w:t>同时遵守采购规则</w:t>
      </w:r>
      <w:r>
        <w:rPr>
          <w:rFonts w:cstheme="minorHAnsi" w:hint="eastAsia"/>
          <w:szCs w:val="24"/>
          <w:lang w:eastAsia="zh-CN"/>
        </w:rPr>
        <w:t>；</w:t>
      </w:r>
    </w:p>
    <w:p w14:paraId="2A47B369" w14:textId="77777777" w:rsidR="00FD4DE1" w:rsidRPr="0005504F" w:rsidRDefault="00FD4DE1" w:rsidP="00FD4DE1">
      <w:pPr>
        <w:rPr>
          <w:rFonts w:cstheme="minorHAnsi"/>
          <w:szCs w:val="24"/>
          <w:lang w:eastAsia="zh-CN"/>
        </w:rPr>
      </w:pPr>
      <w:r w:rsidRPr="0005504F">
        <w:rPr>
          <w:rFonts w:cstheme="minorHAnsi"/>
          <w:szCs w:val="24"/>
          <w:lang w:eastAsia="zh-CN"/>
        </w:rPr>
        <w:t>6</w:t>
      </w:r>
      <w:r w:rsidRPr="0005504F">
        <w:rPr>
          <w:rFonts w:cstheme="minorHAnsi"/>
          <w:szCs w:val="24"/>
          <w:lang w:eastAsia="zh-CN"/>
        </w:rPr>
        <w:tab/>
      </w:r>
      <w:r w:rsidRPr="0006108D">
        <w:rPr>
          <w:rFonts w:cstheme="minorHAnsi" w:hint="eastAsia"/>
          <w:szCs w:val="24"/>
          <w:lang w:eastAsia="zh-CN"/>
        </w:rPr>
        <w:t>在整个设计和建造过程中继续与</w:t>
      </w:r>
      <w:r w:rsidRPr="0005504F">
        <w:rPr>
          <w:rFonts w:cstheme="minorHAnsi"/>
          <w:szCs w:val="24"/>
          <w:lang w:eastAsia="zh-CN"/>
        </w:rPr>
        <w:t>MSAG</w:t>
      </w:r>
      <w:r w:rsidRPr="0006108D">
        <w:rPr>
          <w:rFonts w:cstheme="minorHAnsi" w:hint="eastAsia"/>
          <w:szCs w:val="24"/>
          <w:lang w:eastAsia="zh-CN"/>
        </w:rPr>
        <w:t>协商</w:t>
      </w:r>
      <w:r>
        <w:rPr>
          <w:rFonts w:cstheme="minorHAnsi" w:hint="eastAsia"/>
          <w:szCs w:val="24"/>
          <w:lang w:eastAsia="zh-CN"/>
        </w:rPr>
        <w:t>，</w:t>
      </w:r>
      <w:r w:rsidRPr="0006108D">
        <w:rPr>
          <w:rFonts w:cstheme="minorHAnsi" w:hint="eastAsia"/>
          <w:szCs w:val="24"/>
          <w:lang w:eastAsia="zh-CN"/>
        </w:rPr>
        <w:t>同时遵守采购规则</w:t>
      </w:r>
      <w:r>
        <w:rPr>
          <w:rFonts w:cstheme="minorHAnsi" w:hint="eastAsia"/>
          <w:szCs w:val="24"/>
          <w:lang w:eastAsia="zh-CN"/>
        </w:rPr>
        <w:t>；</w:t>
      </w:r>
    </w:p>
    <w:p w14:paraId="1BBA9FAF" w14:textId="77777777" w:rsidR="00FD4DE1" w:rsidRPr="0005504F" w:rsidRDefault="00FD4DE1" w:rsidP="00FD4DE1">
      <w:pPr>
        <w:rPr>
          <w:rFonts w:cstheme="minorHAnsi"/>
          <w:szCs w:val="24"/>
          <w:lang w:eastAsia="zh-CN"/>
        </w:rPr>
      </w:pPr>
      <w:r w:rsidRPr="0005504F">
        <w:rPr>
          <w:rFonts w:cstheme="minorHAnsi"/>
          <w:szCs w:val="24"/>
          <w:lang w:eastAsia="zh-CN"/>
        </w:rPr>
        <w:t>7</w:t>
      </w:r>
      <w:r w:rsidRPr="0005504F">
        <w:rPr>
          <w:rFonts w:cstheme="minorHAnsi"/>
          <w:szCs w:val="24"/>
          <w:lang w:eastAsia="zh-CN"/>
        </w:rPr>
        <w:tab/>
      </w:r>
      <w:r w:rsidRPr="0006108D">
        <w:rPr>
          <w:rFonts w:cstheme="minorHAnsi" w:hint="eastAsia"/>
          <w:szCs w:val="24"/>
          <w:lang w:eastAsia="zh-CN"/>
        </w:rPr>
        <w:t>与包括</w:t>
      </w:r>
      <w:r w:rsidRPr="000E405E">
        <w:rPr>
          <w:rFonts w:cstheme="minorHAnsi" w:hint="eastAsia"/>
          <w:szCs w:val="24"/>
          <w:lang w:eastAsia="zh-CN"/>
        </w:rPr>
        <w:t>职工委员会</w:t>
      </w:r>
      <w:r w:rsidRPr="0006108D">
        <w:rPr>
          <w:rFonts w:cstheme="minorHAnsi" w:hint="eastAsia"/>
          <w:szCs w:val="24"/>
          <w:lang w:eastAsia="zh-CN"/>
        </w:rPr>
        <w:t>在内的相关内部利益</w:t>
      </w:r>
      <w:r w:rsidRPr="00F03C40">
        <w:rPr>
          <w:rFonts w:cstheme="minorHAnsi" w:hint="eastAsia"/>
          <w:szCs w:val="24"/>
          <w:lang w:eastAsia="zh-CN"/>
        </w:rPr>
        <w:t>攸关方磋商</w:t>
      </w:r>
      <w:r>
        <w:rPr>
          <w:rFonts w:cstheme="minorHAnsi" w:hint="eastAsia"/>
          <w:szCs w:val="24"/>
          <w:lang w:eastAsia="zh-CN"/>
        </w:rPr>
        <w:t>，</w:t>
      </w:r>
      <w:r w:rsidRPr="0006108D">
        <w:rPr>
          <w:rFonts w:cstheme="minorHAnsi" w:hint="eastAsia"/>
          <w:szCs w:val="24"/>
          <w:lang w:eastAsia="zh-CN"/>
        </w:rPr>
        <w:t>制定一项评估和战略规划</w:t>
      </w:r>
      <w:r>
        <w:rPr>
          <w:rFonts w:cstheme="minorHAnsi" w:hint="eastAsia"/>
          <w:szCs w:val="24"/>
          <w:lang w:eastAsia="zh-CN"/>
        </w:rPr>
        <w:t>，</w:t>
      </w:r>
      <w:r w:rsidRPr="0006108D">
        <w:rPr>
          <w:rFonts w:cstheme="minorHAnsi" w:hint="eastAsia"/>
          <w:szCs w:val="24"/>
          <w:lang w:eastAsia="zh-CN"/>
        </w:rPr>
        <w:t>就整个国际电联日内瓦办公区的长期愿景向</w:t>
      </w:r>
      <w:r w:rsidRPr="0006108D">
        <w:rPr>
          <w:rFonts w:cstheme="minorHAnsi" w:hint="eastAsia"/>
          <w:szCs w:val="24"/>
          <w:lang w:eastAsia="zh-CN"/>
        </w:rPr>
        <w:t>2025</w:t>
      </w:r>
      <w:r w:rsidRPr="0006108D">
        <w:rPr>
          <w:rFonts w:cstheme="minorHAnsi" w:hint="eastAsia"/>
          <w:szCs w:val="24"/>
          <w:lang w:eastAsia="zh-CN"/>
        </w:rPr>
        <w:t>年</w:t>
      </w:r>
      <w:r w:rsidRPr="0006108D">
        <w:rPr>
          <w:rFonts w:cstheme="minorHAnsi" w:hint="eastAsia"/>
          <w:szCs w:val="24"/>
          <w:lang w:eastAsia="zh-CN"/>
        </w:rPr>
        <w:t>1</w:t>
      </w:r>
      <w:r w:rsidRPr="0006108D">
        <w:rPr>
          <w:rFonts w:cstheme="minorHAnsi" w:hint="eastAsia"/>
          <w:szCs w:val="24"/>
          <w:lang w:eastAsia="zh-CN"/>
        </w:rPr>
        <w:t>月召开的</w:t>
      </w:r>
      <w:r w:rsidRPr="0005504F">
        <w:rPr>
          <w:rFonts w:cstheme="minorHAnsi"/>
          <w:szCs w:val="24"/>
          <w:lang w:eastAsia="zh-CN"/>
        </w:rPr>
        <w:t>CWG</w:t>
      </w:r>
      <w:r>
        <w:rPr>
          <w:rFonts w:cstheme="minorHAnsi"/>
          <w:szCs w:val="24"/>
          <w:lang w:eastAsia="zh-CN"/>
        </w:rPr>
        <w:noBreakHyphen/>
      </w:r>
      <w:r w:rsidRPr="0005504F">
        <w:rPr>
          <w:rFonts w:cstheme="minorHAnsi"/>
          <w:szCs w:val="24"/>
          <w:lang w:eastAsia="zh-CN"/>
        </w:rPr>
        <w:t>FHR</w:t>
      </w:r>
      <w:r w:rsidRPr="0006108D">
        <w:rPr>
          <w:rFonts w:cstheme="minorHAnsi" w:hint="eastAsia"/>
          <w:szCs w:val="24"/>
          <w:lang w:eastAsia="zh-CN"/>
        </w:rPr>
        <w:t>会议提交</w:t>
      </w:r>
      <w:r>
        <w:rPr>
          <w:rFonts w:cstheme="minorHAnsi" w:hint="eastAsia"/>
          <w:szCs w:val="24"/>
          <w:lang w:val="en-US" w:eastAsia="zh-CN"/>
        </w:rPr>
        <w:t>初步草案，</w:t>
      </w:r>
      <w:r w:rsidRPr="0006108D">
        <w:rPr>
          <w:rFonts w:cstheme="minorHAnsi" w:hint="eastAsia"/>
          <w:szCs w:val="24"/>
          <w:lang w:eastAsia="zh-CN"/>
        </w:rPr>
        <w:t>至少考虑以下因素</w:t>
      </w:r>
      <w:r>
        <w:rPr>
          <w:rFonts w:cstheme="minorHAnsi" w:hint="eastAsia"/>
          <w:szCs w:val="24"/>
          <w:lang w:eastAsia="zh-CN"/>
        </w:rPr>
        <w:t>：</w:t>
      </w:r>
    </w:p>
    <w:p w14:paraId="618CBC90" w14:textId="77777777" w:rsidR="00FD4DE1" w:rsidRPr="0005504F" w:rsidRDefault="00FD4DE1" w:rsidP="00B50C97">
      <w:pPr>
        <w:pStyle w:val="enumlev1"/>
        <w:rPr>
          <w:lang w:eastAsia="zh-CN"/>
        </w:rPr>
      </w:pPr>
      <w:r w:rsidRPr="0090522C">
        <w:rPr>
          <w:lang w:eastAsia="zh-CN"/>
        </w:rPr>
        <w:t>a</w:t>
      </w:r>
      <w:r>
        <w:rPr>
          <w:rFonts w:hint="eastAsia"/>
          <w:lang w:eastAsia="zh-CN"/>
        </w:rPr>
        <w:t>)</w:t>
      </w:r>
      <w:r w:rsidRPr="0005504F">
        <w:rPr>
          <w:lang w:eastAsia="zh-CN"/>
        </w:rPr>
        <w:tab/>
      </w:r>
      <w:r w:rsidRPr="0006108D">
        <w:rPr>
          <w:rFonts w:hint="eastAsia"/>
          <w:lang w:eastAsia="zh-CN"/>
        </w:rPr>
        <w:t>国际电联日内瓦</w:t>
      </w:r>
      <w:r>
        <w:rPr>
          <w:rFonts w:hint="eastAsia"/>
          <w:lang w:eastAsia="zh-CN"/>
        </w:rPr>
        <w:t>办公</w:t>
      </w:r>
      <w:r w:rsidRPr="00BE792F">
        <w:rPr>
          <w:rFonts w:hint="eastAsia"/>
          <w:lang w:eastAsia="zh-CN"/>
        </w:rPr>
        <w:t>区的总体财务影</w:t>
      </w:r>
      <w:r w:rsidRPr="0006108D">
        <w:rPr>
          <w:rFonts w:hint="eastAsia"/>
          <w:lang w:eastAsia="zh-CN"/>
        </w:rPr>
        <w:t>响和可持续性</w:t>
      </w:r>
      <w:r>
        <w:rPr>
          <w:rFonts w:hint="eastAsia"/>
          <w:lang w:eastAsia="zh-CN"/>
        </w:rPr>
        <w:t>；</w:t>
      </w:r>
    </w:p>
    <w:p w14:paraId="6F2ABECB" w14:textId="77777777" w:rsidR="00FD4DE1" w:rsidRPr="0005504F" w:rsidRDefault="00FD4DE1" w:rsidP="00B50C97">
      <w:pPr>
        <w:pStyle w:val="enumlev1"/>
        <w:rPr>
          <w:lang w:eastAsia="zh-CN"/>
        </w:rPr>
      </w:pPr>
      <w:r w:rsidRPr="0090522C">
        <w:rPr>
          <w:lang w:eastAsia="zh-CN"/>
        </w:rPr>
        <w:t>b</w:t>
      </w:r>
      <w:r>
        <w:rPr>
          <w:rFonts w:hint="eastAsia"/>
          <w:lang w:eastAsia="zh-CN"/>
        </w:rPr>
        <w:t>)</w:t>
      </w:r>
      <w:r w:rsidRPr="0005504F">
        <w:rPr>
          <w:lang w:eastAsia="zh-CN"/>
        </w:rPr>
        <w:tab/>
      </w:r>
      <w:r w:rsidRPr="0006108D">
        <w:rPr>
          <w:rFonts w:hint="eastAsia"/>
          <w:lang w:eastAsia="zh-CN"/>
        </w:rPr>
        <w:t>安全和安保要求</w:t>
      </w:r>
      <w:r>
        <w:rPr>
          <w:rFonts w:hint="eastAsia"/>
          <w:lang w:eastAsia="zh-CN"/>
        </w:rPr>
        <w:t>；</w:t>
      </w:r>
    </w:p>
    <w:p w14:paraId="55E673D2" w14:textId="77777777" w:rsidR="00FD4DE1" w:rsidRPr="0005504F" w:rsidRDefault="00FD4DE1" w:rsidP="00B50C97">
      <w:pPr>
        <w:pStyle w:val="enumlev1"/>
        <w:rPr>
          <w:lang w:eastAsia="zh-CN"/>
        </w:rPr>
      </w:pPr>
      <w:r w:rsidRPr="0090522C">
        <w:rPr>
          <w:lang w:eastAsia="zh-CN"/>
        </w:rPr>
        <w:t>c</w:t>
      </w:r>
      <w:r>
        <w:rPr>
          <w:rFonts w:hint="eastAsia"/>
          <w:lang w:eastAsia="zh-CN"/>
        </w:rPr>
        <w:t>)</w:t>
      </w:r>
      <w:r w:rsidRPr="0005504F">
        <w:rPr>
          <w:lang w:eastAsia="zh-CN"/>
        </w:rPr>
        <w:tab/>
      </w:r>
      <w:r w:rsidRPr="0006108D">
        <w:rPr>
          <w:rFonts w:hint="eastAsia"/>
          <w:lang w:eastAsia="zh-CN"/>
        </w:rPr>
        <w:t>管理和</w:t>
      </w:r>
      <w:r>
        <w:rPr>
          <w:rFonts w:hint="eastAsia"/>
          <w:lang w:eastAsia="zh-CN"/>
        </w:rPr>
        <w:t>运作</w:t>
      </w:r>
      <w:r w:rsidRPr="0006108D">
        <w:rPr>
          <w:rFonts w:hint="eastAsia"/>
          <w:lang w:eastAsia="zh-CN"/>
        </w:rPr>
        <w:t>要求</w:t>
      </w:r>
      <w:r>
        <w:rPr>
          <w:rFonts w:hint="eastAsia"/>
          <w:lang w:eastAsia="zh-CN"/>
        </w:rPr>
        <w:t>；</w:t>
      </w:r>
    </w:p>
    <w:p w14:paraId="04F625B8" w14:textId="77777777" w:rsidR="00FD4DE1" w:rsidRPr="0005504F" w:rsidRDefault="00FD4DE1" w:rsidP="00B50C97">
      <w:pPr>
        <w:pStyle w:val="enumlev1"/>
        <w:rPr>
          <w:lang w:eastAsia="zh-CN"/>
        </w:rPr>
      </w:pPr>
      <w:r w:rsidRPr="0090522C">
        <w:rPr>
          <w:lang w:eastAsia="zh-CN"/>
        </w:rPr>
        <w:t>d</w:t>
      </w:r>
      <w:r>
        <w:rPr>
          <w:rFonts w:hint="eastAsia"/>
          <w:lang w:eastAsia="zh-CN"/>
        </w:rPr>
        <w:t>)</w:t>
      </w:r>
      <w:r w:rsidRPr="0005504F">
        <w:rPr>
          <w:lang w:eastAsia="zh-CN"/>
        </w:rPr>
        <w:tab/>
      </w:r>
      <w:r w:rsidRPr="0006108D">
        <w:rPr>
          <w:rFonts w:hint="eastAsia"/>
          <w:lang w:eastAsia="zh-CN"/>
        </w:rPr>
        <w:t>优化所有设施的使用</w:t>
      </w:r>
      <w:r>
        <w:rPr>
          <w:rFonts w:hint="eastAsia"/>
          <w:lang w:eastAsia="zh-CN"/>
        </w:rPr>
        <w:t>；</w:t>
      </w:r>
    </w:p>
    <w:p w14:paraId="7211C2EE" w14:textId="77777777" w:rsidR="00FD4DE1" w:rsidRPr="0005504F" w:rsidRDefault="00FD4DE1" w:rsidP="00B50C97">
      <w:pPr>
        <w:pStyle w:val="enumlev1"/>
        <w:rPr>
          <w:lang w:eastAsia="zh-CN"/>
        </w:rPr>
      </w:pPr>
      <w:r w:rsidRPr="0090522C">
        <w:rPr>
          <w:lang w:eastAsia="zh-CN"/>
        </w:rPr>
        <w:t>e</w:t>
      </w:r>
      <w:r>
        <w:rPr>
          <w:rFonts w:hint="eastAsia"/>
          <w:lang w:eastAsia="zh-CN"/>
        </w:rPr>
        <w:t>)</w:t>
      </w:r>
      <w:r w:rsidRPr="0005504F">
        <w:rPr>
          <w:lang w:eastAsia="zh-CN"/>
        </w:rPr>
        <w:tab/>
      </w:r>
      <w:r w:rsidRPr="0006108D">
        <w:rPr>
          <w:rFonts w:hint="eastAsia"/>
          <w:lang w:eastAsia="zh-CN"/>
        </w:rPr>
        <w:t>确保业务连续性</w:t>
      </w:r>
      <w:r>
        <w:rPr>
          <w:rFonts w:hint="eastAsia"/>
          <w:lang w:eastAsia="zh-CN"/>
        </w:rPr>
        <w:t>；</w:t>
      </w:r>
    </w:p>
    <w:p w14:paraId="2E70226B" w14:textId="77777777" w:rsidR="00FD4DE1" w:rsidRPr="0005504F" w:rsidRDefault="00FD4DE1" w:rsidP="00B50C97">
      <w:pPr>
        <w:pStyle w:val="enumlev1"/>
        <w:rPr>
          <w:lang w:eastAsia="zh-CN"/>
        </w:rPr>
      </w:pPr>
      <w:r w:rsidRPr="0090522C">
        <w:rPr>
          <w:lang w:eastAsia="zh-CN"/>
        </w:rPr>
        <w:t>f</w:t>
      </w:r>
      <w:r>
        <w:rPr>
          <w:rFonts w:hint="eastAsia"/>
          <w:lang w:eastAsia="zh-CN"/>
        </w:rPr>
        <w:t>)</w:t>
      </w:r>
      <w:r w:rsidRPr="0005504F">
        <w:rPr>
          <w:lang w:eastAsia="zh-CN"/>
        </w:rPr>
        <w:tab/>
      </w:r>
      <w:r w:rsidRPr="0006108D">
        <w:rPr>
          <w:rFonts w:hint="eastAsia"/>
          <w:lang w:eastAsia="zh-CN"/>
        </w:rPr>
        <w:t>包括为整个国际电联日内瓦</w:t>
      </w:r>
      <w:r>
        <w:rPr>
          <w:rFonts w:hint="eastAsia"/>
          <w:lang w:eastAsia="zh-CN"/>
        </w:rPr>
        <w:t>办公</w:t>
      </w:r>
      <w:r w:rsidRPr="0006108D">
        <w:rPr>
          <w:rFonts w:hint="eastAsia"/>
          <w:lang w:eastAsia="zh-CN"/>
        </w:rPr>
        <w:t>区的维护划拨正常预算</w:t>
      </w:r>
      <w:r>
        <w:rPr>
          <w:rFonts w:hint="eastAsia"/>
          <w:lang w:eastAsia="zh-CN"/>
        </w:rPr>
        <w:t>；</w:t>
      </w:r>
    </w:p>
    <w:p w14:paraId="1EE52363" w14:textId="77777777" w:rsidR="00FD4DE1" w:rsidRPr="0005504F" w:rsidRDefault="00FD4DE1" w:rsidP="00B50C97">
      <w:pPr>
        <w:pStyle w:val="enumlev1"/>
        <w:rPr>
          <w:lang w:eastAsia="zh-CN"/>
        </w:rPr>
      </w:pPr>
      <w:r w:rsidRPr="0090522C">
        <w:rPr>
          <w:lang w:eastAsia="zh-CN"/>
        </w:rPr>
        <w:t>g</w:t>
      </w:r>
      <w:r>
        <w:rPr>
          <w:rFonts w:hint="eastAsia"/>
          <w:lang w:eastAsia="zh-CN"/>
        </w:rPr>
        <w:t>)</w:t>
      </w:r>
      <w:r w:rsidRPr="0005504F">
        <w:rPr>
          <w:lang w:eastAsia="zh-CN"/>
        </w:rPr>
        <w:tab/>
      </w:r>
      <w:r w:rsidRPr="0006108D">
        <w:rPr>
          <w:rFonts w:hint="eastAsia"/>
          <w:lang w:eastAsia="zh-CN"/>
        </w:rPr>
        <w:t>职员工作的灵活</w:t>
      </w:r>
      <w:r>
        <w:rPr>
          <w:rFonts w:hint="eastAsia"/>
          <w:lang w:eastAsia="zh-CN"/>
        </w:rPr>
        <w:t>性（</w:t>
      </w:r>
      <w:r w:rsidRPr="0006108D">
        <w:rPr>
          <w:rFonts w:hint="eastAsia"/>
          <w:lang w:eastAsia="zh-CN"/>
        </w:rPr>
        <w:t>即混合工作安排</w:t>
      </w:r>
      <w:r>
        <w:rPr>
          <w:rFonts w:hint="eastAsia"/>
          <w:lang w:eastAsia="zh-CN"/>
        </w:rPr>
        <w:t>）；</w:t>
      </w:r>
    </w:p>
    <w:p w14:paraId="578B4F80" w14:textId="77777777" w:rsidR="00FD4DE1" w:rsidRPr="0005504F" w:rsidRDefault="00FD4DE1" w:rsidP="00B50C97">
      <w:pPr>
        <w:pStyle w:val="enumlev1"/>
        <w:rPr>
          <w:lang w:eastAsia="zh-CN"/>
        </w:rPr>
      </w:pPr>
      <w:r w:rsidRPr="0090522C">
        <w:rPr>
          <w:lang w:eastAsia="zh-CN"/>
        </w:rPr>
        <w:t>h</w:t>
      </w:r>
      <w:r>
        <w:rPr>
          <w:rFonts w:hint="eastAsia"/>
          <w:lang w:eastAsia="zh-CN"/>
        </w:rPr>
        <w:t>)</w:t>
      </w:r>
      <w:r w:rsidRPr="0005504F">
        <w:rPr>
          <w:lang w:eastAsia="zh-CN"/>
        </w:rPr>
        <w:tab/>
      </w:r>
      <w:r w:rsidRPr="0006108D">
        <w:rPr>
          <w:rFonts w:hint="eastAsia"/>
          <w:lang w:eastAsia="zh-CN"/>
        </w:rPr>
        <w:t>国际电联日内瓦</w:t>
      </w:r>
      <w:r>
        <w:rPr>
          <w:rFonts w:hint="eastAsia"/>
          <w:lang w:eastAsia="zh-CN"/>
        </w:rPr>
        <w:t>办公</w:t>
      </w:r>
      <w:r w:rsidRPr="0006108D">
        <w:rPr>
          <w:rFonts w:hint="eastAsia"/>
          <w:lang w:eastAsia="zh-CN"/>
        </w:rPr>
        <w:t>区以外</w:t>
      </w:r>
      <w:r>
        <w:rPr>
          <w:rFonts w:hint="eastAsia"/>
          <w:lang w:eastAsia="zh-CN"/>
        </w:rPr>
        <w:t>的国际电联会议备选地点；以及</w:t>
      </w:r>
    </w:p>
    <w:p w14:paraId="1675C6BB" w14:textId="77777777" w:rsidR="00FD4DE1" w:rsidRPr="0005504F" w:rsidRDefault="00FD4DE1" w:rsidP="00B50C97">
      <w:pPr>
        <w:pStyle w:val="enumlev1"/>
        <w:rPr>
          <w:lang w:eastAsia="zh-CN"/>
        </w:rPr>
      </w:pPr>
      <w:proofErr w:type="spellStart"/>
      <w:r w:rsidRPr="0090522C">
        <w:rPr>
          <w:lang w:eastAsia="zh-CN"/>
        </w:rPr>
        <w:t>i</w:t>
      </w:r>
      <w:proofErr w:type="spellEnd"/>
      <w:r>
        <w:rPr>
          <w:rFonts w:hint="eastAsia"/>
          <w:lang w:eastAsia="zh-CN"/>
        </w:rPr>
        <w:t>)</w:t>
      </w:r>
      <w:r w:rsidRPr="0005504F">
        <w:rPr>
          <w:lang w:eastAsia="zh-CN"/>
        </w:rPr>
        <w:tab/>
      </w:r>
      <w:r w:rsidRPr="0006108D">
        <w:rPr>
          <w:rFonts w:hint="eastAsia"/>
          <w:lang w:eastAsia="zh-CN"/>
        </w:rPr>
        <w:t>酌情与战略规划和财务规划工作组</w:t>
      </w:r>
      <w:r>
        <w:rPr>
          <w:rFonts w:hint="eastAsia"/>
          <w:lang w:eastAsia="zh-CN"/>
        </w:rPr>
        <w:t>进行</w:t>
      </w:r>
      <w:r w:rsidRPr="0006108D">
        <w:rPr>
          <w:rFonts w:hint="eastAsia"/>
          <w:lang w:eastAsia="zh-CN"/>
        </w:rPr>
        <w:t>联络</w:t>
      </w:r>
      <w:r>
        <w:rPr>
          <w:rFonts w:hint="eastAsia"/>
          <w:lang w:eastAsia="zh-CN"/>
        </w:rPr>
        <w:t>；</w:t>
      </w:r>
    </w:p>
    <w:p w14:paraId="3F55B69F" w14:textId="77777777" w:rsidR="00FD4DE1" w:rsidRPr="0005504F" w:rsidRDefault="00FD4DE1" w:rsidP="00FD4DE1">
      <w:pPr>
        <w:rPr>
          <w:rFonts w:cstheme="minorHAnsi"/>
          <w:szCs w:val="24"/>
          <w:lang w:eastAsia="zh-CN"/>
        </w:rPr>
      </w:pPr>
      <w:r w:rsidRPr="0005504F">
        <w:rPr>
          <w:rFonts w:cstheme="minorHAnsi"/>
          <w:szCs w:val="24"/>
          <w:lang w:eastAsia="zh-CN"/>
        </w:rPr>
        <w:t>8</w:t>
      </w:r>
      <w:r w:rsidRPr="0005504F">
        <w:rPr>
          <w:rFonts w:cstheme="minorHAnsi"/>
          <w:szCs w:val="24"/>
          <w:lang w:eastAsia="zh-CN"/>
        </w:rPr>
        <w:tab/>
      </w:r>
      <w:r>
        <w:rPr>
          <w:rFonts w:cstheme="minorHAnsi" w:hint="eastAsia"/>
          <w:szCs w:val="24"/>
          <w:lang w:eastAsia="zh-CN"/>
        </w:rPr>
        <w:t>将</w:t>
      </w:r>
      <w:r w:rsidRPr="0006108D">
        <w:rPr>
          <w:rFonts w:cstheme="minorHAnsi" w:hint="eastAsia"/>
          <w:szCs w:val="24"/>
          <w:lang w:eastAsia="zh-CN"/>
        </w:rPr>
        <w:t>所有</w:t>
      </w:r>
      <w:r>
        <w:rPr>
          <w:rFonts w:cstheme="minorHAnsi" w:hint="eastAsia"/>
          <w:szCs w:val="24"/>
          <w:lang w:eastAsia="zh-CN"/>
        </w:rPr>
        <w:t>有关</w:t>
      </w:r>
      <w:r w:rsidRPr="007576CB">
        <w:rPr>
          <w:rFonts w:ascii="STKaiti" w:eastAsia="STKaiti" w:hAnsi="STKaiti" w:cstheme="minorHAnsi" w:hint="eastAsia"/>
          <w:szCs w:val="24"/>
          <w:lang w:eastAsia="zh-CN"/>
        </w:rPr>
        <w:t>责成秘书长</w:t>
      </w:r>
      <w:r w:rsidRPr="0005504F">
        <w:rPr>
          <w:rFonts w:cstheme="minorHAnsi"/>
          <w:szCs w:val="24"/>
          <w:lang w:eastAsia="zh-CN"/>
        </w:rPr>
        <w:t>7</w:t>
      </w:r>
      <w:r>
        <w:rPr>
          <w:rFonts w:cstheme="minorHAnsi" w:hint="eastAsia"/>
          <w:szCs w:val="24"/>
          <w:lang w:eastAsia="zh-CN"/>
        </w:rPr>
        <w:t>执行情况</w:t>
      </w:r>
      <w:r w:rsidRPr="0006108D">
        <w:rPr>
          <w:rFonts w:cstheme="minorHAnsi" w:hint="eastAsia"/>
          <w:szCs w:val="24"/>
          <w:lang w:eastAsia="zh-CN"/>
        </w:rPr>
        <w:t>的报告</w:t>
      </w:r>
      <w:r>
        <w:rPr>
          <w:rFonts w:cstheme="minorHAnsi" w:hint="eastAsia"/>
          <w:szCs w:val="24"/>
          <w:lang w:eastAsia="zh-CN"/>
        </w:rPr>
        <w:t>提交</w:t>
      </w:r>
      <w:r w:rsidRPr="0006108D">
        <w:rPr>
          <w:rFonts w:cstheme="minorHAnsi" w:hint="eastAsia"/>
          <w:szCs w:val="24"/>
          <w:lang w:eastAsia="zh-CN"/>
        </w:rPr>
        <w:t>国际电联理事会审议</w:t>
      </w:r>
      <w:r>
        <w:rPr>
          <w:rFonts w:cstheme="minorHAnsi" w:hint="eastAsia"/>
          <w:szCs w:val="24"/>
          <w:lang w:eastAsia="zh-CN"/>
        </w:rPr>
        <w:t>，</w:t>
      </w:r>
    </w:p>
    <w:p w14:paraId="564BBE90" w14:textId="77777777" w:rsidR="00FD4DE1" w:rsidRPr="007576CB" w:rsidRDefault="00FD4DE1" w:rsidP="00FD4DE1">
      <w:pPr>
        <w:pStyle w:val="Call"/>
        <w:rPr>
          <w:i/>
          <w:iCs/>
          <w:lang w:eastAsia="zh-CN"/>
        </w:rPr>
      </w:pPr>
      <w:r w:rsidRPr="00392252">
        <w:rPr>
          <w:rFonts w:eastAsia="STKaiti" w:hint="eastAsia"/>
          <w:iCs/>
          <w:lang w:eastAsia="zh-CN"/>
        </w:rPr>
        <w:t>进一步责成秘书长</w:t>
      </w:r>
    </w:p>
    <w:p w14:paraId="32DA7B1F" w14:textId="77777777" w:rsidR="00FD4DE1" w:rsidRPr="0005504F" w:rsidRDefault="00FD4DE1" w:rsidP="00FD4DE1">
      <w:pPr>
        <w:ind w:firstLineChars="200" w:firstLine="480"/>
        <w:rPr>
          <w:rFonts w:cstheme="minorHAnsi"/>
          <w:szCs w:val="24"/>
          <w:lang w:eastAsia="zh-CN"/>
        </w:rPr>
      </w:pPr>
      <w:r w:rsidRPr="0006108D">
        <w:rPr>
          <w:rFonts w:cstheme="minorHAnsi" w:hint="eastAsia"/>
          <w:szCs w:val="24"/>
          <w:lang w:eastAsia="zh-CN"/>
        </w:rPr>
        <w:t>根据</w:t>
      </w:r>
      <w:r>
        <w:rPr>
          <w:rFonts w:cstheme="minorHAnsi" w:hint="eastAsia"/>
          <w:szCs w:val="24"/>
          <w:lang w:eastAsia="zh-CN"/>
        </w:rPr>
        <w:t>《</w:t>
      </w:r>
      <w:r w:rsidRPr="0006108D">
        <w:rPr>
          <w:rFonts w:cstheme="minorHAnsi" w:hint="eastAsia"/>
          <w:szCs w:val="24"/>
          <w:lang w:eastAsia="zh-CN"/>
        </w:rPr>
        <w:t>公约</w:t>
      </w:r>
      <w:r>
        <w:rPr>
          <w:rFonts w:cstheme="minorHAnsi" w:hint="eastAsia"/>
          <w:szCs w:val="24"/>
          <w:lang w:eastAsia="zh-CN"/>
        </w:rPr>
        <w:t>》</w:t>
      </w:r>
      <w:r w:rsidRPr="0006108D">
        <w:rPr>
          <w:rFonts w:cstheme="minorHAnsi" w:hint="eastAsia"/>
          <w:szCs w:val="24"/>
          <w:lang w:eastAsia="zh-CN"/>
        </w:rPr>
        <w:t>第</w:t>
      </w:r>
      <w:r w:rsidRPr="0005504F">
        <w:rPr>
          <w:rFonts w:cstheme="minorHAnsi"/>
          <w:szCs w:val="24"/>
          <w:lang w:eastAsia="zh-CN"/>
        </w:rPr>
        <w:t>79</w:t>
      </w:r>
      <w:r w:rsidRPr="0006108D">
        <w:rPr>
          <w:rFonts w:cstheme="minorHAnsi" w:hint="eastAsia"/>
          <w:szCs w:val="24"/>
          <w:lang w:eastAsia="zh-CN"/>
        </w:rPr>
        <w:t>款</w:t>
      </w:r>
      <w:r>
        <w:rPr>
          <w:rFonts w:cstheme="minorHAnsi" w:hint="eastAsia"/>
          <w:szCs w:val="24"/>
          <w:lang w:eastAsia="zh-CN"/>
        </w:rPr>
        <w:t>，</w:t>
      </w:r>
      <w:r w:rsidRPr="0006108D">
        <w:rPr>
          <w:rFonts w:cstheme="minorHAnsi" w:hint="eastAsia"/>
          <w:szCs w:val="24"/>
          <w:lang w:eastAsia="zh-CN"/>
        </w:rPr>
        <w:t>就本决定与所有成员国进行磋商</w:t>
      </w:r>
      <w:r>
        <w:rPr>
          <w:rFonts w:cstheme="minorHAnsi" w:hint="eastAsia"/>
          <w:szCs w:val="24"/>
          <w:lang w:eastAsia="zh-CN"/>
        </w:rPr>
        <w:t>，</w:t>
      </w:r>
    </w:p>
    <w:p w14:paraId="02B221D1" w14:textId="77777777" w:rsidR="00FD4DE1" w:rsidRPr="007576CB" w:rsidRDefault="00FD4DE1" w:rsidP="00FD4DE1">
      <w:pPr>
        <w:pStyle w:val="Call"/>
        <w:rPr>
          <w:i/>
          <w:iCs/>
          <w:lang w:eastAsia="zh-CN"/>
        </w:rPr>
      </w:pPr>
      <w:r w:rsidRPr="00392252">
        <w:rPr>
          <w:rFonts w:eastAsia="STKaiti" w:hint="eastAsia"/>
          <w:iCs/>
          <w:lang w:eastAsia="zh-CN"/>
        </w:rPr>
        <w:t>责成成员国顾问组</w:t>
      </w:r>
    </w:p>
    <w:p w14:paraId="06C80255" w14:textId="77777777" w:rsidR="00FD4DE1" w:rsidRPr="0005504F" w:rsidRDefault="00FD4DE1" w:rsidP="00FD4DE1">
      <w:pPr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使</w:t>
      </w:r>
      <w:r w:rsidRPr="0006108D">
        <w:rPr>
          <w:rFonts w:cstheme="minorHAnsi" w:hint="eastAsia"/>
          <w:szCs w:val="24"/>
          <w:lang w:eastAsia="zh-CN"/>
        </w:rPr>
        <w:t>其职责范围与本决定保持一致</w:t>
      </w:r>
      <w:r>
        <w:rPr>
          <w:rFonts w:cstheme="minorHAnsi" w:hint="eastAsia"/>
          <w:szCs w:val="24"/>
          <w:lang w:eastAsia="zh-CN"/>
        </w:rPr>
        <w:t>，</w:t>
      </w:r>
      <w:r w:rsidRPr="0006108D">
        <w:rPr>
          <w:rFonts w:cstheme="minorHAnsi" w:hint="eastAsia"/>
          <w:szCs w:val="24"/>
          <w:lang w:eastAsia="zh-CN"/>
        </w:rPr>
        <w:t>并定期向</w:t>
      </w:r>
      <w:r w:rsidRPr="0005504F">
        <w:rPr>
          <w:rFonts w:cstheme="minorHAnsi"/>
          <w:szCs w:val="24"/>
          <w:lang w:eastAsia="zh-CN"/>
        </w:rPr>
        <w:t>CWG-FHR</w:t>
      </w:r>
      <w:r w:rsidRPr="0006108D">
        <w:rPr>
          <w:rFonts w:cstheme="minorHAnsi" w:hint="eastAsia"/>
          <w:szCs w:val="24"/>
          <w:lang w:eastAsia="zh-CN"/>
        </w:rPr>
        <w:t>提供最新情况和报告</w:t>
      </w:r>
      <w:r>
        <w:rPr>
          <w:rFonts w:cstheme="minorHAnsi" w:hint="eastAsia"/>
          <w:szCs w:val="24"/>
          <w:lang w:eastAsia="zh-CN"/>
        </w:rPr>
        <w:t>。</w:t>
      </w:r>
    </w:p>
    <w:p w14:paraId="420E1B39" w14:textId="77777777" w:rsidR="00FD4DE1" w:rsidRPr="0006108D" w:rsidRDefault="00FD4DE1" w:rsidP="00B50C97">
      <w:pPr>
        <w:spacing w:before="360"/>
        <w:rPr>
          <w:rFonts w:cstheme="minorHAnsi"/>
          <w:szCs w:val="24"/>
        </w:rPr>
      </w:pPr>
      <w:proofErr w:type="spellStart"/>
      <w:r w:rsidRPr="0090522C">
        <w:rPr>
          <w:rFonts w:ascii="STKaiti" w:eastAsia="STKaiti" w:hAnsi="STKaiti" w:cstheme="minorHAnsi" w:hint="eastAsia"/>
          <w:b/>
          <w:bCs/>
          <w:szCs w:val="24"/>
        </w:rPr>
        <w:t>附件</w:t>
      </w:r>
      <w:proofErr w:type="spellEnd"/>
      <w:r w:rsidRPr="0090522C">
        <w:rPr>
          <w:rFonts w:ascii="STKaiti" w:eastAsia="STKaiti" w:hAnsi="STKaiti" w:cstheme="minorHAnsi" w:hint="eastAsia"/>
          <w:b/>
          <w:bCs/>
          <w:szCs w:val="24"/>
          <w:lang w:eastAsia="zh-CN"/>
        </w:rPr>
        <w:t>：</w:t>
      </w:r>
      <w:r w:rsidRPr="0006108D">
        <w:rPr>
          <w:rFonts w:cstheme="minorHAnsi"/>
          <w:szCs w:val="24"/>
        </w:rPr>
        <w:t>1</w:t>
      </w:r>
      <w:r w:rsidRPr="0006108D">
        <w:rPr>
          <w:rFonts w:ascii="STKaiti" w:eastAsia="STKaiti" w:hAnsi="STKaiti" w:cstheme="minorHAnsi" w:hint="eastAsia"/>
          <w:szCs w:val="24"/>
          <w:lang w:eastAsia="zh-CN"/>
        </w:rPr>
        <w:t>件</w:t>
      </w:r>
      <w:r w:rsidRPr="0006108D">
        <w:rPr>
          <w:rFonts w:cstheme="minorHAnsi"/>
          <w:szCs w:val="24"/>
        </w:rPr>
        <w:br w:type="page"/>
      </w:r>
    </w:p>
    <w:p w14:paraId="323727D9" w14:textId="77777777" w:rsidR="00FD4DE1" w:rsidRPr="00D14196" w:rsidRDefault="00FD4DE1" w:rsidP="00FD4DE1">
      <w:pPr>
        <w:pStyle w:val="AnnexNo"/>
        <w:spacing w:after="240"/>
        <w:rPr>
          <w:rFonts w:cs="Calibri"/>
        </w:rPr>
      </w:pPr>
      <w:proofErr w:type="spellStart"/>
      <w:r w:rsidRPr="00D14196">
        <w:rPr>
          <w:rFonts w:cs="Calibri" w:hint="eastAsia"/>
        </w:rPr>
        <w:lastRenderedPageBreak/>
        <w:t>附件</w:t>
      </w:r>
      <w:proofErr w:type="spellEnd"/>
    </w:p>
    <w:tbl>
      <w:tblPr>
        <w:tblStyle w:val="TableGrid"/>
        <w:tblW w:w="8364" w:type="dxa"/>
        <w:jc w:val="center"/>
        <w:tblLook w:val="04A0" w:firstRow="1" w:lastRow="0" w:firstColumn="1" w:lastColumn="0" w:noHBand="0" w:noVBand="1"/>
      </w:tblPr>
      <w:tblGrid>
        <w:gridCol w:w="2547"/>
        <w:gridCol w:w="5817"/>
      </w:tblGrid>
      <w:tr w:rsidR="00FD4DE1" w:rsidRPr="00BF5507" w14:paraId="74FBF9A9" w14:textId="77777777" w:rsidTr="00E53A30">
        <w:trPr>
          <w:trHeight w:val="381"/>
          <w:jc w:val="center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8BB3" w14:textId="77777777" w:rsidR="00FD4DE1" w:rsidRPr="00BF5507" w:rsidRDefault="00FD4DE1" w:rsidP="00E53A30">
            <w:pPr>
              <w:pStyle w:val="Tablehead"/>
              <w:rPr>
                <w:rFonts w:eastAsia="SimSun"/>
                <w:szCs w:val="22"/>
                <w:lang w:eastAsia="zh-CN"/>
              </w:rPr>
            </w:pPr>
            <w:r w:rsidRPr="00BF5507">
              <w:rPr>
                <w:rFonts w:eastAsia="SimSun" w:hint="eastAsia"/>
                <w:szCs w:val="22"/>
                <w:lang w:eastAsia="zh-CN"/>
              </w:rPr>
              <w:t>备选的经重新评估的项目的范围</w:t>
            </w:r>
          </w:p>
        </w:tc>
      </w:tr>
      <w:tr w:rsidR="00FD4DE1" w:rsidRPr="00BF5507" w14:paraId="79A6D32C" w14:textId="77777777" w:rsidTr="00E53A30">
        <w:trPr>
          <w:trHeight w:val="81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CBF9" w14:textId="77777777" w:rsidR="00FD4DE1" w:rsidRPr="00BF5507" w:rsidRDefault="00FD4DE1" w:rsidP="00B50C97">
            <w:pPr>
              <w:pStyle w:val="Tabletext"/>
              <w:rPr>
                <w:rFonts w:eastAsia="SimSun"/>
                <w:b/>
                <w:bCs/>
                <w:szCs w:val="22"/>
              </w:rPr>
            </w:pPr>
            <w:proofErr w:type="spellStart"/>
            <w:r w:rsidRPr="00BF5507">
              <w:rPr>
                <w:rFonts w:eastAsia="SimSun" w:hint="eastAsia"/>
                <w:b/>
                <w:bCs/>
                <w:szCs w:val="22"/>
              </w:rPr>
              <w:t>会议设施</w:t>
            </w:r>
            <w:proofErr w:type="spellEnd"/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C16F" w14:textId="77777777" w:rsidR="00FD4DE1" w:rsidRPr="00BF5507" w:rsidRDefault="00FD4DE1" w:rsidP="00B50C97">
            <w:pPr>
              <w:pStyle w:val="Tabletext"/>
              <w:rPr>
                <w:rFonts w:eastAsia="SimSun"/>
                <w:szCs w:val="22"/>
                <w:lang w:eastAsia="zh-CN"/>
              </w:rPr>
            </w:pPr>
            <w:r w:rsidRPr="00BF5507">
              <w:rPr>
                <w:rFonts w:eastAsia="SimSun" w:hint="eastAsia"/>
                <w:b/>
                <w:bCs/>
                <w:szCs w:val="22"/>
                <w:lang w:eastAsia="zh-CN"/>
              </w:rPr>
              <w:t>大型会议室（沙特阿拉伯赞助）</w:t>
            </w:r>
            <w:r w:rsidRPr="00BF5507">
              <w:rPr>
                <w:rFonts w:eastAsia="SimSun"/>
                <w:szCs w:val="22"/>
                <w:lang w:eastAsia="zh-CN"/>
              </w:rPr>
              <w:br/>
            </w:r>
            <w:r w:rsidRPr="00BF5507">
              <w:rPr>
                <w:rFonts w:eastAsia="SimSun" w:hint="eastAsia"/>
                <w:szCs w:val="22"/>
                <w:lang w:eastAsia="zh-CN"/>
              </w:rPr>
              <w:t>约</w:t>
            </w:r>
            <w:r w:rsidRPr="00BF5507">
              <w:rPr>
                <w:rFonts w:eastAsia="Calibri"/>
                <w:szCs w:val="22"/>
                <w:lang w:eastAsia="zh-CN"/>
              </w:rPr>
              <w:t>500</w:t>
            </w:r>
            <w:r w:rsidRPr="00BF5507">
              <w:rPr>
                <w:rFonts w:eastAsia="SimSun" w:hint="eastAsia"/>
                <w:szCs w:val="22"/>
                <w:lang w:eastAsia="zh-CN"/>
              </w:rPr>
              <w:t>个座位</w:t>
            </w:r>
          </w:p>
          <w:p w14:paraId="0F9F9F16" w14:textId="77777777" w:rsidR="00FD4DE1" w:rsidRPr="00BF5507" w:rsidRDefault="00FD4DE1" w:rsidP="00B50C97">
            <w:pPr>
              <w:pStyle w:val="Tabletext"/>
              <w:spacing w:before="120"/>
              <w:rPr>
                <w:szCs w:val="22"/>
                <w:lang w:eastAsia="zh-CN"/>
              </w:rPr>
            </w:pPr>
            <w:r w:rsidRPr="00BF5507">
              <w:rPr>
                <w:rFonts w:eastAsia="SimSun" w:hint="eastAsia"/>
                <w:b/>
                <w:bCs/>
                <w:szCs w:val="22"/>
                <w:lang w:eastAsia="zh-CN"/>
              </w:rPr>
              <w:t>会议大厅</w:t>
            </w:r>
            <w:r w:rsidRPr="00BF5507">
              <w:rPr>
                <w:rFonts w:eastAsia="Calibri"/>
                <w:szCs w:val="22"/>
                <w:lang w:eastAsia="zh-CN"/>
              </w:rPr>
              <w:br/>
            </w:r>
            <w:r w:rsidRPr="00BF5507">
              <w:rPr>
                <w:rFonts w:eastAsia="SimSun" w:hint="eastAsia"/>
                <w:szCs w:val="22"/>
                <w:lang w:eastAsia="zh-CN"/>
              </w:rPr>
              <w:t>按比例大小相称</w:t>
            </w:r>
          </w:p>
        </w:tc>
      </w:tr>
      <w:tr w:rsidR="00FD4DE1" w:rsidRPr="00BF5507" w14:paraId="09195FD9" w14:textId="77777777" w:rsidTr="00E53A30">
        <w:trPr>
          <w:trHeight w:val="7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4A6E" w14:textId="77777777" w:rsidR="00FD4DE1" w:rsidRPr="00BF5507" w:rsidRDefault="00FD4DE1" w:rsidP="00B50C97">
            <w:pPr>
              <w:pStyle w:val="Tabletext"/>
              <w:rPr>
                <w:rFonts w:eastAsia="SimSun"/>
                <w:b/>
                <w:bCs/>
                <w:szCs w:val="22"/>
              </w:rPr>
            </w:pPr>
            <w:proofErr w:type="spellStart"/>
            <w:r w:rsidRPr="00BF5507">
              <w:rPr>
                <w:rFonts w:eastAsia="SimSun" w:hint="eastAsia"/>
                <w:b/>
                <w:bCs/>
                <w:szCs w:val="22"/>
              </w:rPr>
              <w:t>餐饮</w:t>
            </w:r>
            <w:proofErr w:type="spellEnd"/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12C8" w14:textId="77777777" w:rsidR="00FD4DE1" w:rsidRPr="00BF5507" w:rsidRDefault="00FD4DE1" w:rsidP="00B50C97">
            <w:pPr>
              <w:pStyle w:val="Tabletext"/>
              <w:rPr>
                <w:rFonts w:eastAsia="SimSun"/>
                <w:szCs w:val="22"/>
                <w:lang w:eastAsia="zh-CN"/>
              </w:rPr>
            </w:pPr>
            <w:r w:rsidRPr="00BF5507">
              <w:rPr>
                <w:rFonts w:eastAsia="SimSun" w:hint="eastAsia"/>
                <w:b/>
                <w:bCs/>
                <w:szCs w:val="22"/>
                <w:lang w:eastAsia="zh-CN"/>
              </w:rPr>
              <w:t>自助餐厅</w:t>
            </w:r>
            <w:r w:rsidRPr="00BF5507">
              <w:rPr>
                <w:rFonts w:eastAsia="Calibri"/>
                <w:szCs w:val="22"/>
                <w:lang w:eastAsia="zh-CN"/>
              </w:rPr>
              <w:br/>
            </w:r>
            <w:r w:rsidRPr="00BF5507">
              <w:rPr>
                <w:rFonts w:eastAsia="SimSun" w:hint="eastAsia"/>
                <w:szCs w:val="22"/>
                <w:lang w:eastAsia="zh-CN"/>
              </w:rPr>
              <w:t>约</w:t>
            </w:r>
            <w:r w:rsidRPr="00BF5507">
              <w:rPr>
                <w:rFonts w:eastAsia="Calibri"/>
                <w:szCs w:val="22"/>
                <w:lang w:eastAsia="zh-CN"/>
              </w:rPr>
              <w:t>150</w:t>
            </w:r>
            <w:r w:rsidRPr="00BF5507">
              <w:rPr>
                <w:rFonts w:eastAsia="SimSun" w:hint="eastAsia"/>
                <w:szCs w:val="22"/>
                <w:lang w:eastAsia="zh-CN"/>
              </w:rPr>
              <w:t>个座位的就餐区</w:t>
            </w:r>
          </w:p>
          <w:p w14:paraId="46C18508" w14:textId="77777777" w:rsidR="00FD4DE1" w:rsidRPr="00BF5507" w:rsidRDefault="00FD4DE1" w:rsidP="00B50C97">
            <w:pPr>
              <w:pStyle w:val="Tabletext"/>
              <w:spacing w:before="120"/>
              <w:rPr>
                <w:szCs w:val="22"/>
              </w:rPr>
            </w:pPr>
            <w:r w:rsidRPr="00BF5507">
              <w:rPr>
                <w:rFonts w:eastAsia="SimSun" w:hint="eastAsia"/>
                <w:b/>
                <w:bCs/>
                <w:szCs w:val="22"/>
                <w:lang w:eastAsia="zh-CN"/>
              </w:rPr>
              <w:t>代表休息区</w:t>
            </w:r>
            <w:r w:rsidRPr="00BF5507">
              <w:rPr>
                <w:rFonts w:eastAsia="Calibri"/>
                <w:szCs w:val="22"/>
              </w:rPr>
              <w:br/>
            </w:r>
            <w:r w:rsidRPr="00BF5507">
              <w:rPr>
                <w:rFonts w:eastAsia="SimSun" w:hint="eastAsia"/>
                <w:szCs w:val="22"/>
              </w:rPr>
              <w:t>约</w:t>
            </w:r>
            <w:r w:rsidRPr="00BF5507">
              <w:rPr>
                <w:rFonts w:eastAsia="Calibri"/>
                <w:szCs w:val="22"/>
              </w:rPr>
              <w:t>120</w:t>
            </w:r>
            <w:proofErr w:type="spellStart"/>
            <w:r w:rsidRPr="00BF5507">
              <w:rPr>
                <w:rFonts w:eastAsia="SimSun" w:hint="eastAsia"/>
                <w:szCs w:val="22"/>
              </w:rPr>
              <w:t>个座位</w:t>
            </w:r>
            <w:proofErr w:type="spellEnd"/>
          </w:p>
        </w:tc>
      </w:tr>
      <w:tr w:rsidR="00FD4DE1" w:rsidRPr="00BF5507" w14:paraId="69AF0E01" w14:textId="77777777" w:rsidTr="00E53A30">
        <w:trPr>
          <w:trHeight w:val="1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B670" w14:textId="77777777" w:rsidR="00FD4DE1" w:rsidRPr="00BF5507" w:rsidRDefault="00FD4DE1" w:rsidP="00B50C97">
            <w:pPr>
              <w:pStyle w:val="Tabletext"/>
              <w:rPr>
                <w:rFonts w:eastAsia="SimSun"/>
                <w:b/>
                <w:bCs/>
                <w:szCs w:val="22"/>
              </w:rPr>
            </w:pPr>
            <w:proofErr w:type="spellStart"/>
            <w:r w:rsidRPr="00BF5507">
              <w:rPr>
                <w:rFonts w:eastAsia="SimSun" w:hint="eastAsia"/>
                <w:b/>
                <w:bCs/>
                <w:szCs w:val="22"/>
              </w:rPr>
              <w:t>会议室</w:t>
            </w:r>
            <w:proofErr w:type="spellEnd"/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BFC6" w14:textId="77777777" w:rsidR="00FD4DE1" w:rsidRPr="00BF5507" w:rsidRDefault="00FD4DE1" w:rsidP="00B50C97">
            <w:pPr>
              <w:pStyle w:val="Tabletext"/>
              <w:rPr>
                <w:szCs w:val="22"/>
              </w:rPr>
            </w:pPr>
            <w:r w:rsidRPr="00BF5507">
              <w:rPr>
                <w:rFonts w:eastAsia="SimSun" w:hint="eastAsia"/>
                <w:szCs w:val="22"/>
              </w:rPr>
              <w:t>约</w:t>
            </w:r>
            <w:r w:rsidRPr="00BF5507">
              <w:rPr>
                <w:szCs w:val="22"/>
              </w:rPr>
              <w:t>23</w:t>
            </w:r>
            <w:proofErr w:type="spellStart"/>
            <w:r w:rsidRPr="00BF5507">
              <w:rPr>
                <w:rFonts w:eastAsia="SimSun" w:hint="eastAsia"/>
                <w:szCs w:val="22"/>
              </w:rPr>
              <w:t>个会议室</w:t>
            </w:r>
            <w:proofErr w:type="spellEnd"/>
          </w:p>
        </w:tc>
      </w:tr>
      <w:tr w:rsidR="00FD4DE1" w:rsidRPr="00BF5507" w14:paraId="09F86460" w14:textId="77777777" w:rsidTr="00E53A30">
        <w:trPr>
          <w:trHeight w:val="4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3EF6" w14:textId="77777777" w:rsidR="00FD4DE1" w:rsidRPr="00BF5507" w:rsidRDefault="00FD4DE1" w:rsidP="00B50C97">
            <w:pPr>
              <w:pStyle w:val="Tabletext"/>
              <w:rPr>
                <w:rFonts w:eastAsia="SimSun"/>
                <w:b/>
                <w:bCs/>
                <w:szCs w:val="22"/>
              </w:rPr>
            </w:pPr>
            <w:proofErr w:type="spellStart"/>
            <w:r w:rsidRPr="00BF5507">
              <w:rPr>
                <w:rFonts w:eastAsia="SimSun" w:hint="eastAsia"/>
                <w:b/>
                <w:bCs/>
                <w:szCs w:val="22"/>
              </w:rPr>
              <w:t>工作区</w:t>
            </w:r>
            <w:proofErr w:type="spellEnd"/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5436" w14:textId="77777777" w:rsidR="00FD4DE1" w:rsidRPr="00BF5507" w:rsidRDefault="00FD4DE1" w:rsidP="00B50C97">
            <w:pPr>
              <w:pStyle w:val="Tabletext"/>
              <w:rPr>
                <w:szCs w:val="22"/>
              </w:rPr>
            </w:pPr>
            <w:r w:rsidRPr="00BF5507">
              <w:rPr>
                <w:rFonts w:eastAsia="SimSun" w:hint="eastAsia"/>
                <w:szCs w:val="22"/>
              </w:rPr>
              <w:t>约</w:t>
            </w:r>
            <w:r w:rsidRPr="00BF5507">
              <w:rPr>
                <w:rFonts w:eastAsia="Calibri"/>
                <w:szCs w:val="22"/>
              </w:rPr>
              <w:t>200</w:t>
            </w:r>
            <w:proofErr w:type="spellStart"/>
            <w:r w:rsidRPr="00BF5507">
              <w:rPr>
                <w:rFonts w:eastAsia="SimSun" w:hint="eastAsia"/>
                <w:szCs w:val="22"/>
              </w:rPr>
              <w:t>个座位</w:t>
            </w:r>
            <w:proofErr w:type="spellEnd"/>
          </w:p>
        </w:tc>
      </w:tr>
      <w:tr w:rsidR="00FD4DE1" w:rsidRPr="00BF5507" w14:paraId="7F4280A7" w14:textId="77777777" w:rsidTr="00E53A30">
        <w:trPr>
          <w:trHeight w:val="4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78AA" w14:textId="77777777" w:rsidR="00FD4DE1" w:rsidRPr="00BF5507" w:rsidRDefault="00FD4DE1" w:rsidP="00B50C97">
            <w:pPr>
              <w:pStyle w:val="Tabletext"/>
              <w:rPr>
                <w:rFonts w:eastAsia="SimSun"/>
                <w:b/>
                <w:bCs/>
                <w:szCs w:val="22"/>
              </w:rPr>
            </w:pPr>
            <w:proofErr w:type="spellStart"/>
            <w:r w:rsidRPr="00BF5507">
              <w:rPr>
                <w:rFonts w:eastAsia="SimSun" w:hint="eastAsia"/>
                <w:b/>
                <w:bCs/>
                <w:szCs w:val="22"/>
              </w:rPr>
              <w:t>基本便利设施</w:t>
            </w:r>
            <w:proofErr w:type="spellEnd"/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D7AA" w14:textId="77777777" w:rsidR="00FD4DE1" w:rsidRPr="00BF5507" w:rsidRDefault="00FD4DE1" w:rsidP="00B50C97">
            <w:pPr>
              <w:pStyle w:val="Tabletext"/>
              <w:rPr>
                <w:szCs w:val="22"/>
              </w:rPr>
            </w:pPr>
            <w:proofErr w:type="spellStart"/>
            <w:r w:rsidRPr="00BF5507">
              <w:rPr>
                <w:rFonts w:eastAsia="SimSun" w:hint="eastAsia"/>
                <w:szCs w:val="22"/>
              </w:rPr>
              <w:t>足以支持上述设施</w:t>
            </w:r>
            <w:proofErr w:type="spellEnd"/>
          </w:p>
        </w:tc>
      </w:tr>
      <w:tr w:rsidR="00FD4DE1" w:rsidRPr="00BF5507" w14:paraId="27D64D54" w14:textId="77777777" w:rsidTr="00E53A30">
        <w:trPr>
          <w:trHeight w:val="4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7616" w14:textId="77777777" w:rsidR="00FD4DE1" w:rsidRPr="00BF5507" w:rsidRDefault="00FD4DE1" w:rsidP="00B50C97">
            <w:pPr>
              <w:pStyle w:val="Tabletext"/>
              <w:rPr>
                <w:rFonts w:eastAsia="SimSun"/>
                <w:b/>
                <w:bCs/>
                <w:szCs w:val="22"/>
              </w:rPr>
            </w:pPr>
            <w:proofErr w:type="spellStart"/>
            <w:r w:rsidRPr="00BF5507">
              <w:rPr>
                <w:rFonts w:eastAsia="SimSun" w:hint="eastAsia"/>
                <w:b/>
                <w:bCs/>
                <w:szCs w:val="22"/>
              </w:rPr>
              <w:t>预计建筑尺寸</w:t>
            </w:r>
            <w:proofErr w:type="spellEnd"/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07BB" w14:textId="77777777" w:rsidR="00FD4DE1" w:rsidRPr="00BF5507" w:rsidRDefault="00FD4DE1" w:rsidP="00B50C97">
            <w:pPr>
              <w:pStyle w:val="Tabletext"/>
              <w:rPr>
                <w:szCs w:val="22"/>
                <w:lang w:eastAsia="zh-CN"/>
              </w:rPr>
            </w:pPr>
            <w:r w:rsidRPr="00BF5507">
              <w:rPr>
                <w:rFonts w:eastAsia="SimSun" w:hint="eastAsia"/>
                <w:szCs w:val="22"/>
                <w:lang w:eastAsia="zh-CN"/>
              </w:rPr>
              <w:t>约</w:t>
            </w:r>
            <w:r w:rsidRPr="00BF5507">
              <w:rPr>
                <w:szCs w:val="22"/>
                <w:lang w:eastAsia="zh-CN"/>
              </w:rPr>
              <w:t>15</w:t>
            </w:r>
            <w:r>
              <w:rPr>
                <w:szCs w:val="22"/>
                <w:lang w:eastAsia="zh-CN"/>
              </w:rPr>
              <w:t> </w:t>
            </w:r>
            <w:r w:rsidRPr="00BF5507">
              <w:rPr>
                <w:szCs w:val="22"/>
                <w:lang w:eastAsia="zh-CN"/>
              </w:rPr>
              <w:t>000</w:t>
            </w:r>
            <w:r w:rsidRPr="00BF5507">
              <w:rPr>
                <w:rFonts w:eastAsia="SimSun" w:hint="eastAsia"/>
                <w:szCs w:val="22"/>
                <w:lang w:eastAsia="zh-CN"/>
              </w:rPr>
              <w:t>平方米（与其将要取代的办公楼面积相似）</w:t>
            </w:r>
          </w:p>
        </w:tc>
      </w:tr>
    </w:tbl>
    <w:p w14:paraId="6361526D" w14:textId="77777777" w:rsidR="00FD4DE1" w:rsidRPr="00D14196" w:rsidRDefault="00FD4DE1" w:rsidP="00FD4DE1">
      <w:pPr>
        <w:spacing w:before="720"/>
        <w:rPr>
          <w:rFonts w:cs="Calibri"/>
          <w:szCs w:val="24"/>
          <w:lang w:eastAsia="zh-CN"/>
        </w:rPr>
      </w:pPr>
    </w:p>
    <w:tbl>
      <w:tblPr>
        <w:tblStyle w:val="TableGrid"/>
        <w:tblW w:w="8364" w:type="dxa"/>
        <w:jc w:val="center"/>
        <w:tblLook w:val="0420" w:firstRow="1" w:lastRow="0" w:firstColumn="0" w:lastColumn="0" w:noHBand="0" w:noVBand="1"/>
      </w:tblPr>
      <w:tblGrid>
        <w:gridCol w:w="4182"/>
        <w:gridCol w:w="4182"/>
      </w:tblGrid>
      <w:tr w:rsidR="00FD4DE1" w:rsidRPr="00BF5507" w14:paraId="59D2E1C7" w14:textId="77777777" w:rsidTr="00E53A30">
        <w:trPr>
          <w:trHeight w:val="47"/>
          <w:jc w:val="center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014E" w14:textId="77777777" w:rsidR="00FD4DE1" w:rsidRPr="00BF5507" w:rsidRDefault="00FD4DE1" w:rsidP="00E53A30">
            <w:pPr>
              <w:pStyle w:val="Tablehead"/>
              <w:rPr>
                <w:rFonts w:eastAsia="SimSun"/>
                <w:szCs w:val="22"/>
                <w:lang w:eastAsia="zh-CN"/>
              </w:rPr>
            </w:pPr>
            <w:r w:rsidRPr="00BF5507">
              <w:rPr>
                <w:rFonts w:eastAsia="SimSun" w:hint="eastAsia"/>
                <w:szCs w:val="22"/>
                <w:lang w:eastAsia="zh-CN"/>
              </w:rPr>
              <w:t>秘书处应遵守的备选的经重新评估的项目的阶段性目标</w:t>
            </w:r>
          </w:p>
        </w:tc>
      </w:tr>
      <w:tr w:rsidR="00FD4DE1" w:rsidRPr="00BF5507" w14:paraId="148758E2" w14:textId="77777777" w:rsidTr="00E53A30">
        <w:trPr>
          <w:trHeight w:val="55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456" w14:textId="77777777" w:rsidR="00FD4DE1" w:rsidRPr="00BF5507" w:rsidRDefault="00FD4DE1" w:rsidP="00E53A30">
            <w:pPr>
              <w:pStyle w:val="Tabletext"/>
              <w:rPr>
                <w:rFonts w:eastAsia="SimSun"/>
                <w:b/>
                <w:bCs/>
                <w:szCs w:val="22"/>
              </w:rPr>
            </w:pPr>
            <w:r w:rsidRPr="00BF5507">
              <w:rPr>
                <w:rFonts w:eastAsia="SimSun" w:hint="eastAsia"/>
                <w:b/>
                <w:bCs/>
                <w:szCs w:val="22"/>
                <w:lang w:eastAsia="zh-CN"/>
              </w:rPr>
              <w:t>决定磋商流程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013" w14:textId="77777777" w:rsidR="00FD4DE1" w:rsidRPr="00BF5507" w:rsidRDefault="00FD4DE1" w:rsidP="00E53A30">
            <w:pPr>
              <w:pStyle w:val="Tabletext"/>
              <w:jc w:val="center"/>
              <w:rPr>
                <w:rFonts w:eastAsia="SimSun"/>
                <w:szCs w:val="22"/>
              </w:rPr>
            </w:pPr>
            <w:r w:rsidRPr="00BF5507">
              <w:rPr>
                <w:rFonts w:eastAsia="SimSun"/>
                <w:szCs w:val="22"/>
              </w:rPr>
              <w:t>2024</w:t>
            </w:r>
            <w:proofErr w:type="spellStart"/>
            <w:r w:rsidRPr="00BF5507">
              <w:rPr>
                <w:rFonts w:eastAsia="SimSun" w:hint="eastAsia"/>
                <w:szCs w:val="22"/>
              </w:rPr>
              <w:t>年第</w:t>
            </w:r>
            <w:proofErr w:type="spellEnd"/>
            <w:r w:rsidRPr="00BF5507">
              <w:rPr>
                <w:rFonts w:eastAsia="SimSun"/>
                <w:szCs w:val="22"/>
              </w:rPr>
              <w:t>3</w:t>
            </w:r>
            <w:proofErr w:type="spellStart"/>
            <w:r w:rsidRPr="00BF5507">
              <w:rPr>
                <w:rFonts w:eastAsia="SimSun" w:hint="eastAsia"/>
                <w:szCs w:val="22"/>
              </w:rPr>
              <w:t>季度</w:t>
            </w:r>
            <w:proofErr w:type="spellEnd"/>
          </w:p>
        </w:tc>
      </w:tr>
      <w:tr w:rsidR="00FD4DE1" w:rsidRPr="00BF5507" w14:paraId="25CB2085" w14:textId="77777777" w:rsidTr="00E53A30">
        <w:trPr>
          <w:trHeight w:val="55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92DF" w14:textId="77777777" w:rsidR="00FD4DE1" w:rsidRPr="00BF5507" w:rsidRDefault="00FD4DE1" w:rsidP="00E53A30">
            <w:pPr>
              <w:pStyle w:val="Tabletext"/>
              <w:rPr>
                <w:rFonts w:eastAsia="SimSun"/>
                <w:b/>
                <w:bCs/>
                <w:szCs w:val="22"/>
              </w:rPr>
            </w:pPr>
            <w:proofErr w:type="spellStart"/>
            <w:r w:rsidRPr="00BF5507">
              <w:rPr>
                <w:rFonts w:eastAsia="SimSun" w:hint="eastAsia"/>
                <w:b/>
                <w:bCs/>
                <w:szCs w:val="22"/>
              </w:rPr>
              <w:t>规划</w:t>
            </w:r>
            <w:proofErr w:type="spellEnd"/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3467" w14:textId="77777777" w:rsidR="00FD4DE1" w:rsidRPr="00BF5507" w:rsidRDefault="00FD4DE1" w:rsidP="00E53A30">
            <w:pPr>
              <w:pStyle w:val="Tabletext"/>
              <w:jc w:val="center"/>
              <w:rPr>
                <w:rFonts w:eastAsia="SimSun"/>
                <w:szCs w:val="22"/>
              </w:rPr>
            </w:pPr>
            <w:r w:rsidRPr="00BF5507">
              <w:rPr>
                <w:rFonts w:eastAsia="SimSun"/>
                <w:szCs w:val="22"/>
              </w:rPr>
              <w:t>2024-2025</w:t>
            </w:r>
            <w:r w:rsidRPr="00BF5507">
              <w:rPr>
                <w:rFonts w:eastAsia="SimSun" w:hint="eastAsia"/>
                <w:szCs w:val="22"/>
              </w:rPr>
              <w:t>年</w:t>
            </w:r>
          </w:p>
        </w:tc>
      </w:tr>
      <w:tr w:rsidR="00FD4DE1" w:rsidRPr="00BF5507" w14:paraId="03396B7F" w14:textId="77777777" w:rsidTr="00E53A30">
        <w:trPr>
          <w:trHeight w:val="47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64A1" w14:textId="77777777" w:rsidR="00FD4DE1" w:rsidRPr="00BF5507" w:rsidRDefault="00FD4DE1" w:rsidP="00E53A30">
            <w:pPr>
              <w:pStyle w:val="Tabletext"/>
              <w:jc w:val="center"/>
              <w:rPr>
                <w:rFonts w:eastAsia="SimSun"/>
                <w:szCs w:val="22"/>
              </w:rPr>
            </w:pPr>
            <w:proofErr w:type="spellStart"/>
            <w:r w:rsidRPr="00BF5507">
              <w:rPr>
                <w:rFonts w:eastAsia="SimSun" w:hint="eastAsia"/>
                <w:szCs w:val="22"/>
              </w:rPr>
              <w:t>建筑师资格预审</w:t>
            </w:r>
            <w:proofErr w:type="spellEnd"/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E48" w14:textId="77777777" w:rsidR="00FD4DE1" w:rsidRPr="00BF5507" w:rsidRDefault="00FD4DE1" w:rsidP="00E53A30">
            <w:pPr>
              <w:pStyle w:val="Tabletext"/>
              <w:jc w:val="center"/>
              <w:rPr>
                <w:rFonts w:eastAsia="SimSun"/>
                <w:szCs w:val="22"/>
              </w:rPr>
            </w:pPr>
            <w:r w:rsidRPr="00BF5507">
              <w:rPr>
                <w:rFonts w:eastAsia="SimSun"/>
                <w:szCs w:val="22"/>
              </w:rPr>
              <w:t>2024</w:t>
            </w:r>
            <w:proofErr w:type="spellStart"/>
            <w:r w:rsidRPr="00BF5507">
              <w:rPr>
                <w:rFonts w:eastAsia="SimSun" w:hint="eastAsia"/>
                <w:szCs w:val="22"/>
              </w:rPr>
              <w:t>年第</w:t>
            </w:r>
            <w:proofErr w:type="spellEnd"/>
            <w:r w:rsidRPr="00BF5507">
              <w:rPr>
                <w:rFonts w:eastAsia="SimSun"/>
                <w:szCs w:val="22"/>
              </w:rPr>
              <w:t>4</w:t>
            </w:r>
            <w:proofErr w:type="spellStart"/>
            <w:r w:rsidRPr="00BF5507">
              <w:rPr>
                <w:rFonts w:eastAsia="SimSun" w:hint="eastAsia"/>
                <w:szCs w:val="22"/>
              </w:rPr>
              <w:t>季度</w:t>
            </w:r>
            <w:proofErr w:type="spellEnd"/>
          </w:p>
        </w:tc>
      </w:tr>
      <w:tr w:rsidR="00FD4DE1" w:rsidRPr="00BF5507" w14:paraId="543EE0A3" w14:textId="77777777" w:rsidTr="00E53A30">
        <w:trPr>
          <w:trHeight w:val="47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AB9" w14:textId="77777777" w:rsidR="00FD4DE1" w:rsidRPr="00BF5507" w:rsidRDefault="00FD4DE1" w:rsidP="00E53A30">
            <w:pPr>
              <w:pStyle w:val="Tabletext"/>
              <w:jc w:val="center"/>
              <w:rPr>
                <w:rFonts w:eastAsia="SimSun"/>
                <w:szCs w:val="22"/>
              </w:rPr>
            </w:pPr>
            <w:proofErr w:type="spellStart"/>
            <w:r w:rsidRPr="00BF5507">
              <w:rPr>
                <w:rFonts w:eastAsia="SimSun" w:hint="eastAsia"/>
                <w:szCs w:val="22"/>
              </w:rPr>
              <w:t>选定建筑师</w:t>
            </w:r>
            <w:proofErr w:type="spellEnd"/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EE7" w14:textId="77777777" w:rsidR="00FD4DE1" w:rsidRPr="00BF5507" w:rsidRDefault="00FD4DE1" w:rsidP="00E53A30">
            <w:pPr>
              <w:pStyle w:val="Tabletext"/>
              <w:jc w:val="center"/>
              <w:rPr>
                <w:rFonts w:eastAsia="SimSun"/>
                <w:szCs w:val="22"/>
              </w:rPr>
            </w:pPr>
            <w:r w:rsidRPr="00BF5507">
              <w:rPr>
                <w:rFonts w:eastAsia="SimSun"/>
                <w:szCs w:val="22"/>
              </w:rPr>
              <w:t>2025</w:t>
            </w:r>
            <w:proofErr w:type="spellStart"/>
            <w:r w:rsidRPr="00BF5507">
              <w:rPr>
                <w:rFonts w:eastAsia="SimSun" w:hint="eastAsia"/>
                <w:szCs w:val="22"/>
              </w:rPr>
              <w:t>年第</w:t>
            </w:r>
            <w:proofErr w:type="spellEnd"/>
            <w:r w:rsidRPr="00BF5507">
              <w:rPr>
                <w:rFonts w:eastAsia="SimSun" w:hint="eastAsia"/>
                <w:szCs w:val="22"/>
              </w:rPr>
              <w:t>1</w:t>
            </w:r>
            <w:proofErr w:type="spellStart"/>
            <w:r w:rsidRPr="00BF5507">
              <w:rPr>
                <w:rFonts w:eastAsia="SimSun" w:hint="eastAsia"/>
                <w:szCs w:val="22"/>
              </w:rPr>
              <w:t>季度</w:t>
            </w:r>
            <w:proofErr w:type="spellEnd"/>
          </w:p>
        </w:tc>
      </w:tr>
      <w:tr w:rsidR="00FD4DE1" w:rsidRPr="00BF5507" w14:paraId="68722D60" w14:textId="77777777" w:rsidTr="00E53A30">
        <w:trPr>
          <w:trHeight w:val="47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BCA3" w14:textId="77777777" w:rsidR="00FD4DE1" w:rsidRPr="00BF5507" w:rsidRDefault="00FD4DE1" w:rsidP="00E53A30">
            <w:pPr>
              <w:pStyle w:val="Tabletext"/>
              <w:jc w:val="center"/>
              <w:rPr>
                <w:rFonts w:eastAsia="SimSun"/>
                <w:szCs w:val="22"/>
              </w:rPr>
            </w:pPr>
            <w:proofErr w:type="spellStart"/>
            <w:r w:rsidRPr="00BF5507">
              <w:rPr>
                <w:rFonts w:eastAsia="SimSun" w:hint="eastAsia"/>
                <w:szCs w:val="22"/>
              </w:rPr>
              <w:t>可行性研究</w:t>
            </w:r>
            <w:proofErr w:type="spellEnd"/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7083" w14:textId="77777777" w:rsidR="00FD4DE1" w:rsidRPr="00BF5507" w:rsidRDefault="00FD4DE1" w:rsidP="00E53A30">
            <w:pPr>
              <w:pStyle w:val="Tabletext"/>
              <w:jc w:val="center"/>
              <w:rPr>
                <w:rFonts w:eastAsia="SimSun"/>
                <w:szCs w:val="22"/>
              </w:rPr>
            </w:pPr>
            <w:r w:rsidRPr="00BF5507">
              <w:rPr>
                <w:rFonts w:eastAsia="SimSun"/>
                <w:szCs w:val="22"/>
              </w:rPr>
              <w:t>2025</w:t>
            </w:r>
            <w:proofErr w:type="spellStart"/>
            <w:r w:rsidRPr="00BF5507">
              <w:rPr>
                <w:rFonts w:eastAsia="SimSun" w:hint="eastAsia"/>
                <w:szCs w:val="22"/>
              </w:rPr>
              <w:t>年第</w:t>
            </w:r>
            <w:proofErr w:type="spellEnd"/>
            <w:r w:rsidRPr="00BF5507">
              <w:rPr>
                <w:rFonts w:eastAsia="SimSun" w:hint="eastAsia"/>
                <w:szCs w:val="22"/>
              </w:rPr>
              <w:t>2</w:t>
            </w:r>
            <w:proofErr w:type="spellStart"/>
            <w:r w:rsidRPr="00BF5507">
              <w:rPr>
                <w:rFonts w:eastAsia="SimSun" w:hint="eastAsia"/>
                <w:szCs w:val="22"/>
              </w:rPr>
              <w:t>季度</w:t>
            </w:r>
            <w:proofErr w:type="spellEnd"/>
          </w:p>
        </w:tc>
      </w:tr>
      <w:tr w:rsidR="00FD4DE1" w:rsidRPr="00BF5507" w14:paraId="5BC02A18" w14:textId="77777777" w:rsidTr="00E53A30">
        <w:trPr>
          <w:trHeight w:val="47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A944" w14:textId="77777777" w:rsidR="00FD4DE1" w:rsidRPr="00BF5507" w:rsidRDefault="00FD4DE1" w:rsidP="00E53A30">
            <w:pPr>
              <w:pStyle w:val="Tabletext"/>
              <w:jc w:val="center"/>
              <w:rPr>
                <w:rFonts w:eastAsia="SimSun"/>
                <w:szCs w:val="22"/>
              </w:rPr>
            </w:pPr>
            <w:r w:rsidRPr="00BF5507">
              <w:rPr>
                <w:rFonts w:eastAsia="SimSun" w:hint="eastAsia"/>
                <w:szCs w:val="22"/>
                <w:lang w:eastAsia="zh-CN"/>
              </w:rPr>
              <w:t>理念</w:t>
            </w:r>
            <w:proofErr w:type="spellStart"/>
            <w:r w:rsidRPr="00BF5507">
              <w:rPr>
                <w:rFonts w:eastAsia="SimSun" w:hint="eastAsia"/>
                <w:szCs w:val="22"/>
              </w:rPr>
              <w:t>设计</w:t>
            </w:r>
            <w:proofErr w:type="spellEnd"/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D66" w14:textId="77777777" w:rsidR="00FD4DE1" w:rsidRPr="00BF5507" w:rsidRDefault="00FD4DE1" w:rsidP="00E53A30">
            <w:pPr>
              <w:pStyle w:val="Tabletext"/>
              <w:jc w:val="center"/>
              <w:rPr>
                <w:rFonts w:eastAsia="SimSun"/>
                <w:szCs w:val="22"/>
              </w:rPr>
            </w:pPr>
            <w:r w:rsidRPr="00BF5507">
              <w:rPr>
                <w:rFonts w:eastAsia="SimSun" w:hint="eastAsia"/>
                <w:szCs w:val="22"/>
              </w:rPr>
              <w:t>2025</w:t>
            </w:r>
            <w:proofErr w:type="spellStart"/>
            <w:r w:rsidRPr="00BF5507">
              <w:rPr>
                <w:rFonts w:eastAsia="SimSun" w:hint="eastAsia"/>
                <w:szCs w:val="22"/>
              </w:rPr>
              <w:t>年第</w:t>
            </w:r>
            <w:proofErr w:type="spellEnd"/>
            <w:r w:rsidRPr="00BF5507">
              <w:rPr>
                <w:rFonts w:eastAsia="SimSun" w:hint="eastAsia"/>
                <w:szCs w:val="22"/>
              </w:rPr>
              <w:t>4</w:t>
            </w:r>
            <w:proofErr w:type="spellStart"/>
            <w:r w:rsidRPr="00BF5507">
              <w:rPr>
                <w:rFonts w:eastAsia="SimSun" w:hint="eastAsia"/>
                <w:szCs w:val="22"/>
              </w:rPr>
              <w:t>季度</w:t>
            </w:r>
            <w:proofErr w:type="spellEnd"/>
          </w:p>
        </w:tc>
      </w:tr>
      <w:tr w:rsidR="00FD4DE1" w:rsidRPr="00BF5507" w14:paraId="5DD07A48" w14:textId="77777777" w:rsidTr="00E53A30">
        <w:trPr>
          <w:trHeight w:val="47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C4F7" w14:textId="77777777" w:rsidR="00FD4DE1" w:rsidRPr="00BF5507" w:rsidRDefault="00FD4DE1" w:rsidP="00E53A30">
            <w:pPr>
              <w:pStyle w:val="Tabletext"/>
              <w:rPr>
                <w:rFonts w:eastAsia="SimSun"/>
                <w:b/>
                <w:bCs/>
                <w:szCs w:val="22"/>
              </w:rPr>
            </w:pPr>
            <w:proofErr w:type="spellStart"/>
            <w:r w:rsidRPr="00BF5507">
              <w:rPr>
                <w:rFonts w:eastAsia="SimSun" w:hint="eastAsia"/>
                <w:b/>
                <w:bCs/>
                <w:szCs w:val="22"/>
              </w:rPr>
              <w:t>详细设计</w:t>
            </w:r>
            <w:proofErr w:type="spellEnd"/>
            <w:r w:rsidRPr="00BF5507">
              <w:rPr>
                <w:rFonts w:eastAsia="SimSun" w:hint="eastAsia"/>
                <w:b/>
                <w:bCs/>
                <w:szCs w:val="22"/>
              </w:rPr>
              <w:t>/</w:t>
            </w:r>
            <w:proofErr w:type="spellStart"/>
            <w:r w:rsidRPr="00BF5507">
              <w:rPr>
                <w:rFonts w:eastAsia="SimSun" w:hint="eastAsia"/>
                <w:b/>
                <w:bCs/>
                <w:szCs w:val="22"/>
              </w:rPr>
              <w:t>招标</w:t>
            </w:r>
            <w:proofErr w:type="spellEnd"/>
            <w:r w:rsidRPr="00BF5507">
              <w:rPr>
                <w:rFonts w:eastAsia="SimSun" w:hint="eastAsia"/>
                <w:b/>
                <w:bCs/>
                <w:szCs w:val="22"/>
              </w:rPr>
              <w:t>/</w:t>
            </w:r>
            <w:proofErr w:type="spellStart"/>
            <w:r w:rsidRPr="00BF5507">
              <w:rPr>
                <w:rFonts w:eastAsia="SimSun" w:hint="eastAsia"/>
                <w:b/>
                <w:bCs/>
                <w:szCs w:val="22"/>
              </w:rPr>
              <w:t>合同</w:t>
            </w:r>
            <w:proofErr w:type="spellEnd"/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274D" w14:textId="77777777" w:rsidR="00FD4DE1" w:rsidRPr="00BF5507" w:rsidRDefault="00FD4DE1" w:rsidP="00E53A30">
            <w:pPr>
              <w:pStyle w:val="Tabletext"/>
              <w:jc w:val="center"/>
              <w:rPr>
                <w:rFonts w:eastAsia="SimSun"/>
                <w:szCs w:val="22"/>
              </w:rPr>
            </w:pPr>
            <w:r w:rsidRPr="00BF5507">
              <w:rPr>
                <w:rFonts w:eastAsia="SimSun"/>
                <w:szCs w:val="22"/>
              </w:rPr>
              <w:t>2026-2027</w:t>
            </w:r>
            <w:r w:rsidRPr="00BF5507">
              <w:rPr>
                <w:rFonts w:eastAsia="SimSun" w:hint="eastAsia"/>
                <w:szCs w:val="22"/>
              </w:rPr>
              <w:t>年</w:t>
            </w:r>
          </w:p>
        </w:tc>
      </w:tr>
      <w:tr w:rsidR="00FD4DE1" w:rsidRPr="00BF5507" w14:paraId="0894AE1C" w14:textId="77777777" w:rsidTr="00E53A30">
        <w:trPr>
          <w:trHeight w:val="47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F6AC" w14:textId="77777777" w:rsidR="00FD4DE1" w:rsidRPr="00BF5507" w:rsidRDefault="00FD4DE1" w:rsidP="00E53A30">
            <w:pPr>
              <w:pStyle w:val="Tabletext"/>
              <w:rPr>
                <w:rFonts w:eastAsia="SimSun"/>
                <w:b/>
                <w:bCs/>
                <w:szCs w:val="22"/>
              </w:rPr>
            </w:pPr>
            <w:proofErr w:type="spellStart"/>
            <w:r w:rsidRPr="00BF5507">
              <w:rPr>
                <w:rFonts w:eastAsia="SimSun" w:hint="eastAsia"/>
                <w:b/>
                <w:bCs/>
                <w:szCs w:val="22"/>
              </w:rPr>
              <w:t>执行</w:t>
            </w:r>
            <w:proofErr w:type="spellEnd"/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E826" w14:textId="77777777" w:rsidR="00FD4DE1" w:rsidRPr="00BF5507" w:rsidRDefault="00FD4DE1" w:rsidP="00E53A30">
            <w:pPr>
              <w:pStyle w:val="Tabletext"/>
              <w:jc w:val="center"/>
              <w:rPr>
                <w:rFonts w:eastAsia="SimSun"/>
                <w:szCs w:val="22"/>
              </w:rPr>
            </w:pPr>
            <w:r w:rsidRPr="00BF5507">
              <w:rPr>
                <w:rFonts w:eastAsia="SimSun"/>
                <w:szCs w:val="22"/>
              </w:rPr>
              <w:t>2028-2031</w:t>
            </w:r>
            <w:r w:rsidRPr="00BF5507">
              <w:rPr>
                <w:rFonts w:eastAsia="SimSun" w:hint="eastAsia"/>
                <w:szCs w:val="22"/>
              </w:rPr>
              <w:t>年</w:t>
            </w:r>
          </w:p>
        </w:tc>
      </w:tr>
      <w:tr w:rsidR="00FD4DE1" w:rsidRPr="00BF5507" w14:paraId="7F14503C" w14:textId="77777777" w:rsidTr="00E53A30">
        <w:trPr>
          <w:trHeight w:val="47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1368" w14:textId="77777777" w:rsidR="00FD4DE1" w:rsidRPr="00BF5507" w:rsidRDefault="00FD4DE1" w:rsidP="00E53A30">
            <w:pPr>
              <w:pStyle w:val="Tabletext"/>
              <w:rPr>
                <w:rFonts w:eastAsia="SimSun"/>
                <w:b/>
                <w:bCs/>
                <w:szCs w:val="22"/>
              </w:rPr>
            </w:pPr>
            <w:proofErr w:type="spellStart"/>
            <w:r w:rsidRPr="00BF5507">
              <w:rPr>
                <w:rFonts w:eastAsia="SimSun" w:hint="eastAsia"/>
                <w:b/>
                <w:bCs/>
                <w:szCs w:val="22"/>
              </w:rPr>
              <w:t>交接</w:t>
            </w:r>
            <w:proofErr w:type="spellEnd"/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4F34" w14:textId="77777777" w:rsidR="00FD4DE1" w:rsidRPr="00BF5507" w:rsidRDefault="00FD4DE1" w:rsidP="00E53A30">
            <w:pPr>
              <w:pStyle w:val="Tabletext"/>
              <w:jc w:val="center"/>
              <w:rPr>
                <w:rFonts w:eastAsia="SimSun"/>
                <w:szCs w:val="22"/>
              </w:rPr>
            </w:pPr>
            <w:r w:rsidRPr="00BF5507">
              <w:rPr>
                <w:rFonts w:eastAsia="SimSun"/>
                <w:szCs w:val="22"/>
              </w:rPr>
              <w:t>2031</w:t>
            </w:r>
            <w:r w:rsidRPr="00BF5507">
              <w:rPr>
                <w:rFonts w:eastAsia="SimSun" w:hint="eastAsia"/>
                <w:szCs w:val="22"/>
              </w:rPr>
              <w:t>年</w:t>
            </w:r>
          </w:p>
        </w:tc>
      </w:tr>
    </w:tbl>
    <w:p w14:paraId="3562BAED" w14:textId="68692204" w:rsidR="002A5CC8" w:rsidRPr="009B6B3D" w:rsidRDefault="002A5CC8" w:rsidP="00862BB4">
      <w:pPr>
        <w:rPr>
          <w:lang w:eastAsia="zh-CN"/>
        </w:rPr>
      </w:pPr>
    </w:p>
    <w:p w14:paraId="27A9F243" w14:textId="77777777" w:rsidR="002A5CC8" w:rsidRPr="0050115A" w:rsidRDefault="002A5CC8" w:rsidP="002A5CC8">
      <w:pPr>
        <w:spacing w:before="100" w:after="100"/>
        <w:ind w:left="794" w:hanging="794"/>
        <w:jc w:val="center"/>
        <w:rPr>
          <w:rFonts w:ascii="Times New Roman" w:eastAsiaTheme="minorEastAsia" w:hAnsi="Times New Roman"/>
        </w:rPr>
      </w:pPr>
      <w:r w:rsidRPr="0050115A">
        <w:rPr>
          <w:rFonts w:ascii="Times New Roman" w:eastAsiaTheme="minorEastAsia" w:hAnsi="Times New Roman"/>
        </w:rPr>
        <w:t>_____________</w:t>
      </w:r>
    </w:p>
    <w:sectPr w:rsidR="002A5CC8" w:rsidRPr="0050115A" w:rsidSect="00E24D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8FEEA" w14:textId="77777777" w:rsidR="00874C82" w:rsidRDefault="00874C82">
      <w:r>
        <w:separator/>
      </w:r>
    </w:p>
  </w:endnote>
  <w:endnote w:type="continuationSeparator" w:id="0">
    <w:p w14:paraId="15AF9C08" w14:textId="77777777" w:rsidR="00874C82" w:rsidRDefault="0087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A503" w14:textId="77777777" w:rsidR="0057648D" w:rsidRDefault="00576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25652288" w14:textId="77777777" w:rsidTr="00E31DCE">
      <w:trPr>
        <w:jc w:val="center"/>
      </w:trPr>
      <w:tc>
        <w:tcPr>
          <w:tcW w:w="1803" w:type="dxa"/>
          <w:vAlign w:val="center"/>
        </w:tcPr>
        <w:p w14:paraId="2E33C152" w14:textId="257062A0" w:rsidR="00E24D59" w:rsidRPr="004236DD" w:rsidRDefault="00E24D59" w:rsidP="00E24D59">
          <w:pPr>
            <w:pStyle w:val="Header"/>
            <w:jc w:val="left"/>
            <w:rPr>
              <w:noProof/>
              <w:color w:val="7F7F7F" w:themeColor="text1" w:themeTint="80"/>
            </w:rPr>
          </w:pPr>
        </w:p>
      </w:tc>
      <w:tc>
        <w:tcPr>
          <w:tcW w:w="8261" w:type="dxa"/>
        </w:tcPr>
        <w:p w14:paraId="128C249C" w14:textId="70897D63" w:rsidR="00E24D59" w:rsidRPr="00E06FD5" w:rsidRDefault="00E24D59" w:rsidP="004E29A1">
          <w:pPr>
            <w:pStyle w:val="Header"/>
            <w:tabs>
              <w:tab w:val="left" w:pos="687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4E29A1">
            <w:rPr>
              <w:bCs/>
            </w:rPr>
            <w:t>1</w:t>
          </w:r>
          <w:r w:rsidR="0057648D">
            <w:rPr>
              <w:bCs/>
            </w:rPr>
            <w:t>3</w:t>
          </w:r>
          <w:r w:rsidR="004E29A1">
            <w:rPr>
              <w:bCs/>
            </w:rPr>
            <w:t>2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0977243F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CB609DF" w14:textId="64DB6621" w:rsidR="00E24D59" w:rsidRPr="00E06FD5" w:rsidRDefault="00EC4232" w:rsidP="004E29A1">
          <w:pPr>
            <w:pStyle w:val="Header"/>
            <w:tabs>
              <w:tab w:val="left" w:pos="687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E24D59" w:rsidRPr="00623AE3">
            <w:rPr>
              <w:bCs/>
            </w:rPr>
            <w:t>C</w:t>
          </w:r>
          <w:r w:rsidR="00E24D59">
            <w:rPr>
              <w:bCs/>
            </w:rPr>
            <w:t>2</w:t>
          </w:r>
          <w:r w:rsidR="00B93453">
            <w:rPr>
              <w:bCs/>
            </w:rPr>
            <w:t>4</w:t>
          </w:r>
          <w:r w:rsidR="00E24D59" w:rsidRPr="00623AE3">
            <w:rPr>
              <w:bCs/>
            </w:rPr>
            <w:t>/</w:t>
          </w:r>
          <w:r w:rsidR="004E29A1">
            <w:rPr>
              <w:bCs/>
            </w:rPr>
            <w:t>1</w:t>
          </w:r>
          <w:r w:rsidR="0057648D">
            <w:rPr>
              <w:bCs/>
            </w:rPr>
            <w:t>32</w:t>
          </w:r>
          <w:r w:rsidR="00E24D59" w:rsidRPr="00623AE3">
            <w:rPr>
              <w:bCs/>
            </w:rPr>
            <w:t>-</w:t>
          </w:r>
          <w:r w:rsidR="00E24D59">
            <w:rPr>
              <w:bCs/>
            </w:rPr>
            <w:t>C</w:t>
          </w:r>
          <w:r w:rsidR="00E24D59">
            <w:rPr>
              <w:bCs/>
            </w:rPr>
            <w:tab/>
          </w:r>
          <w:r w:rsidR="00E24D59">
            <w:fldChar w:fldCharType="begin"/>
          </w:r>
          <w:r w:rsidR="00E24D59">
            <w:instrText>PAGE</w:instrText>
          </w:r>
          <w:r w:rsidR="00E24D59">
            <w:fldChar w:fldCharType="separate"/>
          </w:r>
          <w:r w:rsidR="00E24D59">
            <w:t>1</w:t>
          </w:r>
          <w:r w:rsidR="00E24D59">
            <w:rPr>
              <w:noProof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2DAB5" w14:textId="77777777" w:rsidR="00874C82" w:rsidRDefault="00874C82">
      <w:r>
        <w:t>____________________</w:t>
      </w:r>
    </w:p>
  </w:footnote>
  <w:footnote w:type="continuationSeparator" w:id="0">
    <w:p w14:paraId="4C9587B9" w14:textId="77777777" w:rsidR="00874C82" w:rsidRDefault="0087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2500D" w14:textId="77777777" w:rsidR="0057648D" w:rsidRDefault="00576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AFCDE" w14:textId="77777777" w:rsidR="0057648D" w:rsidRDefault="00576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4B888FB1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>
            <w:rPr>
              <w:noProof/>
            </w:rPr>
            <w:drawing>
              <wp:inline distT="0" distB="0" distL="0" distR="0" wp14:anchorId="7D00D696" wp14:editId="7A28FD21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C7974"/>
    <w:multiLevelType w:val="hybridMultilevel"/>
    <w:tmpl w:val="2FD671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76D0B"/>
    <w:multiLevelType w:val="multilevel"/>
    <w:tmpl w:val="6DFCF0C8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SimSun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SimSun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SimSun" w:hAnsi="Calibri" w:cs="Calibri" w:hint="default"/>
      </w:rPr>
    </w:lvl>
  </w:abstractNum>
  <w:abstractNum w:abstractNumId="3" w15:restartNumberingAfterBreak="0">
    <w:nsid w:val="13CA613F"/>
    <w:multiLevelType w:val="hybridMultilevel"/>
    <w:tmpl w:val="6244362A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B40D4B"/>
    <w:multiLevelType w:val="hybridMultilevel"/>
    <w:tmpl w:val="3EB06EB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1027FC8"/>
    <w:multiLevelType w:val="hybridMultilevel"/>
    <w:tmpl w:val="5BE61BCE"/>
    <w:lvl w:ilvl="0" w:tplc="05422B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73D90"/>
    <w:multiLevelType w:val="hybridMultilevel"/>
    <w:tmpl w:val="7D243B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2E26339"/>
    <w:multiLevelType w:val="multilevel"/>
    <w:tmpl w:val="DC506734"/>
    <w:lvl w:ilvl="0">
      <w:start w:val="1"/>
      <w:numFmt w:val="lowerLetter"/>
      <w:lvlText w:val="%1)"/>
      <w:lvlJc w:val="left"/>
      <w:pPr>
        <w:ind w:left="4425" w:hanging="4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967EF7"/>
    <w:multiLevelType w:val="hybridMultilevel"/>
    <w:tmpl w:val="3C9C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033A1"/>
    <w:multiLevelType w:val="hybridMultilevel"/>
    <w:tmpl w:val="DDA0C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822280"/>
    <w:multiLevelType w:val="hybridMultilevel"/>
    <w:tmpl w:val="68BA3FD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93D604C"/>
    <w:multiLevelType w:val="hybridMultilevel"/>
    <w:tmpl w:val="4FAE4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49368">
    <w:abstractNumId w:val="0"/>
  </w:num>
  <w:num w:numId="2" w16cid:durableId="501241818">
    <w:abstractNumId w:val="8"/>
  </w:num>
  <w:num w:numId="3" w16cid:durableId="371539808">
    <w:abstractNumId w:val="9"/>
  </w:num>
  <w:num w:numId="4" w16cid:durableId="1525828948">
    <w:abstractNumId w:val="12"/>
  </w:num>
  <w:num w:numId="5" w16cid:durableId="2033219779">
    <w:abstractNumId w:val="15"/>
  </w:num>
  <w:num w:numId="6" w16cid:durableId="349645790">
    <w:abstractNumId w:val="14"/>
  </w:num>
  <w:num w:numId="7" w16cid:durableId="1451586466">
    <w:abstractNumId w:val="4"/>
  </w:num>
  <w:num w:numId="8" w16cid:durableId="708533826">
    <w:abstractNumId w:val="17"/>
    <w:lvlOverride w:ilvl="0">
      <w:lvl w:ilvl="0" w:tplc="08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</w:num>
  <w:num w:numId="9" w16cid:durableId="2112315746">
    <w:abstractNumId w:val="2"/>
  </w:num>
  <w:num w:numId="10" w16cid:durableId="1262491437">
    <w:abstractNumId w:val="16"/>
    <w:lvlOverride w:ilvl="0">
      <w:lvl w:ilvl="0" w:tplc="08090001">
        <w:start w:val="1"/>
        <w:numFmt w:val="bullet"/>
        <w:lvlText w:val=""/>
        <w:lvlJc w:val="left"/>
        <w:pPr>
          <w:ind w:left="1065" w:hanging="360"/>
        </w:pPr>
        <w:rPr>
          <w:rFonts w:ascii="Symbol" w:hAnsi="Symbol" w:hint="default"/>
        </w:rPr>
      </w:lvl>
    </w:lvlOverride>
  </w:num>
  <w:num w:numId="11" w16cid:durableId="1397321369">
    <w:abstractNumId w:val="3"/>
    <w:lvlOverride w:ilvl="0">
      <w:lvl w:ilvl="0" w:tplc="FB66012C">
        <w:start w:val="2"/>
        <w:numFmt w:val="bullet"/>
        <w:lvlText w:val="-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</w:num>
  <w:num w:numId="12" w16cid:durableId="351877986">
    <w:abstractNumId w:val="5"/>
    <w:lvlOverride w:ilvl="0">
      <w:lvl w:ilvl="0" w:tplc="08090001">
        <w:start w:val="1"/>
        <w:numFmt w:val="bullet"/>
        <w:lvlText w:val="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3" w16cid:durableId="583103336">
    <w:abstractNumId w:val="1"/>
    <w:lvlOverride w:ilvl="0">
      <w:lvl w:ilvl="0" w:tplc="08090019">
        <w:start w:val="1"/>
        <w:numFmt w:val="low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1B">
        <w:start w:val="1"/>
        <w:numFmt w:val="lowerRoman"/>
        <w:lvlText w:val="%2."/>
        <w:lvlJc w:val="right"/>
        <w:pPr>
          <w:ind w:left="1440" w:hanging="360"/>
        </w:pPr>
      </w:lvl>
    </w:lvlOverride>
  </w:num>
  <w:num w:numId="14" w16cid:durableId="1529562094">
    <w:abstractNumId w:val="7"/>
    <w:lvlOverride w:ilvl="0">
      <w:lvl w:ilvl="0" w:tplc="08090019">
        <w:start w:val="1"/>
        <w:numFmt w:val="lowerLetter"/>
        <w:lvlText w:val="%1."/>
        <w:lvlJc w:val="left"/>
        <w:pPr>
          <w:ind w:left="720" w:hanging="360"/>
        </w:pPr>
        <w:rPr>
          <w:rFonts w:hint="default"/>
        </w:rPr>
      </w:lvl>
    </w:lvlOverride>
  </w:num>
  <w:num w:numId="15" w16cid:durableId="1444616466">
    <w:abstractNumId w:val="10"/>
    <w:lvlOverride w:ilvl="0">
      <w:lvl w:ilvl="0">
        <w:start w:val="1"/>
        <w:numFmt w:val="lowerLetter"/>
        <w:lvlText w:val="%1)"/>
        <w:lvlJc w:val="left"/>
        <w:pPr>
          <w:ind w:left="4425" w:hanging="4425"/>
        </w:pPr>
        <w:rPr>
          <w:rFonts w:hint="default"/>
        </w:rPr>
      </w:lvl>
    </w:lvlOverride>
  </w:num>
  <w:num w:numId="16" w16cid:durableId="1085036382">
    <w:abstractNumId w:val="6"/>
    <w:lvlOverride w:ilvl="0">
      <w:lvl w:ilvl="0" w:tplc="05422B9E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bCs/>
          <w:sz w:val="24"/>
          <w:szCs w:val="24"/>
        </w:rPr>
      </w:lvl>
    </w:lvlOverride>
  </w:num>
  <w:num w:numId="17" w16cid:durableId="1126661787">
    <w:abstractNumId w:val="11"/>
  </w:num>
  <w:num w:numId="18" w16cid:durableId="6312533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100D84"/>
    <w:rsid w:val="00112A33"/>
    <w:rsid w:val="00124C9D"/>
    <w:rsid w:val="00157773"/>
    <w:rsid w:val="0018251A"/>
    <w:rsid w:val="00190272"/>
    <w:rsid w:val="00193244"/>
    <w:rsid w:val="00195C6C"/>
    <w:rsid w:val="00195FED"/>
    <w:rsid w:val="001A4BD6"/>
    <w:rsid w:val="001A74D3"/>
    <w:rsid w:val="001D503F"/>
    <w:rsid w:val="001D5A18"/>
    <w:rsid w:val="001E25C8"/>
    <w:rsid w:val="00224449"/>
    <w:rsid w:val="00280EB8"/>
    <w:rsid w:val="002A5CC8"/>
    <w:rsid w:val="002A6670"/>
    <w:rsid w:val="002D4DE9"/>
    <w:rsid w:val="00303502"/>
    <w:rsid w:val="003069DE"/>
    <w:rsid w:val="00325C25"/>
    <w:rsid w:val="0033359D"/>
    <w:rsid w:val="00372C8F"/>
    <w:rsid w:val="00380ECE"/>
    <w:rsid w:val="00387501"/>
    <w:rsid w:val="00392252"/>
    <w:rsid w:val="00393DDF"/>
    <w:rsid w:val="00397F55"/>
    <w:rsid w:val="003B4202"/>
    <w:rsid w:val="003B4454"/>
    <w:rsid w:val="003C2E37"/>
    <w:rsid w:val="003F1415"/>
    <w:rsid w:val="0040144C"/>
    <w:rsid w:val="00403EB7"/>
    <w:rsid w:val="004236DD"/>
    <w:rsid w:val="00430BF0"/>
    <w:rsid w:val="00442621"/>
    <w:rsid w:val="004672E6"/>
    <w:rsid w:val="00474ED1"/>
    <w:rsid w:val="00493085"/>
    <w:rsid w:val="004A36EC"/>
    <w:rsid w:val="004D163F"/>
    <w:rsid w:val="004E29A1"/>
    <w:rsid w:val="004E4BFF"/>
    <w:rsid w:val="004F2598"/>
    <w:rsid w:val="005403F7"/>
    <w:rsid w:val="00540632"/>
    <w:rsid w:val="00541CF4"/>
    <w:rsid w:val="005451E8"/>
    <w:rsid w:val="00545760"/>
    <w:rsid w:val="005507F2"/>
    <w:rsid w:val="005759CC"/>
    <w:rsid w:val="0057648D"/>
    <w:rsid w:val="005A72E1"/>
    <w:rsid w:val="005C6632"/>
    <w:rsid w:val="005D1C9E"/>
    <w:rsid w:val="005D4CDA"/>
    <w:rsid w:val="00630DD5"/>
    <w:rsid w:val="00654257"/>
    <w:rsid w:val="0065435A"/>
    <w:rsid w:val="006A2DD3"/>
    <w:rsid w:val="006A5AF8"/>
    <w:rsid w:val="006C36CD"/>
    <w:rsid w:val="006E0E42"/>
    <w:rsid w:val="00700D1F"/>
    <w:rsid w:val="007205CB"/>
    <w:rsid w:val="00726073"/>
    <w:rsid w:val="00734FE8"/>
    <w:rsid w:val="007360CE"/>
    <w:rsid w:val="0076342D"/>
    <w:rsid w:val="00772315"/>
    <w:rsid w:val="00775157"/>
    <w:rsid w:val="00777A03"/>
    <w:rsid w:val="007813AE"/>
    <w:rsid w:val="007A2C3A"/>
    <w:rsid w:val="007A37DB"/>
    <w:rsid w:val="007C0966"/>
    <w:rsid w:val="007C408D"/>
    <w:rsid w:val="007D5356"/>
    <w:rsid w:val="007E189D"/>
    <w:rsid w:val="007F0210"/>
    <w:rsid w:val="00806E1F"/>
    <w:rsid w:val="00806E3F"/>
    <w:rsid w:val="00811259"/>
    <w:rsid w:val="00813AA2"/>
    <w:rsid w:val="008173A3"/>
    <w:rsid w:val="008418F5"/>
    <w:rsid w:val="0086059C"/>
    <w:rsid w:val="00862BB4"/>
    <w:rsid w:val="00864589"/>
    <w:rsid w:val="00874C82"/>
    <w:rsid w:val="00890AFB"/>
    <w:rsid w:val="00890FC4"/>
    <w:rsid w:val="00891B49"/>
    <w:rsid w:val="00895905"/>
    <w:rsid w:val="008D70D2"/>
    <w:rsid w:val="008F64AD"/>
    <w:rsid w:val="00911867"/>
    <w:rsid w:val="009164A9"/>
    <w:rsid w:val="009258CB"/>
    <w:rsid w:val="00927AB4"/>
    <w:rsid w:val="009328F6"/>
    <w:rsid w:val="0093362E"/>
    <w:rsid w:val="00944563"/>
    <w:rsid w:val="00944FD4"/>
    <w:rsid w:val="00953160"/>
    <w:rsid w:val="009625D8"/>
    <w:rsid w:val="00977363"/>
    <w:rsid w:val="0098459B"/>
    <w:rsid w:val="00997185"/>
    <w:rsid w:val="009B6B3D"/>
    <w:rsid w:val="009C2458"/>
    <w:rsid w:val="009C4A7B"/>
    <w:rsid w:val="009C6123"/>
    <w:rsid w:val="009D439C"/>
    <w:rsid w:val="009F1E3E"/>
    <w:rsid w:val="00A1213C"/>
    <w:rsid w:val="00A272FF"/>
    <w:rsid w:val="00A5354B"/>
    <w:rsid w:val="00A60037"/>
    <w:rsid w:val="00A71B57"/>
    <w:rsid w:val="00AB42C1"/>
    <w:rsid w:val="00AB6452"/>
    <w:rsid w:val="00AC4BF8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50C97"/>
    <w:rsid w:val="00B60184"/>
    <w:rsid w:val="00B61A64"/>
    <w:rsid w:val="00B62D20"/>
    <w:rsid w:val="00B81E75"/>
    <w:rsid w:val="00B93453"/>
    <w:rsid w:val="00BA2853"/>
    <w:rsid w:val="00BD0954"/>
    <w:rsid w:val="00BD1A5A"/>
    <w:rsid w:val="00BD1F99"/>
    <w:rsid w:val="00BD7A9B"/>
    <w:rsid w:val="00BD7BE1"/>
    <w:rsid w:val="00BF416B"/>
    <w:rsid w:val="00BF6F55"/>
    <w:rsid w:val="00C04E3C"/>
    <w:rsid w:val="00C45EB2"/>
    <w:rsid w:val="00C46320"/>
    <w:rsid w:val="00C64E4E"/>
    <w:rsid w:val="00C66E64"/>
    <w:rsid w:val="00C761A0"/>
    <w:rsid w:val="00C85F7E"/>
    <w:rsid w:val="00C8774B"/>
    <w:rsid w:val="00C90D53"/>
    <w:rsid w:val="00CA0B2E"/>
    <w:rsid w:val="00CA6EF7"/>
    <w:rsid w:val="00CD47F0"/>
    <w:rsid w:val="00CD5566"/>
    <w:rsid w:val="00CD64D7"/>
    <w:rsid w:val="00CE054A"/>
    <w:rsid w:val="00CE6F22"/>
    <w:rsid w:val="00CF41F6"/>
    <w:rsid w:val="00CF7D3E"/>
    <w:rsid w:val="00D02B4E"/>
    <w:rsid w:val="00D13A54"/>
    <w:rsid w:val="00D21F11"/>
    <w:rsid w:val="00D36817"/>
    <w:rsid w:val="00D453EE"/>
    <w:rsid w:val="00D45691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62F5"/>
    <w:rsid w:val="00DD66A1"/>
    <w:rsid w:val="00DE196D"/>
    <w:rsid w:val="00DF6B49"/>
    <w:rsid w:val="00DF6C89"/>
    <w:rsid w:val="00E01F27"/>
    <w:rsid w:val="00E067C5"/>
    <w:rsid w:val="00E24D59"/>
    <w:rsid w:val="00E265BF"/>
    <w:rsid w:val="00E378D8"/>
    <w:rsid w:val="00E43A12"/>
    <w:rsid w:val="00E67C67"/>
    <w:rsid w:val="00E77476"/>
    <w:rsid w:val="00E8228B"/>
    <w:rsid w:val="00EC4232"/>
    <w:rsid w:val="00EE5706"/>
    <w:rsid w:val="00EF373D"/>
    <w:rsid w:val="00F11595"/>
    <w:rsid w:val="00F13BC9"/>
    <w:rsid w:val="00F357B2"/>
    <w:rsid w:val="00F36556"/>
    <w:rsid w:val="00F436B7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29DB9A8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qFormat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???,超?级链,하이퍼링크2,하이퍼링크21,CEO_Hyperlink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qFormat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qFormat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,Pl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qFormat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qFormat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qFormat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E01F27"/>
    <w:rPr>
      <w:rFonts w:ascii="Calibri" w:eastAsia="Times New Roman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4FD4"/>
    <w:rPr>
      <w:color w:val="605E5C"/>
      <w:shd w:val="clear" w:color="auto" w:fill="E1DFDD"/>
    </w:rPr>
  </w:style>
  <w:style w:type="paragraph" w:customStyle="1" w:styleId="footnote">
    <w:name w:val="footnote"/>
    <w:basedOn w:val="FootnoteText"/>
    <w:link w:val="footnoteChar"/>
    <w:qFormat/>
    <w:rsid w:val="007C408D"/>
    <w:pPr>
      <w:tabs>
        <w:tab w:val="clear" w:pos="255"/>
        <w:tab w:val="clear" w:pos="794"/>
        <w:tab w:val="clear" w:pos="1191"/>
        <w:tab w:val="clear" w:pos="1588"/>
        <w:tab w:val="clear" w:pos="1985"/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spacing w:line="210" w:lineRule="exact"/>
      <w:ind w:left="256" w:hanging="475"/>
    </w:pPr>
    <w:rPr>
      <w:noProof/>
      <w:spacing w:val="5"/>
      <w:w w:val="104"/>
      <w:kern w:val="14"/>
      <w:sz w:val="18"/>
    </w:rPr>
  </w:style>
  <w:style w:type="character" w:customStyle="1" w:styleId="footnoteChar">
    <w:name w:val="footnote Char"/>
    <w:basedOn w:val="FootnoteTextChar"/>
    <w:link w:val="footnote"/>
    <w:rsid w:val="007C408D"/>
    <w:rPr>
      <w:rFonts w:ascii="Calibri" w:hAnsi="Calibri"/>
      <w:noProof/>
      <w:spacing w:val="5"/>
      <w:w w:val="104"/>
      <w:kern w:val="14"/>
      <w:sz w:val="18"/>
      <w:lang w:val="en-GB" w:eastAsia="en-US"/>
    </w:rPr>
  </w:style>
  <w:style w:type="paragraph" w:customStyle="1" w:styleId="CEOMainDocParagraph">
    <w:name w:val="CEO_MainDoc_Paragraph"/>
    <w:basedOn w:val="Normal"/>
    <w:qFormat/>
    <w:rsid w:val="002A5CC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hAnsiTheme="minorHAnsi" w:cstheme="minorBidi"/>
      <w:sz w:val="22"/>
      <w:szCs w:val="19"/>
      <w:lang w:eastAsia="zh-CN"/>
    </w:rPr>
  </w:style>
  <w:style w:type="character" w:customStyle="1" w:styleId="enumlev1Char">
    <w:name w:val="enumlev1 Char"/>
    <w:link w:val="enumlev1"/>
    <w:qFormat/>
    <w:locked/>
    <w:rsid w:val="002A5CC8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0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Local\Microsoft\Windows\INetCache\Content.Outlook\ISBZTKHC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0</TotalTime>
  <Pages>3</Pages>
  <Words>1403</Words>
  <Characters>377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Xue, Kun</dc:creator>
  <cp:keywords>C2024, C24 Council-24</cp:keywords>
  <dc:description/>
  <cp:lastModifiedBy>LRT</cp:lastModifiedBy>
  <cp:revision>2</cp:revision>
  <cp:lastPrinted>2015-02-24T13:23:00Z</cp:lastPrinted>
  <dcterms:created xsi:type="dcterms:W3CDTF">2024-06-20T14:12:00Z</dcterms:created>
  <dcterms:modified xsi:type="dcterms:W3CDTF">2024-06-20T14:12:00Z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