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46539" w14:paraId="16C8DD02" w14:textId="77777777" w:rsidTr="00C538FC">
        <w:trPr>
          <w:cantSplit/>
          <w:trHeight w:val="23"/>
        </w:trPr>
        <w:tc>
          <w:tcPr>
            <w:tcW w:w="3969" w:type="dxa"/>
            <w:vMerge w:val="restart"/>
            <w:tcMar>
              <w:left w:w="0" w:type="dxa"/>
            </w:tcMar>
          </w:tcPr>
          <w:p w14:paraId="380780FF" w14:textId="3AB7E35A" w:rsidR="00FE57F6" w:rsidRPr="00D46539" w:rsidRDefault="00FE57F6" w:rsidP="00C538FC">
            <w:pPr>
              <w:tabs>
                <w:tab w:val="left" w:pos="851"/>
              </w:tabs>
              <w:spacing w:before="0" w:line="240" w:lineRule="atLeast"/>
              <w:rPr>
                <w:b/>
              </w:rPr>
            </w:pPr>
            <w:bookmarkStart w:id="0" w:name="_Hlk133421839"/>
          </w:p>
        </w:tc>
        <w:tc>
          <w:tcPr>
            <w:tcW w:w="5245" w:type="dxa"/>
          </w:tcPr>
          <w:p w14:paraId="12EC8577" w14:textId="5F7C0907" w:rsidR="00FE57F6" w:rsidRPr="00D46539" w:rsidRDefault="00FE57F6" w:rsidP="007C32F6">
            <w:pPr>
              <w:tabs>
                <w:tab w:val="left" w:pos="851"/>
              </w:tabs>
              <w:spacing w:before="0" w:line="240" w:lineRule="atLeast"/>
              <w:jc w:val="right"/>
              <w:rPr>
                <w:b/>
              </w:rPr>
            </w:pPr>
            <w:r w:rsidRPr="00D46539">
              <w:rPr>
                <w:b/>
              </w:rPr>
              <w:t>Document</w:t>
            </w:r>
            <w:r w:rsidR="00F24B71" w:rsidRPr="00D46539">
              <w:rPr>
                <w:b/>
              </w:rPr>
              <w:t>o</w:t>
            </w:r>
            <w:r w:rsidRPr="00D46539">
              <w:rPr>
                <w:b/>
              </w:rPr>
              <w:t xml:space="preserve"> </w:t>
            </w:r>
            <w:proofErr w:type="spellStart"/>
            <w:r w:rsidRPr="00D46539">
              <w:rPr>
                <w:b/>
              </w:rPr>
              <w:t>C2</w:t>
            </w:r>
            <w:r w:rsidR="0064481D" w:rsidRPr="00D46539">
              <w:rPr>
                <w:b/>
              </w:rPr>
              <w:t>4</w:t>
            </w:r>
            <w:proofErr w:type="spellEnd"/>
            <w:r w:rsidRPr="00D46539">
              <w:rPr>
                <w:b/>
              </w:rPr>
              <w:t>/</w:t>
            </w:r>
            <w:r w:rsidR="00F722DF">
              <w:rPr>
                <w:b/>
              </w:rPr>
              <w:t>126</w:t>
            </w:r>
            <w:r w:rsidRPr="00D46539">
              <w:rPr>
                <w:b/>
              </w:rPr>
              <w:t>-</w:t>
            </w:r>
            <w:r w:rsidR="00F24B71" w:rsidRPr="00D46539">
              <w:rPr>
                <w:b/>
              </w:rPr>
              <w:t>S</w:t>
            </w:r>
          </w:p>
        </w:tc>
      </w:tr>
      <w:tr w:rsidR="00FE57F6" w:rsidRPr="00D46539" w14:paraId="2F7BAD0F" w14:textId="77777777" w:rsidTr="00C538FC">
        <w:trPr>
          <w:cantSplit/>
        </w:trPr>
        <w:tc>
          <w:tcPr>
            <w:tcW w:w="3969" w:type="dxa"/>
            <w:vMerge/>
          </w:tcPr>
          <w:p w14:paraId="32D340BD" w14:textId="77777777" w:rsidR="00FE57F6" w:rsidRPr="00D46539" w:rsidRDefault="00FE57F6" w:rsidP="00C538FC">
            <w:pPr>
              <w:tabs>
                <w:tab w:val="left" w:pos="851"/>
              </w:tabs>
              <w:spacing w:line="240" w:lineRule="atLeast"/>
              <w:rPr>
                <w:b/>
              </w:rPr>
            </w:pPr>
          </w:p>
        </w:tc>
        <w:tc>
          <w:tcPr>
            <w:tcW w:w="5245" w:type="dxa"/>
          </w:tcPr>
          <w:p w14:paraId="6D67502D" w14:textId="40B0863B" w:rsidR="00FE57F6" w:rsidRPr="00D46539" w:rsidRDefault="007C32F6" w:rsidP="00C538FC">
            <w:pPr>
              <w:tabs>
                <w:tab w:val="left" w:pos="851"/>
              </w:tabs>
              <w:spacing w:before="0"/>
              <w:jc w:val="right"/>
              <w:rPr>
                <w:b/>
              </w:rPr>
            </w:pPr>
            <w:r w:rsidRPr="00D46539">
              <w:rPr>
                <w:b/>
              </w:rPr>
              <w:t xml:space="preserve">14 </w:t>
            </w:r>
            <w:r w:rsidR="00ED2ABE" w:rsidRPr="00D46539">
              <w:rPr>
                <w:b/>
              </w:rPr>
              <w:t xml:space="preserve">de </w:t>
            </w:r>
            <w:r w:rsidRPr="00D46539">
              <w:rPr>
                <w:b/>
              </w:rPr>
              <w:t xml:space="preserve">junio </w:t>
            </w:r>
            <w:r w:rsidR="00ED2ABE" w:rsidRPr="00D46539">
              <w:rPr>
                <w:b/>
              </w:rPr>
              <w:t>de</w:t>
            </w:r>
            <w:r w:rsidR="00FE57F6" w:rsidRPr="00D46539">
              <w:rPr>
                <w:b/>
              </w:rPr>
              <w:t xml:space="preserve"> 202</w:t>
            </w:r>
            <w:r w:rsidR="0064481D" w:rsidRPr="00D46539">
              <w:rPr>
                <w:b/>
              </w:rPr>
              <w:t>4</w:t>
            </w:r>
          </w:p>
        </w:tc>
      </w:tr>
      <w:tr w:rsidR="00FE57F6" w:rsidRPr="00D46539" w14:paraId="14ED61B8" w14:textId="77777777" w:rsidTr="00C538FC">
        <w:trPr>
          <w:cantSplit/>
          <w:trHeight w:val="23"/>
        </w:trPr>
        <w:tc>
          <w:tcPr>
            <w:tcW w:w="3969" w:type="dxa"/>
            <w:vMerge/>
          </w:tcPr>
          <w:p w14:paraId="36AAE2B4" w14:textId="77777777" w:rsidR="00FE57F6" w:rsidRPr="00D46539" w:rsidRDefault="00FE57F6" w:rsidP="00C538FC">
            <w:pPr>
              <w:tabs>
                <w:tab w:val="left" w:pos="851"/>
              </w:tabs>
              <w:spacing w:line="240" w:lineRule="atLeast"/>
              <w:rPr>
                <w:b/>
              </w:rPr>
            </w:pPr>
          </w:p>
        </w:tc>
        <w:tc>
          <w:tcPr>
            <w:tcW w:w="5245" w:type="dxa"/>
          </w:tcPr>
          <w:p w14:paraId="54C7ED74" w14:textId="77777777" w:rsidR="00FE57F6" w:rsidRPr="00D46539" w:rsidRDefault="00F24B71" w:rsidP="00C538FC">
            <w:pPr>
              <w:tabs>
                <w:tab w:val="left" w:pos="851"/>
              </w:tabs>
              <w:spacing w:before="0" w:line="240" w:lineRule="atLeast"/>
              <w:jc w:val="right"/>
              <w:rPr>
                <w:b/>
                <w:bCs/>
              </w:rPr>
            </w:pPr>
            <w:r w:rsidRPr="00D46539">
              <w:rPr>
                <w:rFonts w:cstheme="minorHAnsi"/>
                <w:b/>
                <w:bCs/>
              </w:rPr>
              <w:t>Original: inglés</w:t>
            </w:r>
          </w:p>
        </w:tc>
      </w:tr>
      <w:tr w:rsidR="00FE57F6" w:rsidRPr="00D46539" w14:paraId="28C23F0D" w14:textId="77777777" w:rsidTr="00C538FC">
        <w:trPr>
          <w:cantSplit/>
          <w:trHeight w:val="23"/>
        </w:trPr>
        <w:tc>
          <w:tcPr>
            <w:tcW w:w="3969" w:type="dxa"/>
          </w:tcPr>
          <w:p w14:paraId="71CA9CDE" w14:textId="77777777" w:rsidR="00FE57F6" w:rsidRPr="00D46539" w:rsidRDefault="00FE57F6" w:rsidP="00C538FC">
            <w:pPr>
              <w:tabs>
                <w:tab w:val="left" w:pos="851"/>
              </w:tabs>
              <w:spacing w:line="240" w:lineRule="atLeast"/>
              <w:rPr>
                <w:b/>
              </w:rPr>
            </w:pPr>
          </w:p>
        </w:tc>
        <w:tc>
          <w:tcPr>
            <w:tcW w:w="5245" w:type="dxa"/>
          </w:tcPr>
          <w:p w14:paraId="04F0E65D" w14:textId="77777777" w:rsidR="00FE57F6" w:rsidRPr="00D46539" w:rsidRDefault="00FE57F6" w:rsidP="00C538FC">
            <w:pPr>
              <w:tabs>
                <w:tab w:val="left" w:pos="851"/>
              </w:tabs>
              <w:spacing w:before="0" w:line="240" w:lineRule="atLeast"/>
              <w:jc w:val="right"/>
              <w:rPr>
                <w:b/>
              </w:rPr>
            </w:pPr>
          </w:p>
        </w:tc>
      </w:tr>
    </w:tbl>
    <w:bookmarkEnd w:id="0"/>
    <w:p w14:paraId="2AC7AE7B" w14:textId="700FAD52" w:rsidR="00AC6F40" w:rsidRPr="00F722DF" w:rsidRDefault="00AC6F40" w:rsidP="00F722DF">
      <w:pPr>
        <w:pStyle w:val="AnnexNo"/>
        <w:rPr>
          <w:rFonts w:eastAsia="Calibri"/>
        </w:rPr>
      </w:pPr>
      <w:r w:rsidRPr="00F722DF">
        <w:rPr>
          <w:rFonts w:eastAsia="Calibri"/>
        </w:rPr>
        <w:t xml:space="preserve">resolución </w:t>
      </w:r>
      <w:r w:rsidR="00F722DF" w:rsidRPr="00F722DF">
        <w:rPr>
          <w:rFonts w:eastAsia="Calibri"/>
        </w:rPr>
        <w:t>1423</w:t>
      </w:r>
    </w:p>
    <w:p w14:paraId="3FF09F5B" w14:textId="61B9C74F" w:rsidR="001212CD" w:rsidRPr="00F722DF" w:rsidRDefault="001212CD" w:rsidP="001212CD">
      <w:pPr>
        <w:pStyle w:val="Resref"/>
        <w:rPr>
          <w:rFonts w:asciiTheme="minorHAnsi" w:hAnsiTheme="minorHAnsi" w:cstheme="minorHAnsi"/>
        </w:rPr>
      </w:pPr>
      <w:r w:rsidRPr="00F722DF">
        <w:rPr>
          <w:rFonts w:asciiTheme="minorHAnsi" w:hAnsiTheme="minorHAnsi" w:cstheme="minorHAnsi"/>
        </w:rPr>
        <w:t>(adoptada en la sexta Sesión Plenaria)</w:t>
      </w:r>
    </w:p>
    <w:p w14:paraId="497D5B9B" w14:textId="58A22505" w:rsidR="00AC6F40" w:rsidRPr="00F722DF" w:rsidRDefault="00AC6F40" w:rsidP="00F722DF">
      <w:pPr>
        <w:pStyle w:val="Annextitle"/>
        <w:rPr>
          <w:rFonts w:eastAsia="Calibri"/>
        </w:rPr>
      </w:pPr>
      <w:r w:rsidRPr="00F722DF">
        <w:rPr>
          <w:rFonts w:eastAsia="Calibri"/>
        </w:rPr>
        <w:t>Alentar a los Estados Miembros y a los Miembros de Sector de la UIT a que, a través de la Unión, prioricen, integren y refuercen las actividades en materia de protección de la infancia en línea mediante programas específicos como la</w:t>
      </w:r>
      <w:r w:rsidR="00F722DF" w:rsidRPr="00F722DF">
        <w:rPr>
          <w:rFonts w:eastAsia="Calibri"/>
        </w:rPr>
        <w:t> </w:t>
      </w:r>
      <w:r w:rsidRPr="00F722DF">
        <w:rPr>
          <w:rFonts w:eastAsia="Calibri"/>
        </w:rPr>
        <w:t>celebración de las Niñas en las TIC</w:t>
      </w:r>
    </w:p>
    <w:p w14:paraId="6930289D" w14:textId="77777777" w:rsidR="00AC6F40" w:rsidRPr="00F722DF" w:rsidRDefault="00AC6F40" w:rsidP="00F722DF">
      <w:pPr>
        <w:pStyle w:val="Normalaftertitle"/>
        <w:rPr>
          <w:rFonts w:eastAsia="Calibri"/>
        </w:rPr>
      </w:pPr>
      <w:r w:rsidRPr="00F722DF">
        <w:rPr>
          <w:rFonts w:eastAsia="Calibri"/>
        </w:rPr>
        <w:t>El Consejo de la UIT,</w:t>
      </w:r>
    </w:p>
    <w:p w14:paraId="77931108" w14:textId="77777777" w:rsidR="00AC6F40" w:rsidRPr="00F722DF" w:rsidRDefault="00AC6F40" w:rsidP="00F722DF">
      <w:pPr>
        <w:pStyle w:val="Call"/>
        <w:rPr>
          <w:rFonts w:eastAsia="Calibri"/>
        </w:rPr>
      </w:pPr>
      <w:r w:rsidRPr="00F722DF">
        <w:rPr>
          <w:rFonts w:eastAsia="Calibri"/>
        </w:rPr>
        <w:t>considerando</w:t>
      </w:r>
    </w:p>
    <w:p w14:paraId="600165BA" w14:textId="77777777" w:rsidR="00AC6F40" w:rsidRPr="00F722DF" w:rsidRDefault="00AC6F40" w:rsidP="00AC6F40">
      <w:pPr>
        <w:rPr>
          <w:rFonts w:asciiTheme="minorHAnsi" w:hAnsiTheme="minorHAnsi" w:cstheme="minorHAnsi"/>
        </w:rPr>
      </w:pPr>
      <w:r w:rsidRPr="00F722DF">
        <w:rPr>
          <w:rFonts w:asciiTheme="minorHAnsi" w:hAnsiTheme="minorHAnsi" w:cstheme="minorHAnsi"/>
          <w:i/>
          <w:iCs/>
        </w:rPr>
        <w:t>a)</w:t>
      </w:r>
      <w:r w:rsidRPr="00F722DF">
        <w:rPr>
          <w:rFonts w:asciiTheme="minorHAnsi" w:hAnsiTheme="minorHAnsi" w:cstheme="minorHAnsi"/>
        </w:rPr>
        <w:tab/>
        <w:t>la Resolución 179 (Rev. Bucarest, 2022) de la Conferencia de Plenipotenciarios sobre la función de la UIT en la protección de la infancia en línea;</w:t>
      </w:r>
    </w:p>
    <w:p w14:paraId="30A87A4C" w14:textId="77777777" w:rsidR="00AC6F40" w:rsidRPr="00F722DF" w:rsidRDefault="00AC6F40" w:rsidP="00AC6F40">
      <w:pPr>
        <w:rPr>
          <w:rFonts w:asciiTheme="minorHAnsi" w:hAnsiTheme="minorHAnsi" w:cstheme="minorHAnsi"/>
        </w:rPr>
      </w:pPr>
      <w:r w:rsidRPr="00F722DF">
        <w:rPr>
          <w:rFonts w:asciiTheme="minorHAnsi" w:hAnsiTheme="minorHAnsi" w:cstheme="minorHAnsi"/>
          <w:i/>
          <w:iCs/>
        </w:rPr>
        <w:t>b)</w:t>
      </w:r>
      <w:r w:rsidRPr="00F722DF">
        <w:rPr>
          <w:rFonts w:asciiTheme="minorHAnsi" w:hAnsiTheme="minorHAnsi" w:cstheme="minorHAnsi"/>
        </w:rPr>
        <w:tab/>
        <w:t>la Resolución 67 (Kigali, 2022) de la Conferencia Mundial de Desarrollo de las Telecomunicaciones sobre la función del Sector de Desarrollo de las Telecomunicaciones de la UIT en la protección de la infancia en línea;</w:t>
      </w:r>
    </w:p>
    <w:p w14:paraId="4A687466" w14:textId="77777777" w:rsidR="00AC6F40" w:rsidRPr="00F722DF" w:rsidRDefault="00AC6F40" w:rsidP="00AC6F40">
      <w:pPr>
        <w:rPr>
          <w:rFonts w:asciiTheme="minorHAnsi" w:hAnsiTheme="minorHAnsi" w:cstheme="minorHAnsi"/>
        </w:rPr>
      </w:pPr>
      <w:r w:rsidRPr="00F722DF">
        <w:rPr>
          <w:rFonts w:asciiTheme="minorHAnsi" w:hAnsiTheme="minorHAnsi" w:cstheme="minorHAnsi"/>
          <w:i/>
          <w:iCs/>
        </w:rPr>
        <w:t>c)</w:t>
      </w:r>
      <w:r w:rsidRPr="00F722DF">
        <w:rPr>
          <w:rFonts w:asciiTheme="minorHAnsi" w:hAnsiTheme="minorHAnsi" w:cstheme="minorHAnsi"/>
        </w:rPr>
        <w:tab/>
        <w:t>Resolución 1306 (</w:t>
      </w:r>
      <w:proofErr w:type="spellStart"/>
      <w:r w:rsidRPr="00F722DF">
        <w:rPr>
          <w:rFonts w:asciiTheme="minorHAnsi" w:hAnsiTheme="minorHAnsi" w:cstheme="minorHAnsi"/>
        </w:rPr>
        <w:t>C09</w:t>
      </w:r>
      <w:proofErr w:type="spellEnd"/>
      <w:r w:rsidRPr="00F722DF">
        <w:rPr>
          <w:rFonts w:asciiTheme="minorHAnsi" w:hAnsiTheme="minorHAnsi" w:cstheme="minorHAnsi"/>
        </w:rPr>
        <w:t xml:space="preserve">, modificada por última vez </w:t>
      </w:r>
      <w:proofErr w:type="spellStart"/>
      <w:r w:rsidRPr="00F722DF">
        <w:rPr>
          <w:rFonts w:asciiTheme="minorHAnsi" w:hAnsiTheme="minorHAnsi" w:cstheme="minorHAnsi"/>
        </w:rPr>
        <w:t>C15</w:t>
      </w:r>
      <w:proofErr w:type="spellEnd"/>
      <w:r w:rsidRPr="00F722DF">
        <w:rPr>
          <w:rFonts w:asciiTheme="minorHAnsi" w:hAnsiTheme="minorHAnsi" w:cstheme="minorHAnsi"/>
        </w:rPr>
        <w:t xml:space="preserve">) sobre el </w:t>
      </w:r>
      <w:r w:rsidRPr="00F722DF">
        <w:rPr>
          <w:rFonts w:asciiTheme="minorHAnsi" w:hAnsiTheme="minorHAnsi" w:cstheme="minorHAnsi"/>
          <w:bCs/>
        </w:rPr>
        <w:t>papel de la UIT con respecto a cuestiones de política pública internacional relativas a la creación de un entorno de Internet seguro para los niños</w:t>
      </w:r>
      <w:r w:rsidRPr="00F722DF">
        <w:rPr>
          <w:rFonts w:asciiTheme="minorHAnsi" w:hAnsiTheme="minorHAnsi" w:cstheme="minorHAnsi"/>
        </w:rPr>
        <w:t>,</w:t>
      </w:r>
    </w:p>
    <w:p w14:paraId="24464F23" w14:textId="77777777" w:rsidR="00AC6F40" w:rsidRPr="00F722DF" w:rsidRDefault="00AC6F40" w:rsidP="00F722DF">
      <w:pPr>
        <w:pStyle w:val="Call"/>
        <w:rPr>
          <w:rFonts w:eastAsia="Calibri"/>
        </w:rPr>
      </w:pPr>
      <w:r w:rsidRPr="00F722DF">
        <w:rPr>
          <w:rFonts w:eastAsia="Calibri"/>
        </w:rPr>
        <w:t>recordando</w:t>
      </w:r>
    </w:p>
    <w:p w14:paraId="3856C2A3" w14:textId="77777777" w:rsidR="00AC6F40" w:rsidRPr="00F722DF" w:rsidRDefault="00AC6F40" w:rsidP="00AC6F40">
      <w:pPr>
        <w:rPr>
          <w:rFonts w:asciiTheme="minorHAnsi" w:hAnsiTheme="minorHAnsi" w:cstheme="minorHAnsi"/>
          <w:i/>
        </w:rPr>
      </w:pPr>
      <w:r w:rsidRPr="00F722DF">
        <w:rPr>
          <w:rFonts w:asciiTheme="minorHAnsi" w:hAnsiTheme="minorHAnsi" w:cstheme="minorHAnsi"/>
        </w:rPr>
        <w:t>la Resolución 1306 (</w:t>
      </w:r>
      <w:proofErr w:type="spellStart"/>
      <w:r w:rsidRPr="00F722DF">
        <w:rPr>
          <w:rFonts w:asciiTheme="minorHAnsi" w:hAnsiTheme="minorHAnsi" w:cstheme="minorHAnsi"/>
        </w:rPr>
        <w:t>C09</w:t>
      </w:r>
      <w:proofErr w:type="spellEnd"/>
      <w:r w:rsidRPr="00F722DF">
        <w:rPr>
          <w:rFonts w:asciiTheme="minorHAnsi" w:hAnsiTheme="minorHAnsi" w:cstheme="minorHAnsi"/>
        </w:rPr>
        <w:t>), por la que se crea un grupo de trabajo sobre protección de la infancia en línea,</w:t>
      </w:r>
    </w:p>
    <w:p w14:paraId="7375C7A5" w14:textId="77777777" w:rsidR="00AC6F40" w:rsidRPr="00F722DF" w:rsidRDefault="00AC6F40" w:rsidP="00F722DF">
      <w:pPr>
        <w:pStyle w:val="Call"/>
        <w:rPr>
          <w:rFonts w:eastAsia="Calibri"/>
        </w:rPr>
      </w:pPr>
      <w:r w:rsidRPr="00F722DF">
        <w:rPr>
          <w:rFonts w:eastAsia="Calibri"/>
        </w:rPr>
        <w:t>teniendo en cuenta</w:t>
      </w:r>
    </w:p>
    <w:p w14:paraId="0878FC61" w14:textId="77777777" w:rsidR="00AC6F40" w:rsidRPr="00F722DF" w:rsidRDefault="00AC6F40" w:rsidP="00AC6F40">
      <w:pPr>
        <w:rPr>
          <w:rFonts w:asciiTheme="minorHAnsi" w:eastAsia="Calibri" w:hAnsiTheme="minorHAnsi" w:cstheme="minorHAnsi"/>
        </w:rPr>
      </w:pPr>
      <w:r w:rsidRPr="00F722DF">
        <w:rPr>
          <w:rFonts w:asciiTheme="minorHAnsi" w:eastAsia="Calibri" w:hAnsiTheme="minorHAnsi" w:cstheme="minorHAnsi"/>
        </w:rPr>
        <w:t>que, en la Resolución 179 (Rev. Bucarest, 2022), se resolvió, entre otras cosas:</w:t>
      </w:r>
    </w:p>
    <w:p w14:paraId="2476DD65" w14:textId="77777777" w:rsidR="00AC6F40" w:rsidRPr="00F722DF" w:rsidRDefault="00AC6F40" w:rsidP="00AC6F40">
      <w:pPr>
        <w:rPr>
          <w:rFonts w:asciiTheme="minorHAnsi" w:eastAsia="Calibri" w:hAnsiTheme="minorHAnsi" w:cstheme="minorHAnsi"/>
        </w:rPr>
      </w:pPr>
      <w:r w:rsidRPr="00F722DF">
        <w:rPr>
          <w:rFonts w:asciiTheme="minorHAnsi" w:eastAsia="Calibri" w:hAnsiTheme="minorHAnsi" w:cstheme="minorHAnsi"/>
          <w:i/>
          <w:iCs/>
        </w:rPr>
        <w:t>a)</w:t>
      </w:r>
      <w:r w:rsidRPr="00F722DF">
        <w:rPr>
          <w:rFonts w:asciiTheme="minorHAnsi" w:eastAsia="Calibri" w:hAnsiTheme="minorHAnsi" w:cstheme="minorHAnsi"/>
        </w:rPr>
        <w:tab/>
        <w:t xml:space="preserve">continuar con la iniciativa </w:t>
      </w:r>
      <w:proofErr w:type="spellStart"/>
      <w:r w:rsidRPr="00F722DF">
        <w:rPr>
          <w:rFonts w:asciiTheme="minorHAnsi" w:eastAsia="Calibri" w:hAnsiTheme="minorHAnsi" w:cstheme="minorHAnsi"/>
        </w:rPr>
        <w:t>PIeL</w:t>
      </w:r>
      <w:proofErr w:type="spellEnd"/>
      <w:r w:rsidRPr="00F722DF">
        <w:rPr>
          <w:rFonts w:asciiTheme="minorHAnsi" w:eastAsia="Calibri" w:hAnsiTheme="minorHAnsi" w:cstheme="minorHAnsi"/>
        </w:rPr>
        <w:t>, como plataforma para sensibilizar y compartir prácticas idóneas respecto de las cuestiones relativas a la seguridad de la infancia en línea;</w:t>
      </w:r>
    </w:p>
    <w:p w14:paraId="7F184274" w14:textId="77777777" w:rsidR="00AC6F40" w:rsidRPr="003121B9" w:rsidRDefault="00AC6F40" w:rsidP="00AC6F40">
      <w:pPr>
        <w:rPr>
          <w:rFonts w:asciiTheme="minorHAnsi" w:eastAsia="Calibri" w:hAnsiTheme="minorHAnsi" w:cstheme="minorHAnsi"/>
          <w:spacing w:val="-2"/>
        </w:rPr>
      </w:pPr>
      <w:r w:rsidRPr="003121B9">
        <w:rPr>
          <w:rFonts w:asciiTheme="minorHAnsi" w:eastAsia="Calibri" w:hAnsiTheme="minorHAnsi" w:cstheme="minorHAnsi"/>
          <w:i/>
          <w:iCs/>
          <w:spacing w:val="-2"/>
        </w:rPr>
        <w:t>b)</w:t>
      </w:r>
      <w:r w:rsidRPr="003121B9">
        <w:rPr>
          <w:rFonts w:asciiTheme="minorHAnsi" w:eastAsia="Calibri" w:hAnsiTheme="minorHAnsi" w:cstheme="minorHAnsi"/>
          <w:spacing w:val="-2"/>
        </w:rPr>
        <w:tab/>
        <w:t>seguir brindando asistencia y apoyo a los Estados Miembros, en particular a los países en desarrollo</w:t>
      </w:r>
      <w:r w:rsidRPr="003121B9">
        <w:rPr>
          <w:rFonts w:asciiTheme="minorHAnsi" w:eastAsia="Calibri" w:hAnsiTheme="minorHAnsi" w:cstheme="minorHAnsi"/>
          <w:spacing w:val="-2"/>
          <w:position w:val="6"/>
          <w:sz w:val="16"/>
        </w:rPr>
        <w:footnoteReference w:id="1"/>
      </w:r>
      <w:r w:rsidRPr="003121B9">
        <w:rPr>
          <w:rFonts w:asciiTheme="minorHAnsi" w:eastAsia="Calibri" w:hAnsiTheme="minorHAnsi" w:cstheme="minorHAnsi"/>
          <w:spacing w:val="-2"/>
        </w:rPr>
        <w:t xml:space="preserve">, en la elaboración y aplicación de hojas de ruta relacionadas con la Iniciativa </w:t>
      </w:r>
      <w:proofErr w:type="spellStart"/>
      <w:r w:rsidRPr="003121B9">
        <w:rPr>
          <w:rFonts w:asciiTheme="minorHAnsi" w:eastAsia="Calibri" w:hAnsiTheme="minorHAnsi" w:cstheme="minorHAnsi"/>
          <w:spacing w:val="-2"/>
        </w:rPr>
        <w:t>PIeL</w:t>
      </w:r>
      <w:proofErr w:type="spellEnd"/>
      <w:r w:rsidRPr="003121B9">
        <w:rPr>
          <w:rFonts w:asciiTheme="minorHAnsi" w:eastAsia="Calibri" w:hAnsiTheme="minorHAnsi" w:cstheme="minorHAnsi"/>
          <w:spacing w:val="-2"/>
        </w:rPr>
        <w:t>;</w:t>
      </w:r>
    </w:p>
    <w:p w14:paraId="60BA6961" w14:textId="77777777" w:rsidR="00AC6F40" w:rsidRPr="00F722DF" w:rsidRDefault="00AC6F40" w:rsidP="00AC6F40">
      <w:pPr>
        <w:rPr>
          <w:rFonts w:asciiTheme="minorHAnsi" w:eastAsia="Calibri" w:hAnsiTheme="minorHAnsi" w:cstheme="minorHAnsi"/>
        </w:rPr>
      </w:pPr>
      <w:r w:rsidRPr="00F722DF">
        <w:rPr>
          <w:rFonts w:asciiTheme="minorHAnsi" w:eastAsia="Calibri" w:hAnsiTheme="minorHAnsi" w:cstheme="minorHAnsi"/>
          <w:i/>
          <w:iCs/>
        </w:rPr>
        <w:lastRenderedPageBreak/>
        <w:t>c)</w:t>
      </w:r>
      <w:r w:rsidRPr="00F722DF">
        <w:rPr>
          <w:rFonts w:asciiTheme="minorHAnsi" w:eastAsia="Calibri" w:hAnsiTheme="minorHAnsi" w:cstheme="minorHAnsi"/>
        </w:rPr>
        <w:tab/>
      </w:r>
      <w:r w:rsidRPr="00F722DF">
        <w:rPr>
          <w:rFonts w:asciiTheme="minorHAnsi" w:hAnsiTheme="minorHAnsi" w:cstheme="minorHAnsi"/>
        </w:rPr>
        <w:t xml:space="preserve">mantener la coordinación sobre la iniciativa </w:t>
      </w:r>
      <w:proofErr w:type="spellStart"/>
      <w:r w:rsidRPr="00F722DF">
        <w:rPr>
          <w:rFonts w:asciiTheme="minorHAnsi" w:hAnsiTheme="minorHAnsi" w:cstheme="minorHAnsi"/>
        </w:rPr>
        <w:t>PIeL</w:t>
      </w:r>
      <w:proofErr w:type="spellEnd"/>
      <w:r w:rsidRPr="00F722DF">
        <w:rPr>
          <w:rFonts w:asciiTheme="minorHAnsi" w:hAnsiTheme="minorHAnsi" w:cstheme="minorHAnsi"/>
        </w:rPr>
        <w:t xml:space="preserve"> en cooperación con las partes interesadas pertinentes,</w:t>
      </w:r>
    </w:p>
    <w:p w14:paraId="6A699736" w14:textId="77777777" w:rsidR="00AC6F40" w:rsidRPr="00F722DF" w:rsidRDefault="00AC6F40" w:rsidP="00A52482">
      <w:pPr>
        <w:pStyle w:val="Call"/>
        <w:rPr>
          <w:rFonts w:asciiTheme="minorHAnsi" w:eastAsia="Calibri" w:hAnsiTheme="minorHAnsi" w:cstheme="minorHAnsi"/>
        </w:rPr>
      </w:pPr>
      <w:r w:rsidRPr="00F722DF">
        <w:rPr>
          <w:rFonts w:asciiTheme="minorHAnsi" w:eastAsia="Calibri" w:hAnsiTheme="minorHAnsi" w:cstheme="minorHAnsi"/>
        </w:rPr>
        <w:t>reconociendo</w:t>
      </w:r>
    </w:p>
    <w:p w14:paraId="6FDADED0" w14:textId="77777777" w:rsidR="00AC6F40" w:rsidRPr="00F722DF" w:rsidRDefault="00AC6F40" w:rsidP="00AC6F40">
      <w:pPr>
        <w:rPr>
          <w:rFonts w:asciiTheme="minorHAnsi" w:hAnsiTheme="minorHAnsi" w:cstheme="minorHAnsi"/>
        </w:rPr>
      </w:pPr>
      <w:r w:rsidRPr="00F722DF">
        <w:rPr>
          <w:rFonts w:asciiTheme="minorHAnsi" w:hAnsiTheme="minorHAnsi" w:cstheme="minorHAnsi"/>
          <w:i/>
          <w:iCs/>
        </w:rPr>
        <w:t>a)</w:t>
      </w:r>
      <w:r w:rsidRPr="00F722DF">
        <w:rPr>
          <w:rFonts w:asciiTheme="minorHAnsi" w:hAnsiTheme="minorHAnsi" w:cstheme="minorHAnsi"/>
        </w:rPr>
        <w:tab/>
        <w:t>que impera la necesidad de adoptar una respuesta colectiva urgente para luchar contra el abuso y la explotación sexual de niños en línea;</w:t>
      </w:r>
    </w:p>
    <w:p w14:paraId="3AA2B67E" w14:textId="0FC6E29E" w:rsidR="00AC6F40" w:rsidRPr="00F722DF" w:rsidRDefault="00AC6F40" w:rsidP="00AC6F40">
      <w:pPr>
        <w:rPr>
          <w:rFonts w:asciiTheme="minorHAnsi" w:hAnsiTheme="minorHAnsi" w:cstheme="minorHAnsi"/>
        </w:rPr>
      </w:pPr>
      <w:r w:rsidRPr="00F722DF">
        <w:rPr>
          <w:rFonts w:asciiTheme="minorHAnsi" w:hAnsiTheme="minorHAnsi" w:cstheme="minorHAnsi"/>
          <w:i/>
          <w:iCs/>
        </w:rPr>
        <w:t>b)</w:t>
      </w:r>
      <w:r w:rsidRPr="00F722DF">
        <w:rPr>
          <w:rFonts w:asciiTheme="minorHAnsi" w:hAnsiTheme="minorHAnsi" w:cstheme="minorHAnsi"/>
        </w:rPr>
        <w:tab/>
        <w:t>que la campaña de las Niñas en las TIC goza de una amplia aceptación entre los Estados Miembros y que, desde 2011, se celebran 11</w:t>
      </w:r>
      <w:r w:rsidR="00274394" w:rsidRPr="00F722DF">
        <w:rPr>
          <w:rFonts w:asciiTheme="minorHAnsi" w:hAnsiTheme="minorHAnsi" w:cstheme="minorHAnsi"/>
        </w:rPr>
        <w:t> </w:t>
      </w:r>
      <w:r w:rsidRPr="00F722DF">
        <w:rPr>
          <w:rFonts w:asciiTheme="minorHAnsi" w:hAnsiTheme="minorHAnsi" w:cstheme="minorHAnsi"/>
        </w:rPr>
        <w:t>400 eventos internacionales en honor del Día de las Niñas en las TIC en 171 países, según el mapa de las Niñas en las TIC de la UIT</w:t>
      </w:r>
      <w:r w:rsidRPr="00F722DF">
        <w:rPr>
          <w:rFonts w:asciiTheme="minorHAnsi" w:hAnsiTheme="minorHAnsi" w:cstheme="minorHAnsi"/>
          <w:position w:val="6"/>
          <w:sz w:val="16"/>
        </w:rPr>
        <w:footnoteReference w:id="2"/>
      </w:r>
      <w:r w:rsidRPr="00F722DF">
        <w:rPr>
          <w:rFonts w:asciiTheme="minorHAnsi" w:hAnsiTheme="minorHAnsi" w:cstheme="minorHAnsi"/>
        </w:rPr>
        <w:t>,</w:t>
      </w:r>
    </w:p>
    <w:p w14:paraId="0F3FCD07" w14:textId="77777777" w:rsidR="00AC6F40" w:rsidRPr="00F722DF" w:rsidRDefault="00AC6F40" w:rsidP="00A52482">
      <w:pPr>
        <w:pStyle w:val="Call"/>
        <w:rPr>
          <w:rFonts w:asciiTheme="minorHAnsi" w:eastAsia="Calibri" w:hAnsiTheme="minorHAnsi" w:cstheme="minorHAnsi"/>
        </w:rPr>
      </w:pPr>
      <w:r w:rsidRPr="00F722DF">
        <w:rPr>
          <w:rFonts w:asciiTheme="minorHAnsi" w:eastAsia="Calibri" w:hAnsiTheme="minorHAnsi" w:cstheme="minorHAnsi"/>
        </w:rPr>
        <w:t>resuelve</w:t>
      </w:r>
    </w:p>
    <w:p w14:paraId="1DA94370" w14:textId="77777777" w:rsidR="00AC6F40" w:rsidRPr="00F722DF" w:rsidRDefault="00AC6F40" w:rsidP="00AC6F40">
      <w:pPr>
        <w:rPr>
          <w:rFonts w:asciiTheme="minorHAnsi" w:hAnsiTheme="minorHAnsi" w:cstheme="minorHAnsi"/>
        </w:rPr>
      </w:pPr>
      <w:r w:rsidRPr="00F722DF">
        <w:rPr>
          <w:rFonts w:asciiTheme="minorHAnsi" w:hAnsiTheme="minorHAnsi" w:cstheme="minorHAnsi"/>
        </w:rPr>
        <w:t>1</w:t>
      </w:r>
      <w:r w:rsidRPr="00F722DF">
        <w:rPr>
          <w:rFonts w:asciiTheme="minorHAnsi" w:hAnsiTheme="minorHAnsi" w:cstheme="minorHAnsi"/>
        </w:rPr>
        <w:tab/>
        <w:t>promover, coordinar y apoyar programas relativos a la inclusión digital y otros programas dirigidos por la UIT y relacionados con los derechos y el bienestar de la infancia con ayuda de información y recursos sobre seguridad en línea;</w:t>
      </w:r>
    </w:p>
    <w:p w14:paraId="018CD484" w14:textId="77777777" w:rsidR="00AC6F40" w:rsidRPr="00F722DF" w:rsidRDefault="00AC6F40" w:rsidP="00AC6F40">
      <w:pPr>
        <w:rPr>
          <w:rFonts w:asciiTheme="minorHAnsi" w:hAnsiTheme="minorHAnsi" w:cstheme="minorHAnsi"/>
        </w:rPr>
      </w:pPr>
      <w:r w:rsidRPr="00F722DF">
        <w:rPr>
          <w:rFonts w:asciiTheme="minorHAnsi" w:hAnsiTheme="minorHAnsi" w:cstheme="minorHAnsi"/>
        </w:rPr>
        <w:t>2</w:t>
      </w:r>
      <w:r w:rsidRPr="00F722DF">
        <w:rPr>
          <w:rFonts w:asciiTheme="minorHAnsi" w:hAnsiTheme="minorHAnsi" w:cstheme="minorHAnsi"/>
        </w:rPr>
        <w:tab/>
        <w:t>asignar los recursos necesarios para garantizar que los niños y los jóvenes gocen de autonomía y dispongan de competencias en materia de seguridad en línea,</w:t>
      </w:r>
    </w:p>
    <w:p w14:paraId="12C1819B" w14:textId="77777777" w:rsidR="00AC6F40" w:rsidRPr="00F722DF" w:rsidRDefault="00AC6F40" w:rsidP="00A52482">
      <w:pPr>
        <w:pStyle w:val="Call"/>
        <w:rPr>
          <w:rFonts w:asciiTheme="minorHAnsi" w:eastAsia="Calibri" w:hAnsiTheme="minorHAnsi" w:cstheme="minorHAnsi"/>
        </w:rPr>
      </w:pPr>
      <w:r w:rsidRPr="00F722DF">
        <w:rPr>
          <w:rFonts w:asciiTheme="minorHAnsi" w:eastAsia="Calibri" w:hAnsiTheme="minorHAnsi" w:cstheme="minorHAnsi"/>
        </w:rPr>
        <w:t>invita a los Estados Miembros y a los Miembros de Sector</w:t>
      </w:r>
    </w:p>
    <w:p w14:paraId="2495CCE3" w14:textId="7FF1375D" w:rsidR="00AC6F40" w:rsidRPr="00F722DF" w:rsidRDefault="00AC6F40" w:rsidP="00AC6F40">
      <w:pPr>
        <w:rPr>
          <w:rFonts w:asciiTheme="minorHAnsi" w:hAnsiTheme="minorHAnsi" w:cstheme="minorHAnsi"/>
        </w:rPr>
      </w:pPr>
      <w:r w:rsidRPr="00F722DF">
        <w:rPr>
          <w:rFonts w:asciiTheme="minorHAnsi" w:hAnsiTheme="minorHAnsi" w:cstheme="minorHAnsi"/>
        </w:rPr>
        <w:t>1</w:t>
      </w:r>
      <w:r w:rsidRPr="00F722DF">
        <w:rPr>
          <w:rFonts w:asciiTheme="minorHAnsi" w:hAnsiTheme="minorHAnsi" w:cstheme="minorHAnsi"/>
        </w:rPr>
        <w:tab/>
        <w:t xml:space="preserve">a priorizar, integrar y reforzar las actividades estratégicas en materia de </w:t>
      </w:r>
      <w:proofErr w:type="spellStart"/>
      <w:r w:rsidRPr="00F722DF">
        <w:rPr>
          <w:rFonts w:asciiTheme="minorHAnsi" w:hAnsiTheme="minorHAnsi" w:cstheme="minorHAnsi"/>
        </w:rPr>
        <w:t>PIeL</w:t>
      </w:r>
      <w:proofErr w:type="spellEnd"/>
      <w:r w:rsidRPr="00F722DF">
        <w:rPr>
          <w:rFonts w:asciiTheme="minorHAnsi" w:hAnsiTheme="minorHAnsi" w:cstheme="minorHAnsi"/>
        </w:rPr>
        <w:t xml:space="preserve"> </w:t>
      </w:r>
      <w:r w:rsidRPr="00F722DF">
        <w:rPr>
          <w:rFonts w:asciiTheme="minorHAnsi" w:eastAsia="Calibri" w:hAnsiTheme="minorHAnsi" w:cstheme="minorHAnsi"/>
        </w:rPr>
        <w:t>mediante programas específicos como la celebración de las Niñas en las TIC</w:t>
      </w:r>
      <w:r w:rsidRPr="00F722DF">
        <w:rPr>
          <w:rFonts w:asciiTheme="minorHAnsi" w:hAnsiTheme="minorHAnsi" w:cstheme="minorHAnsi"/>
        </w:rPr>
        <w:t>;</w:t>
      </w:r>
    </w:p>
    <w:p w14:paraId="21E1DA93" w14:textId="77777777" w:rsidR="00AC6F40" w:rsidRPr="00F722DF" w:rsidRDefault="00AC6F40" w:rsidP="00AC6F40">
      <w:pPr>
        <w:rPr>
          <w:rFonts w:asciiTheme="minorHAnsi" w:hAnsiTheme="minorHAnsi" w:cstheme="minorHAnsi"/>
        </w:rPr>
      </w:pPr>
      <w:r w:rsidRPr="00F722DF">
        <w:rPr>
          <w:rFonts w:asciiTheme="minorHAnsi" w:hAnsiTheme="minorHAnsi" w:cstheme="minorHAnsi"/>
        </w:rPr>
        <w:t>2</w:t>
      </w:r>
      <w:r w:rsidRPr="00F722DF">
        <w:rPr>
          <w:rFonts w:asciiTheme="minorHAnsi" w:hAnsiTheme="minorHAnsi" w:cstheme="minorHAnsi"/>
        </w:rPr>
        <w:tab/>
        <w:t>a seguir colaborando en este ámbito con otros miembros por conducto de la UIT.</w:t>
      </w:r>
    </w:p>
    <w:p w14:paraId="57BE0BBA" w14:textId="77777777" w:rsidR="003121B9" w:rsidRDefault="003121B9" w:rsidP="0032202E">
      <w:pPr>
        <w:pStyle w:val="Reasons"/>
      </w:pPr>
    </w:p>
    <w:p w14:paraId="30D4BF01" w14:textId="77777777" w:rsidR="003121B9" w:rsidRDefault="003121B9">
      <w:pPr>
        <w:jc w:val="center"/>
      </w:pPr>
      <w:r>
        <w:t>______________</w:t>
      </w:r>
    </w:p>
    <w:sectPr w:rsidR="003121B9"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E22FD80" w:rsidR="003273A4" w:rsidRDefault="00945F77" w:rsidP="003273A4">
          <w:pPr>
            <w:pStyle w:val="Header"/>
            <w:jc w:val="left"/>
            <w:rPr>
              <w:noProof/>
            </w:rPr>
          </w:pPr>
          <w:r w:rsidRPr="00945F77">
            <w:rPr>
              <w:noProof/>
            </w:rPr>
            <w:t>R2401096</w:t>
          </w:r>
        </w:p>
      </w:tc>
      <w:tc>
        <w:tcPr>
          <w:tcW w:w="8261" w:type="dxa"/>
        </w:tcPr>
        <w:p w14:paraId="31328314" w14:textId="44BB9A7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F722DF">
            <w:rPr>
              <w:bCs/>
            </w:rPr>
            <w:t>126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D6A531E" w:rsidR="00760F1C" w:rsidRPr="00AC6F40" w:rsidRDefault="00760F1C" w:rsidP="007C32F6">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proofErr w:type="spellStart"/>
          <w:r w:rsidRPr="0064481D">
            <w:rPr>
              <w:color w:val="0563C1"/>
              <w:szCs w:val="14"/>
            </w:rPr>
            <w:t>www.itu.int</w:t>
          </w:r>
          <w:proofErr w:type="spellEnd"/>
          <w:r w:rsidRPr="0064481D">
            <w:rPr>
              <w:color w:val="0563C1"/>
              <w:szCs w:val="14"/>
            </w:rPr>
            <w:t>/</w:t>
          </w:r>
          <w:proofErr w:type="spellStart"/>
          <w:r w:rsidRPr="0064481D">
            <w:rPr>
              <w:color w:val="0563C1"/>
              <w:szCs w:val="14"/>
            </w:rPr>
            <w:t>council</w:t>
          </w:r>
          <w:proofErr w:type="spellEnd"/>
        </w:p>
      </w:tc>
      <w:tc>
        <w:tcPr>
          <w:tcW w:w="8261" w:type="dxa"/>
        </w:tcPr>
        <w:p w14:paraId="20F74E99" w14:textId="6BF58C6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F722DF">
            <w:rPr>
              <w:bCs/>
            </w:rPr>
            <w:t>126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30395B0" w:rsidR="00760F1C" w:rsidRPr="00AC6F40" w:rsidRDefault="00760F1C" w:rsidP="007C32F6">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708AFAC6" w14:textId="77777777" w:rsidR="00AC6F40" w:rsidRPr="00507C54" w:rsidRDefault="00AC6F40" w:rsidP="00AC6F40">
      <w:pPr>
        <w:pStyle w:val="FootnoteText"/>
        <w:tabs>
          <w:tab w:val="clear" w:pos="256"/>
          <w:tab w:val="clear" w:pos="567"/>
          <w:tab w:val="clear" w:pos="1134"/>
          <w:tab w:val="clear" w:pos="1701"/>
          <w:tab w:val="clear" w:pos="2268"/>
          <w:tab w:val="clear" w:pos="2835"/>
        </w:tabs>
        <w:ind w:left="284" w:hanging="284"/>
        <w:rPr>
          <w:lang w:val="es-ES"/>
        </w:rPr>
      </w:pPr>
      <w:r>
        <w:rPr>
          <w:rStyle w:val="FootnoteReference"/>
        </w:rPr>
        <w:footnoteRef/>
      </w:r>
      <w:r w:rsidRPr="00885B70">
        <w:rPr>
          <w:lang w:val="es-ES"/>
        </w:rPr>
        <w:tab/>
      </w:r>
      <w:r w:rsidRPr="00507C54">
        <w:rPr>
          <w:sz w:val="20"/>
          <w:lang w:val="es-ES"/>
        </w:rPr>
        <w:t>Este término comprende los países menos adelantados, los pequeños Estados insulares en desarrollo, los países en desarrollo sin litoral y los países con economías en transición.</w:t>
      </w:r>
    </w:p>
  </w:footnote>
  <w:footnote w:id="2">
    <w:p w14:paraId="1EC37D6C" w14:textId="2B89E19C" w:rsidR="00AC6F40" w:rsidRPr="00885B70" w:rsidRDefault="00AC6F40" w:rsidP="00945F77">
      <w:pPr>
        <w:pStyle w:val="FootnoteText"/>
        <w:tabs>
          <w:tab w:val="clear" w:pos="256"/>
          <w:tab w:val="clear" w:pos="567"/>
          <w:tab w:val="clear" w:pos="1134"/>
          <w:tab w:val="clear" w:pos="1701"/>
          <w:tab w:val="clear" w:pos="2268"/>
          <w:tab w:val="clear" w:pos="2835"/>
        </w:tabs>
        <w:ind w:left="284" w:hanging="284"/>
        <w:rPr>
          <w:lang w:val="es-ES"/>
        </w:rPr>
      </w:pPr>
      <w:r>
        <w:rPr>
          <w:rStyle w:val="FootnoteReference"/>
        </w:rPr>
        <w:footnoteRef/>
      </w:r>
      <w:r w:rsidRPr="00885B70">
        <w:rPr>
          <w:lang w:val="es-ES"/>
        </w:rPr>
        <w:tab/>
      </w:r>
      <w:r w:rsidRPr="00945F77">
        <w:rPr>
          <w:sz w:val="20"/>
          <w:lang w:val="es-ES"/>
        </w:rPr>
        <w:t xml:space="preserve">Datos procedentes del mapa de las Niñas en las TIC de la UIT: </w:t>
      </w:r>
      <w:hyperlink r:id="rId1" w:history="1">
        <w:r w:rsidR="00F722DF" w:rsidRPr="00945F77">
          <w:rPr>
            <w:rStyle w:val="Hyperlink"/>
            <w:sz w:val="20"/>
            <w:lang w:val="es-ES"/>
          </w:rPr>
          <w:t>https://www.itu.int/en/ITU-D/Digital-Inclusion/Women-and-Girls/Girls-in-ICT-Portal/Pages/Portaldev.aspx</w:t>
        </w:r>
      </w:hyperlink>
      <w:r w:rsidR="00945F77" w:rsidRPr="00945F77">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1"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4" w15:restartNumberingAfterBreak="0">
    <w:nsid w:val="793D604C"/>
    <w:multiLevelType w:val="hybridMultilevel"/>
    <w:tmpl w:val="4FAE45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78111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57531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410426">
    <w:abstractNumId w:val="3"/>
  </w:num>
  <w:num w:numId="4" w16cid:durableId="409499168">
    <w:abstractNumId w:val="1"/>
  </w:num>
  <w:num w:numId="5" w16cid:durableId="186419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54837"/>
    <w:rsid w:val="00093EEB"/>
    <w:rsid w:val="000B0D00"/>
    <w:rsid w:val="000B7C15"/>
    <w:rsid w:val="000D1D0F"/>
    <w:rsid w:val="000F5290"/>
    <w:rsid w:val="0010165C"/>
    <w:rsid w:val="001212CD"/>
    <w:rsid w:val="00146BFB"/>
    <w:rsid w:val="001559F5"/>
    <w:rsid w:val="001853D5"/>
    <w:rsid w:val="001F14A2"/>
    <w:rsid w:val="00274394"/>
    <w:rsid w:val="002801AA"/>
    <w:rsid w:val="002C4676"/>
    <w:rsid w:val="002C70B0"/>
    <w:rsid w:val="002F3CC4"/>
    <w:rsid w:val="003121B9"/>
    <w:rsid w:val="003273A4"/>
    <w:rsid w:val="003747D6"/>
    <w:rsid w:val="00460295"/>
    <w:rsid w:val="00473962"/>
    <w:rsid w:val="004B5D49"/>
    <w:rsid w:val="00513630"/>
    <w:rsid w:val="00543A2C"/>
    <w:rsid w:val="00546D09"/>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03E6F"/>
    <w:rsid w:val="00707B49"/>
    <w:rsid w:val="00726872"/>
    <w:rsid w:val="00760F1C"/>
    <w:rsid w:val="007657F0"/>
    <w:rsid w:val="0077252D"/>
    <w:rsid w:val="007955DA"/>
    <w:rsid w:val="007C32F6"/>
    <w:rsid w:val="007E5DD3"/>
    <w:rsid w:val="007F350B"/>
    <w:rsid w:val="00820BE4"/>
    <w:rsid w:val="0082413D"/>
    <w:rsid w:val="008451E8"/>
    <w:rsid w:val="008B791D"/>
    <w:rsid w:val="00913B9C"/>
    <w:rsid w:val="00927F93"/>
    <w:rsid w:val="00945F77"/>
    <w:rsid w:val="00956E77"/>
    <w:rsid w:val="009F4811"/>
    <w:rsid w:val="00A52482"/>
    <w:rsid w:val="00AA390C"/>
    <w:rsid w:val="00AC6F40"/>
    <w:rsid w:val="00B0200A"/>
    <w:rsid w:val="00B574DB"/>
    <w:rsid w:val="00B826C2"/>
    <w:rsid w:val="00B8298E"/>
    <w:rsid w:val="00BD0723"/>
    <w:rsid w:val="00BD2518"/>
    <w:rsid w:val="00BF1D1C"/>
    <w:rsid w:val="00C20C59"/>
    <w:rsid w:val="00C2727F"/>
    <w:rsid w:val="00C4474A"/>
    <w:rsid w:val="00C538FC"/>
    <w:rsid w:val="00C55B1F"/>
    <w:rsid w:val="00CA0F76"/>
    <w:rsid w:val="00CB421D"/>
    <w:rsid w:val="00CF1A67"/>
    <w:rsid w:val="00D2750E"/>
    <w:rsid w:val="00D34CFC"/>
    <w:rsid w:val="00D46539"/>
    <w:rsid w:val="00D50A36"/>
    <w:rsid w:val="00D62446"/>
    <w:rsid w:val="00DA4EA2"/>
    <w:rsid w:val="00DC3D3E"/>
    <w:rsid w:val="00DD53F8"/>
    <w:rsid w:val="00DE2C90"/>
    <w:rsid w:val="00DE3B24"/>
    <w:rsid w:val="00E06947"/>
    <w:rsid w:val="00E34072"/>
    <w:rsid w:val="00E3592D"/>
    <w:rsid w:val="00E50D76"/>
    <w:rsid w:val="00E92DE8"/>
    <w:rsid w:val="00EB1212"/>
    <w:rsid w:val="00ED2ABE"/>
    <w:rsid w:val="00ED65AB"/>
    <w:rsid w:val="00F12850"/>
    <w:rsid w:val="00F24B71"/>
    <w:rsid w:val="00F33BF4"/>
    <w:rsid w:val="00F7105E"/>
    <w:rsid w:val="00F722DF"/>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C6F40"/>
    <w:rPr>
      <w:rFonts w:ascii="Calibri" w:hAnsi="Calibri"/>
      <w:caps/>
      <w:noProof/>
      <w:sz w:val="16"/>
      <w:lang w:val="es-ES_tradnl" w:eastAsia="en-US"/>
    </w:rPr>
  </w:style>
  <w:style w:type="character" w:styleId="UnresolvedMention">
    <w:name w:val="Unresolved Mention"/>
    <w:basedOn w:val="DefaultParagraphFont"/>
    <w:uiPriority w:val="99"/>
    <w:semiHidden/>
    <w:unhideWhenUsed/>
    <w:rsid w:val="00F7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17125">
      <w:bodyDiv w:val="1"/>
      <w:marLeft w:val="0"/>
      <w:marRight w:val="0"/>
      <w:marTop w:val="0"/>
      <w:marBottom w:val="0"/>
      <w:divBdr>
        <w:top w:val="none" w:sz="0" w:space="0" w:color="auto"/>
        <w:left w:val="none" w:sz="0" w:space="0" w:color="auto"/>
        <w:bottom w:val="none" w:sz="0" w:space="0" w:color="auto"/>
        <w:right w:val="none" w:sz="0" w:space="0" w:color="auto"/>
      </w:divBdr>
    </w:div>
    <w:div w:id="1141772836">
      <w:bodyDiv w:val="1"/>
      <w:marLeft w:val="0"/>
      <w:marRight w:val="0"/>
      <w:marTop w:val="0"/>
      <w:marBottom w:val="0"/>
      <w:divBdr>
        <w:top w:val="none" w:sz="0" w:space="0" w:color="auto"/>
        <w:left w:val="none" w:sz="0" w:space="0" w:color="auto"/>
        <w:bottom w:val="none" w:sz="0" w:space="0" w:color="auto"/>
        <w:right w:val="none" w:sz="0" w:space="0" w:color="auto"/>
      </w:divBdr>
    </w:div>
    <w:div w:id="1396515541">
      <w:bodyDiv w:val="1"/>
      <w:marLeft w:val="0"/>
      <w:marRight w:val="0"/>
      <w:marTop w:val="0"/>
      <w:marBottom w:val="0"/>
      <w:divBdr>
        <w:top w:val="none" w:sz="0" w:space="0" w:color="auto"/>
        <w:left w:val="none" w:sz="0" w:space="0" w:color="auto"/>
        <w:bottom w:val="none" w:sz="0" w:space="0" w:color="auto"/>
        <w:right w:val="none" w:sz="0" w:space="0" w:color="auto"/>
      </w:divBdr>
    </w:div>
    <w:div w:id="1639647391">
      <w:bodyDiv w:val="1"/>
      <w:marLeft w:val="0"/>
      <w:marRight w:val="0"/>
      <w:marTop w:val="0"/>
      <w:marBottom w:val="0"/>
      <w:divBdr>
        <w:top w:val="none" w:sz="0" w:space="0" w:color="auto"/>
        <w:left w:val="none" w:sz="0" w:space="0" w:color="auto"/>
        <w:bottom w:val="none" w:sz="0" w:space="0" w:color="auto"/>
        <w:right w:val="none" w:sz="0" w:space="0" w:color="auto"/>
      </w:divBdr>
    </w:div>
    <w:div w:id="1652293976">
      <w:bodyDiv w:val="1"/>
      <w:marLeft w:val="0"/>
      <w:marRight w:val="0"/>
      <w:marTop w:val="0"/>
      <w:marBottom w:val="0"/>
      <w:divBdr>
        <w:top w:val="none" w:sz="0" w:space="0" w:color="auto"/>
        <w:left w:val="none" w:sz="0" w:space="0" w:color="auto"/>
        <w:bottom w:val="none" w:sz="0" w:space="0" w:color="auto"/>
        <w:right w:val="none" w:sz="0" w:space="0" w:color="auto"/>
      </w:divBdr>
    </w:div>
    <w:div w:id="1726950593">
      <w:bodyDiv w:val="1"/>
      <w:marLeft w:val="0"/>
      <w:marRight w:val="0"/>
      <w:marTop w:val="0"/>
      <w:marBottom w:val="0"/>
      <w:divBdr>
        <w:top w:val="none" w:sz="0" w:space="0" w:color="auto"/>
        <w:left w:val="none" w:sz="0" w:space="0" w:color="auto"/>
        <w:bottom w:val="none" w:sz="0" w:space="0" w:color="auto"/>
        <w:right w:val="none" w:sz="0" w:space="0" w:color="auto"/>
      </w:divBdr>
    </w:div>
    <w:div w:id="19630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Digital-Inclusion/Women-and-Girls/Girls-in-ICT-Portal/Pages/Portaldev.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2367</Characters>
  <Application>Microsoft Office Word</Application>
  <DocSecurity>0</DocSecurity>
  <Lines>19</Lines>
  <Paragraphs>5</Paragraphs>
  <ScaleCrop>false</ScaleCrop>
  <Manager/>
  <Company/>
  <LinksUpToDate>false</LinksUpToDate>
  <CharactersWithSpaces>2840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1423 - Child online protection</dc:title>
  <dc:subject>2024 session of the Council</dc:subject>
  <dc:creator/>
  <cp:keywords>Council-24, C24, Council 2024</cp:keywords>
  <dc:description/>
  <cp:lastModifiedBy/>
  <cp:revision>1</cp:revision>
  <dcterms:created xsi:type="dcterms:W3CDTF">2024-06-18T09:03:00Z</dcterms:created>
  <dcterms:modified xsi:type="dcterms:W3CDTF">2024-06-27T07:58:00Z</dcterms:modified>
  <cp:category>Conference document</cp:category>
</cp:coreProperties>
</file>