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85987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59CAEF53" w:rsidR="00AD3606" w:rsidRPr="00885987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F42856A" w:rsidR="00AD3606" w:rsidRPr="00885987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Theme="minorHAnsi" w:hAnsiTheme="minorHAnsi" w:cstheme="minorHAnsi"/>
                <w:b/>
              </w:rPr>
            </w:pPr>
            <w:r w:rsidRPr="00885987">
              <w:rPr>
                <w:rFonts w:asciiTheme="minorHAnsi" w:hAnsiTheme="minorHAnsi" w:cstheme="minorHAnsi"/>
                <w:b/>
              </w:rPr>
              <w:t>Document C2</w:t>
            </w:r>
            <w:r w:rsidR="00E23618" w:rsidRPr="00885987">
              <w:rPr>
                <w:rFonts w:asciiTheme="minorHAnsi" w:hAnsiTheme="minorHAnsi" w:cstheme="minorHAnsi"/>
                <w:b/>
              </w:rPr>
              <w:t>4</w:t>
            </w:r>
            <w:r w:rsidRPr="00885987">
              <w:rPr>
                <w:rFonts w:asciiTheme="minorHAnsi" w:hAnsiTheme="minorHAnsi" w:cstheme="minorHAnsi"/>
                <w:b/>
              </w:rPr>
              <w:t>/</w:t>
            </w:r>
            <w:r w:rsidR="002E3EF4">
              <w:rPr>
                <w:rFonts w:asciiTheme="minorHAnsi" w:hAnsiTheme="minorHAnsi" w:cstheme="minorHAnsi"/>
                <w:b/>
              </w:rPr>
              <w:t>126</w:t>
            </w:r>
            <w:r w:rsidRPr="00885987">
              <w:rPr>
                <w:rFonts w:asciiTheme="minorHAnsi" w:hAnsiTheme="minorHAnsi" w:cstheme="minorHAnsi"/>
                <w:b/>
              </w:rPr>
              <w:t>-E</w:t>
            </w:r>
          </w:p>
        </w:tc>
      </w:tr>
      <w:tr w:rsidR="00AD3606" w:rsidRPr="00885987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85987" w:rsidRDefault="00AD3606" w:rsidP="00AD360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64D7DFC" w:rsidR="00AD3606" w:rsidRPr="00885987" w:rsidRDefault="00CA54F7" w:rsidP="00AD3606">
            <w:pPr>
              <w:tabs>
                <w:tab w:val="left" w:pos="851"/>
              </w:tabs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14 June </w:t>
            </w:r>
            <w:r w:rsidR="00AD3606" w:rsidRPr="00885987">
              <w:rPr>
                <w:rFonts w:asciiTheme="minorHAnsi" w:hAnsiTheme="minorHAnsi" w:cstheme="minorHAnsi"/>
                <w:b/>
              </w:rPr>
              <w:t>202</w:t>
            </w:r>
            <w:r w:rsidR="00E23618" w:rsidRPr="00885987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AD3606" w:rsidRPr="00885987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85987" w:rsidRDefault="00AD3606" w:rsidP="00AD360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885987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Theme="minorHAnsi" w:hAnsiTheme="minorHAnsi" w:cstheme="minorHAnsi"/>
                <w:b/>
              </w:rPr>
            </w:pPr>
            <w:r w:rsidRPr="00885987">
              <w:rPr>
                <w:rFonts w:asciiTheme="minorHAnsi" w:hAnsiTheme="minorHAnsi" w:cstheme="minorHAnsi"/>
                <w:b/>
              </w:rPr>
              <w:t>Original: English</w:t>
            </w:r>
          </w:p>
        </w:tc>
      </w:tr>
      <w:tr w:rsidR="00472BAD" w:rsidRPr="00885987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85987" w:rsidRDefault="00472BAD" w:rsidP="00AD360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885987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37FC9A23" w14:textId="1DA9CA48" w:rsidR="00A87D3D" w:rsidRPr="00433C17" w:rsidRDefault="00A87D3D" w:rsidP="00043DCB">
      <w:pPr>
        <w:pStyle w:val="ResNo"/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</w:rPr>
        <w:t xml:space="preserve">Resolution </w:t>
      </w:r>
      <w:r w:rsidR="002E3EF4" w:rsidRPr="00433C17">
        <w:rPr>
          <w:rFonts w:asciiTheme="minorHAnsi" w:eastAsia="Calibri" w:hAnsiTheme="minorHAnsi" w:cstheme="minorHAnsi"/>
        </w:rPr>
        <w:t>1423</w:t>
      </w:r>
    </w:p>
    <w:p w14:paraId="1D77DC4D" w14:textId="5508C04C" w:rsidR="00B965CB" w:rsidRPr="00433C17" w:rsidRDefault="00B965CB" w:rsidP="00433C17">
      <w:pPr>
        <w:pStyle w:val="Restitle"/>
        <w:spacing w:before="120" w:after="0"/>
        <w:rPr>
          <w:rFonts w:asciiTheme="minorHAnsi" w:eastAsia="Calibri" w:hAnsiTheme="minorHAnsi" w:cstheme="minorHAnsi"/>
          <w:b w:val="0"/>
          <w:bCs/>
          <w:sz w:val="24"/>
          <w:szCs w:val="24"/>
        </w:rPr>
      </w:pPr>
      <w:bookmarkStart w:id="8" w:name="_Hlk169173449"/>
      <w:r w:rsidRPr="00433C17">
        <w:rPr>
          <w:rFonts w:asciiTheme="minorHAnsi" w:hAnsiTheme="minorHAnsi" w:cstheme="minorHAnsi"/>
          <w:b w:val="0"/>
          <w:bCs/>
          <w:sz w:val="24"/>
          <w:szCs w:val="24"/>
        </w:rPr>
        <w:t>(adopted at the sixth Plenary meeting)</w:t>
      </w:r>
    </w:p>
    <w:bookmarkEnd w:id="8"/>
    <w:p w14:paraId="70B1F2B9" w14:textId="51FA39A2" w:rsidR="00A87D3D" w:rsidRPr="00433C17" w:rsidRDefault="00A87D3D" w:rsidP="00043DCB">
      <w:pPr>
        <w:pStyle w:val="Restitle"/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</w:rPr>
        <w:t>Encouraging ITU Member States and Sector Members through the ITU to prioritize, mainstream and strengthen Child Online Protection (COP) activities by way of specific program</w:t>
      </w:r>
      <w:r w:rsidR="00713358" w:rsidRPr="00433C17">
        <w:rPr>
          <w:rFonts w:asciiTheme="minorHAnsi" w:eastAsia="Calibri" w:hAnsiTheme="minorHAnsi" w:cstheme="minorHAnsi"/>
        </w:rPr>
        <w:t>me</w:t>
      </w:r>
      <w:r w:rsidRPr="00433C17">
        <w:rPr>
          <w:rFonts w:asciiTheme="minorHAnsi" w:eastAsia="Calibri" w:hAnsiTheme="minorHAnsi" w:cstheme="minorHAnsi"/>
        </w:rPr>
        <w:t xml:space="preserve">s such as celebration of </w:t>
      </w:r>
      <w:r w:rsidR="00ED0A16" w:rsidRPr="00433C17">
        <w:rPr>
          <w:rFonts w:asciiTheme="minorHAnsi" w:eastAsia="Calibri" w:hAnsiTheme="minorHAnsi" w:cstheme="minorHAnsi"/>
        </w:rPr>
        <w:t>G</w:t>
      </w:r>
      <w:r w:rsidRPr="00433C17">
        <w:rPr>
          <w:rFonts w:asciiTheme="minorHAnsi" w:eastAsia="Calibri" w:hAnsiTheme="minorHAnsi" w:cstheme="minorHAnsi"/>
        </w:rPr>
        <w:t>irls in ICT</w:t>
      </w:r>
    </w:p>
    <w:p w14:paraId="75B9A461" w14:textId="77777777" w:rsidR="00A87D3D" w:rsidRPr="00433C17" w:rsidRDefault="00A87D3D" w:rsidP="00043DCB">
      <w:pPr>
        <w:pStyle w:val="Normalaftertitle"/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</w:rPr>
        <w:t>The ITU Council,</w:t>
      </w:r>
    </w:p>
    <w:p w14:paraId="6DE42322" w14:textId="0113555C" w:rsidR="00A87D3D" w:rsidRPr="00433C17" w:rsidRDefault="00043DCB" w:rsidP="00BB3003">
      <w:pPr>
        <w:pStyle w:val="Call"/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</w:rPr>
        <w:t>considering</w:t>
      </w:r>
    </w:p>
    <w:p w14:paraId="6424BFF8" w14:textId="3E897DAB" w:rsidR="00A87D3D" w:rsidRPr="00433C17" w:rsidRDefault="00A87D3D" w:rsidP="00887484">
      <w:pPr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  <w:i/>
          <w:iCs/>
        </w:rPr>
        <w:t>a)</w:t>
      </w:r>
      <w:r w:rsidRPr="00433C17">
        <w:rPr>
          <w:rFonts w:asciiTheme="minorHAnsi" w:hAnsiTheme="minorHAnsi" w:cstheme="minorHAnsi"/>
        </w:rPr>
        <w:tab/>
        <w:t xml:space="preserve">Resolution 179 (Rev. Bucharest, 2022) </w:t>
      </w:r>
      <w:r w:rsidR="00887484" w:rsidRPr="00433C17">
        <w:rPr>
          <w:rFonts w:asciiTheme="minorHAnsi" w:hAnsiTheme="minorHAnsi" w:cstheme="minorHAnsi"/>
        </w:rPr>
        <w:t xml:space="preserve">of the Plenipotentiary Conference </w:t>
      </w:r>
      <w:r w:rsidR="00BB3003" w:rsidRPr="00433C17">
        <w:rPr>
          <w:rFonts w:asciiTheme="minorHAnsi" w:hAnsiTheme="minorHAnsi" w:cstheme="minorHAnsi"/>
        </w:rPr>
        <w:t xml:space="preserve">on </w:t>
      </w:r>
      <w:r w:rsidRPr="00433C17">
        <w:rPr>
          <w:rFonts w:asciiTheme="minorHAnsi" w:hAnsiTheme="minorHAnsi" w:cstheme="minorHAnsi"/>
        </w:rPr>
        <w:t>ITU</w:t>
      </w:r>
      <w:r w:rsidR="00713358" w:rsidRPr="00433C17">
        <w:rPr>
          <w:rFonts w:asciiTheme="minorHAnsi" w:hAnsiTheme="minorHAnsi" w:cstheme="minorHAnsi"/>
        </w:rPr>
        <w:t>’</w:t>
      </w:r>
      <w:r w:rsidRPr="00433C17">
        <w:rPr>
          <w:rFonts w:asciiTheme="minorHAnsi" w:hAnsiTheme="minorHAnsi" w:cstheme="minorHAnsi"/>
        </w:rPr>
        <w:t>s role in child online protection;</w:t>
      </w:r>
    </w:p>
    <w:p w14:paraId="70E5673B" w14:textId="0FF3F1F9" w:rsidR="00A87D3D" w:rsidRPr="00433C17" w:rsidRDefault="00A87D3D" w:rsidP="00887484">
      <w:pPr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  <w:i/>
          <w:iCs/>
        </w:rPr>
        <w:t>b)</w:t>
      </w:r>
      <w:r w:rsidRPr="00433C17">
        <w:rPr>
          <w:rFonts w:asciiTheme="minorHAnsi" w:hAnsiTheme="minorHAnsi" w:cstheme="minorHAnsi"/>
        </w:rPr>
        <w:tab/>
        <w:t xml:space="preserve">Resolution 67 (Kigali, 2022) </w:t>
      </w:r>
      <w:r w:rsidR="00887484" w:rsidRPr="00433C17">
        <w:rPr>
          <w:rFonts w:asciiTheme="minorHAnsi" w:hAnsiTheme="minorHAnsi" w:cstheme="minorHAnsi"/>
        </w:rPr>
        <w:t xml:space="preserve">of the World Telecommunication Development Conference </w:t>
      </w:r>
      <w:r w:rsidRPr="00433C17">
        <w:rPr>
          <w:rFonts w:asciiTheme="minorHAnsi" w:hAnsiTheme="minorHAnsi" w:cstheme="minorHAnsi"/>
        </w:rPr>
        <w:t>on the role of the Telecommunication Development Sector in child online protection;</w:t>
      </w:r>
    </w:p>
    <w:p w14:paraId="2BB62FFB" w14:textId="0B8BF27C" w:rsidR="00A87D3D" w:rsidRPr="00433C17" w:rsidRDefault="00A87D3D" w:rsidP="00887484">
      <w:pPr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  <w:i/>
          <w:iCs/>
        </w:rPr>
        <w:t>c)</w:t>
      </w:r>
      <w:r w:rsidRPr="00433C17">
        <w:rPr>
          <w:rFonts w:asciiTheme="minorHAnsi" w:hAnsiTheme="minorHAnsi" w:cstheme="minorHAnsi"/>
        </w:rPr>
        <w:tab/>
        <w:t>Resolution 1306 (C09</w:t>
      </w:r>
      <w:r w:rsidR="00887484" w:rsidRPr="00433C17">
        <w:rPr>
          <w:rFonts w:asciiTheme="minorHAnsi" w:hAnsiTheme="minorHAnsi" w:cstheme="minorHAnsi"/>
        </w:rPr>
        <w:t>, last amended C15</w:t>
      </w:r>
      <w:r w:rsidRPr="00433C17">
        <w:rPr>
          <w:rFonts w:asciiTheme="minorHAnsi" w:hAnsiTheme="minorHAnsi" w:cstheme="minorHAnsi"/>
        </w:rPr>
        <w:t>) on ITU</w:t>
      </w:r>
      <w:r w:rsidR="00713358" w:rsidRPr="00433C17">
        <w:rPr>
          <w:rFonts w:asciiTheme="minorHAnsi" w:hAnsiTheme="minorHAnsi" w:cstheme="minorHAnsi"/>
        </w:rPr>
        <w:t>’</w:t>
      </w:r>
      <w:r w:rsidRPr="00433C17">
        <w:rPr>
          <w:rFonts w:asciiTheme="minorHAnsi" w:hAnsiTheme="minorHAnsi" w:cstheme="minorHAnsi"/>
        </w:rPr>
        <w:t xml:space="preserve">s role with regard to </w:t>
      </w:r>
      <w:r w:rsidR="007935D8" w:rsidRPr="00433C17">
        <w:rPr>
          <w:rFonts w:asciiTheme="minorHAnsi" w:hAnsiTheme="minorHAnsi" w:cstheme="minorHAnsi"/>
        </w:rPr>
        <w:t xml:space="preserve">international public policy issues </w:t>
      </w:r>
      <w:r w:rsidRPr="00433C17">
        <w:rPr>
          <w:rFonts w:asciiTheme="minorHAnsi" w:hAnsiTheme="minorHAnsi" w:cstheme="minorHAnsi"/>
        </w:rPr>
        <w:t xml:space="preserve">concerning </w:t>
      </w:r>
      <w:r w:rsidR="007935D8" w:rsidRPr="00433C17">
        <w:rPr>
          <w:rFonts w:asciiTheme="minorHAnsi" w:hAnsiTheme="minorHAnsi" w:cstheme="minorHAnsi"/>
        </w:rPr>
        <w:t xml:space="preserve">creating </w:t>
      </w:r>
      <w:r w:rsidRPr="00433C17">
        <w:rPr>
          <w:rFonts w:asciiTheme="minorHAnsi" w:hAnsiTheme="minorHAnsi" w:cstheme="minorHAnsi"/>
        </w:rPr>
        <w:t xml:space="preserve">a </w:t>
      </w:r>
      <w:r w:rsidR="007935D8" w:rsidRPr="00433C17">
        <w:rPr>
          <w:rFonts w:asciiTheme="minorHAnsi" w:hAnsiTheme="minorHAnsi" w:cstheme="minorHAnsi"/>
        </w:rPr>
        <w:t xml:space="preserve">safer Internet environment </w:t>
      </w:r>
      <w:r w:rsidRPr="00433C17">
        <w:rPr>
          <w:rFonts w:asciiTheme="minorHAnsi" w:hAnsiTheme="minorHAnsi" w:cstheme="minorHAnsi"/>
        </w:rPr>
        <w:t xml:space="preserve">for </w:t>
      </w:r>
      <w:r w:rsidR="007935D8" w:rsidRPr="00433C17">
        <w:rPr>
          <w:rFonts w:asciiTheme="minorHAnsi" w:hAnsiTheme="minorHAnsi" w:cstheme="minorHAnsi"/>
        </w:rPr>
        <w:t>children</w:t>
      </w:r>
      <w:r w:rsidRPr="00433C17">
        <w:rPr>
          <w:rFonts w:asciiTheme="minorHAnsi" w:hAnsiTheme="minorHAnsi" w:cstheme="minorHAnsi"/>
        </w:rPr>
        <w:t>,</w:t>
      </w:r>
    </w:p>
    <w:p w14:paraId="075B793E" w14:textId="77777777" w:rsidR="00A87D3D" w:rsidRPr="00433C17" w:rsidRDefault="00A87D3D" w:rsidP="00BB3003">
      <w:pPr>
        <w:pStyle w:val="Call"/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</w:rPr>
        <w:t>recalling</w:t>
      </w:r>
    </w:p>
    <w:p w14:paraId="5B46F6D2" w14:textId="2DD7DEB1" w:rsidR="00A87D3D" w:rsidRPr="00433C17" w:rsidRDefault="00A87D3D" w:rsidP="00887484">
      <w:pPr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</w:rPr>
        <w:t>Resolution 1306</w:t>
      </w:r>
      <w:r w:rsidR="007935D8" w:rsidRPr="00433C17">
        <w:rPr>
          <w:rFonts w:asciiTheme="minorHAnsi" w:hAnsiTheme="minorHAnsi" w:cstheme="minorHAnsi"/>
        </w:rPr>
        <w:t xml:space="preserve"> (C09)</w:t>
      </w:r>
      <w:r w:rsidRPr="00433C17">
        <w:rPr>
          <w:rFonts w:asciiTheme="minorHAnsi" w:hAnsiTheme="minorHAnsi" w:cstheme="minorHAnsi"/>
        </w:rPr>
        <w:t>, setting up a child online protection working group,</w:t>
      </w:r>
    </w:p>
    <w:p w14:paraId="4C77B213" w14:textId="77777777" w:rsidR="00A87D3D" w:rsidRPr="00433C17" w:rsidRDefault="00A87D3D" w:rsidP="00BB3003">
      <w:pPr>
        <w:pStyle w:val="Call"/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</w:rPr>
        <w:t>taking into account</w:t>
      </w:r>
    </w:p>
    <w:p w14:paraId="26F7704D" w14:textId="77777777" w:rsidR="00A87D3D" w:rsidRPr="00433C17" w:rsidRDefault="00A87D3D" w:rsidP="00887484">
      <w:pPr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</w:rPr>
        <w:t xml:space="preserve">that Resolution 179 (Rev. Bucharest, 2022) </w:t>
      </w:r>
      <w:r w:rsidRPr="00433C17">
        <w:rPr>
          <w:rFonts w:asciiTheme="minorHAnsi" w:eastAsia="Calibri" w:hAnsiTheme="minorHAnsi" w:cstheme="minorHAnsi"/>
          <w:i/>
          <w:iCs/>
        </w:rPr>
        <w:t>resolved</w:t>
      </w:r>
      <w:r w:rsidRPr="00433C17">
        <w:rPr>
          <w:rFonts w:asciiTheme="minorHAnsi" w:eastAsia="Calibri" w:hAnsiTheme="minorHAnsi" w:cstheme="minorHAnsi"/>
        </w:rPr>
        <w:t>, among others:</w:t>
      </w:r>
    </w:p>
    <w:p w14:paraId="7D9BF4F0" w14:textId="77777777" w:rsidR="00A87D3D" w:rsidRPr="00433C17" w:rsidRDefault="00A87D3D" w:rsidP="00887484">
      <w:pPr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  <w:i/>
          <w:iCs/>
        </w:rPr>
        <w:t>a)</w:t>
      </w:r>
      <w:r w:rsidRPr="00433C17">
        <w:rPr>
          <w:rFonts w:asciiTheme="minorHAnsi" w:eastAsia="Calibri" w:hAnsiTheme="minorHAnsi" w:cstheme="minorHAnsi"/>
        </w:rPr>
        <w:tab/>
        <w:t>to continue the COP initiative as a platform to raise awareness and share best practices on child online safety issues;</w:t>
      </w:r>
    </w:p>
    <w:p w14:paraId="63109984" w14:textId="0781EDD2" w:rsidR="00A87D3D" w:rsidRPr="00433C17" w:rsidRDefault="00A87D3D" w:rsidP="00887484">
      <w:pPr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  <w:i/>
          <w:iCs/>
        </w:rPr>
        <w:t>b)</w:t>
      </w:r>
      <w:r w:rsidRPr="00433C17">
        <w:rPr>
          <w:rFonts w:asciiTheme="minorHAnsi" w:eastAsia="Calibri" w:hAnsiTheme="minorHAnsi" w:cstheme="minorHAnsi"/>
        </w:rPr>
        <w:tab/>
        <w:t>to continue providing assistance and support to Member States, especially developing countries</w:t>
      </w:r>
      <w:r w:rsidR="00ED0A16" w:rsidRPr="00433C17">
        <w:rPr>
          <w:rStyle w:val="FootnoteReference"/>
          <w:rFonts w:asciiTheme="minorHAnsi" w:eastAsia="Calibri" w:hAnsiTheme="minorHAnsi" w:cstheme="minorHAnsi"/>
        </w:rPr>
        <w:footnoteReference w:id="2"/>
      </w:r>
      <w:r w:rsidRPr="00433C17">
        <w:rPr>
          <w:rFonts w:asciiTheme="minorHAnsi" w:eastAsia="Calibri" w:hAnsiTheme="minorHAnsi" w:cstheme="minorHAnsi"/>
        </w:rPr>
        <w:t>, in developing and implementing roadmaps for the COP initiative;</w:t>
      </w:r>
    </w:p>
    <w:p w14:paraId="0EDE4063" w14:textId="77777777" w:rsidR="00A87D3D" w:rsidRPr="00433C17" w:rsidRDefault="00A87D3D" w:rsidP="00887484">
      <w:pPr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  <w:i/>
          <w:iCs/>
        </w:rPr>
        <w:t>c)</w:t>
      </w:r>
      <w:r w:rsidRPr="00433C17">
        <w:rPr>
          <w:rFonts w:asciiTheme="minorHAnsi" w:eastAsia="Calibri" w:hAnsiTheme="minorHAnsi" w:cstheme="minorHAnsi"/>
        </w:rPr>
        <w:tab/>
        <w:t>to continue to coordinate the COP initiative, in cooperation with relevant stakeholders,</w:t>
      </w:r>
    </w:p>
    <w:p w14:paraId="7F58CADC" w14:textId="77777777" w:rsidR="00A87D3D" w:rsidRPr="00433C17" w:rsidRDefault="00A87D3D" w:rsidP="00BB3003">
      <w:pPr>
        <w:pStyle w:val="Call"/>
        <w:rPr>
          <w:rFonts w:asciiTheme="minorHAnsi" w:eastAsia="Calibri" w:hAnsiTheme="minorHAnsi" w:cstheme="minorHAnsi"/>
        </w:rPr>
      </w:pPr>
      <w:r w:rsidRPr="00433C17">
        <w:rPr>
          <w:rFonts w:asciiTheme="minorHAnsi" w:eastAsia="Calibri" w:hAnsiTheme="minorHAnsi" w:cstheme="minorHAnsi"/>
        </w:rPr>
        <w:t>recognizing</w:t>
      </w:r>
    </w:p>
    <w:p w14:paraId="0C6B6345" w14:textId="4A868E3E" w:rsidR="00A87D3D" w:rsidRPr="00433C17" w:rsidRDefault="00A87D3D" w:rsidP="00887484">
      <w:pPr>
        <w:rPr>
          <w:rFonts w:asciiTheme="minorHAnsi" w:hAnsiTheme="minorHAnsi" w:cstheme="minorHAnsi"/>
          <w:lang w:val="en-PH"/>
        </w:rPr>
      </w:pPr>
      <w:r w:rsidRPr="00433C17">
        <w:rPr>
          <w:rFonts w:asciiTheme="minorHAnsi" w:hAnsiTheme="minorHAnsi" w:cstheme="minorHAnsi"/>
          <w:i/>
          <w:iCs/>
        </w:rPr>
        <w:t>a)</w:t>
      </w:r>
      <w:r w:rsidRPr="00433C17">
        <w:rPr>
          <w:rFonts w:asciiTheme="minorHAnsi" w:hAnsiTheme="minorHAnsi" w:cstheme="minorHAnsi"/>
        </w:rPr>
        <w:tab/>
        <w:t xml:space="preserve">that there is an imperative need for an urgent collective response to combat </w:t>
      </w:r>
      <w:r w:rsidR="007935D8" w:rsidRPr="00433C17">
        <w:rPr>
          <w:rFonts w:asciiTheme="minorHAnsi" w:hAnsiTheme="minorHAnsi" w:cstheme="minorHAnsi"/>
        </w:rPr>
        <w:t xml:space="preserve">online sexual abuse </w:t>
      </w:r>
      <w:r w:rsidRPr="00433C17">
        <w:rPr>
          <w:rFonts w:asciiTheme="minorHAnsi" w:hAnsiTheme="minorHAnsi" w:cstheme="minorHAnsi"/>
        </w:rPr>
        <w:t xml:space="preserve">or </w:t>
      </w:r>
      <w:r w:rsidR="007935D8" w:rsidRPr="00433C17">
        <w:rPr>
          <w:rFonts w:asciiTheme="minorHAnsi" w:hAnsiTheme="minorHAnsi" w:cstheme="minorHAnsi"/>
        </w:rPr>
        <w:t xml:space="preserve">exploitation </w:t>
      </w:r>
      <w:r w:rsidRPr="00433C17">
        <w:rPr>
          <w:rFonts w:asciiTheme="minorHAnsi" w:hAnsiTheme="minorHAnsi" w:cstheme="minorHAnsi"/>
        </w:rPr>
        <w:t xml:space="preserve">of </w:t>
      </w:r>
      <w:r w:rsidR="007935D8" w:rsidRPr="00433C17">
        <w:rPr>
          <w:rFonts w:asciiTheme="minorHAnsi" w:hAnsiTheme="minorHAnsi" w:cstheme="minorHAnsi"/>
        </w:rPr>
        <w:t>children</w:t>
      </w:r>
      <w:r w:rsidRPr="00433C17">
        <w:rPr>
          <w:rFonts w:asciiTheme="minorHAnsi" w:hAnsiTheme="minorHAnsi" w:cstheme="minorHAnsi"/>
        </w:rPr>
        <w:t>;</w:t>
      </w:r>
    </w:p>
    <w:p w14:paraId="0ECBFF99" w14:textId="5077C60D" w:rsidR="00A87D3D" w:rsidRPr="00433C17" w:rsidRDefault="00A87D3D" w:rsidP="00887484">
      <w:pPr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  <w:i/>
          <w:iCs/>
        </w:rPr>
        <w:lastRenderedPageBreak/>
        <w:t>b)</w:t>
      </w:r>
      <w:r w:rsidRPr="00433C17">
        <w:rPr>
          <w:rFonts w:asciiTheme="minorHAnsi" w:hAnsiTheme="minorHAnsi" w:cstheme="minorHAnsi"/>
        </w:rPr>
        <w:tab/>
        <w:t xml:space="preserve">that there is a wide acceptance of Girls in ICT among </w:t>
      </w:r>
      <w:r w:rsidR="00B67343" w:rsidRPr="00433C17">
        <w:rPr>
          <w:rFonts w:asciiTheme="minorHAnsi" w:hAnsiTheme="minorHAnsi" w:cstheme="minorHAnsi"/>
        </w:rPr>
        <w:t xml:space="preserve">Member States </w:t>
      </w:r>
      <w:r w:rsidRPr="00433C17">
        <w:rPr>
          <w:rFonts w:asciiTheme="minorHAnsi" w:hAnsiTheme="minorHAnsi" w:cstheme="minorHAnsi"/>
        </w:rPr>
        <w:t>with 11</w:t>
      </w:r>
      <w:r w:rsidR="00887484" w:rsidRPr="00433C17">
        <w:rPr>
          <w:rFonts w:asciiTheme="minorHAnsi" w:hAnsiTheme="minorHAnsi" w:cstheme="minorHAnsi"/>
        </w:rPr>
        <w:t> </w:t>
      </w:r>
      <w:r w:rsidRPr="00433C17">
        <w:rPr>
          <w:rFonts w:asciiTheme="minorHAnsi" w:hAnsiTheme="minorHAnsi" w:cstheme="minorHAnsi"/>
        </w:rPr>
        <w:t xml:space="preserve">400 </w:t>
      </w:r>
      <w:r w:rsidR="00B67343" w:rsidRPr="00433C17">
        <w:rPr>
          <w:rFonts w:asciiTheme="minorHAnsi" w:hAnsiTheme="minorHAnsi" w:cstheme="minorHAnsi"/>
        </w:rPr>
        <w:t xml:space="preserve">international </w:t>
      </w:r>
      <w:r w:rsidRPr="00433C17">
        <w:rPr>
          <w:rFonts w:asciiTheme="minorHAnsi" w:hAnsiTheme="minorHAnsi" w:cstheme="minorHAnsi"/>
        </w:rPr>
        <w:t xml:space="preserve">Girls in ICT Day celebrations in 171 countries since 2011 according to the ITU Girls in ICT </w:t>
      </w:r>
      <w:r w:rsidR="00B67343" w:rsidRPr="00433C17">
        <w:rPr>
          <w:rFonts w:asciiTheme="minorHAnsi" w:hAnsiTheme="minorHAnsi" w:cstheme="minorHAnsi"/>
        </w:rPr>
        <w:t>map</w:t>
      </w:r>
      <w:r w:rsidR="00266620" w:rsidRPr="00433C17">
        <w:rPr>
          <w:rStyle w:val="FootnoteReference"/>
          <w:rFonts w:asciiTheme="minorHAnsi" w:hAnsiTheme="minorHAnsi" w:cstheme="minorHAnsi"/>
        </w:rPr>
        <w:footnoteReference w:id="3"/>
      </w:r>
      <w:r w:rsidRPr="00433C17">
        <w:rPr>
          <w:rFonts w:asciiTheme="minorHAnsi" w:hAnsiTheme="minorHAnsi" w:cstheme="minorHAnsi"/>
        </w:rPr>
        <w:t>,</w:t>
      </w:r>
    </w:p>
    <w:p w14:paraId="43194688" w14:textId="77777777" w:rsidR="00A87D3D" w:rsidRPr="00433C17" w:rsidRDefault="00A87D3D" w:rsidP="00BB3003">
      <w:pPr>
        <w:pStyle w:val="Call"/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</w:rPr>
        <w:t>resolves</w:t>
      </w:r>
    </w:p>
    <w:p w14:paraId="3BB3A0DB" w14:textId="0FA3733A" w:rsidR="00A87D3D" w:rsidRPr="00433C17" w:rsidRDefault="00BB3003" w:rsidP="00BB3003">
      <w:pPr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</w:rPr>
        <w:t>1</w:t>
      </w:r>
      <w:r w:rsidRPr="00433C17">
        <w:rPr>
          <w:rFonts w:asciiTheme="minorHAnsi" w:hAnsiTheme="minorHAnsi" w:cstheme="minorHAnsi"/>
        </w:rPr>
        <w:tab/>
      </w:r>
      <w:r w:rsidR="00A87D3D" w:rsidRPr="00433C17">
        <w:rPr>
          <w:rFonts w:asciiTheme="minorHAnsi" w:hAnsiTheme="minorHAnsi" w:cstheme="minorHAnsi"/>
        </w:rPr>
        <w:t>to promote, coordinate</w:t>
      </w:r>
      <w:r w:rsidR="00713358" w:rsidRPr="00433C17">
        <w:rPr>
          <w:rFonts w:asciiTheme="minorHAnsi" w:hAnsiTheme="minorHAnsi" w:cstheme="minorHAnsi"/>
        </w:rPr>
        <w:t>,</w:t>
      </w:r>
      <w:r w:rsidR="00A87D3D" w:rsidRPr="00433C17">
        <w:rPr>
          <w:rFonts w:asciiTheme="minorHAnsi" w:hAnsiTheme="minorHAnsi" w:cstheme="minorHAnsi"/>
        </w:rPr>
        <w:t xml:space="preserve"> and support digital inclusion</w:t>
      </w:r>
      <w:r w:rsidR="00713358" w:rsidRPr="00433C17">
        <w:rPr>
          <w:rFonts w:asciiTheme="minorHAnsi" w:hAnsiTheme="minorHAnsi" w:cstheme="minorHAnsi"/>
        </w:rPr>
        <w:t>-</w:t>
      </w:r>
      <w:r w:rsidR="00A87D3D" w:rsidRPr="00433C17">
        <w:rPr>
          <w:rFonts w:asciiTheme="minorHAnsi" w:hAnsiTheme="minorHAnsi" w:cstheme="minorHAnsi"/>
        </w:rPr>
        <w:t>related program</w:t>
      </w:r>
      <w:r w:rsidR="00713358" w:rsidRPr="00433C17">
        <w:rPr>
          <w:rFonts w:asciiTheme="minorHAnsi" w:hAnsiTheme="minorHAnsi" w:cstheme="minorHAnsi"/>
        </w:rPr>
        <w:t>me</w:t>
      </w:r>
      <w:r w:rsidR="00A87D3D" w:rsidRPr="00433C17">
        <w:rPr>
          <w:rFonts w:asciiTheme="minorHAnsi" w:hAnsiTheme="minorHAnsi" w:cstheme="minorHAnsi"/>
        </w:rPr>
        <w:t>s and other ITU-led program</w:t>
      </w:r>
      <w:r w:rsidR="00713358" w:rsidRPr="00433C17">
        <w:rPr>
          <w:rFonts w:asciiTheme="minorHAnsi" w:hAnsiTheme="minorHAnsi" w:cstheme="minorHAnsi"/>
        </w:rPr>
        <w:t>me</w:t>
      </w:r>
      <w:r w:rsidR="00A87D3D" w:rsidRPr="00433C17">
        <w:rPr>
          <w:rFonts w:asciiTheme="minorHAnsi" w:hAnsiTheme="minorHAnsi" w:cstheme="minorHAnsi"/>
        </w:rPr>
        <w:t>s related to the rights and welfare of children with online safety information and resources</w:t>
      </w:r>
      <w:r w:rsidRPr="00433C17">
        <w:rPr>
          <w:rFonts w:asciiTheme="minorHAnsi" w:hAnsiTheme="minorHAnsi" w:cstheme="minorHAnsi"/>
        </w:rPr>
        <w:t>;</w:t>
      </w:r>
    </w:p>
    <w:p w14:paraId="1C0A9E96" w14:textId="2C40CB64" w:rsidR="00A87D3D" w:rsidRPr="00433C17" w:rsidRDefault="00BB3003" w:rsidP="00BB3003">
      <w:pPr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</w:rPr>
        <w:t>2</w:t>
      </w:r>
      <w:r w:rsidRPr="00433C17">
        <w:rPr>
          <w:rFonts w:asciiTheme="minorHAnsi" w:hAnsiTheme="minorHAnsi" w:cstheme="minorHAnsi"/>
        </w:rPr>
        <w:tab/>
      </w:r>
      <w:r w:rsidR="00A87D3D" w:rsidRPr="00433C17">
        <w:rPr>
          <w:rFonts w:asciiTheme="minorHAnsi" w:hAnsiTheme="minorHAnsi" w:cstheme="minorHAnsi"/>
        </w:rPr>
        <w:t>to allocate the necessary resources to ensure that children and young people are empowered and equipped with online safety skills</w:t>
      </w:r>
      <w:r w:rsidRPr="00433C17">
        <w:rPr>
          <w:rFonts w:asciiTheme="minorHAnsi" w:hAnsiTheme="minorHAnsi" w:cstheme="minorHAnsi"/>
        </w:rPr>
        <w:t>,</w:t>
      </w:r>
    </w:p>
    <w:p w14:paraId="5E72AB32" w14:textId="77777777" w:rsidR="00A87D3D" w:rsidRPr="00433C17" w:rsidRDefault="00A87D3D" w:rsidP="0053530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160"/>
        <w:ind w:left="794"/>
        <w:rPr>
          <w:rFonts w:asciiTheme="minorHAnsi" w:eastAsia="Calibri" w:hAnsiTheme="minorHAnsi" w:cstheme="minorHAnsi"/>
          <w:i/>
        </w:rPr>
      </w:pPr>
      <w:r w:rsidRPr="00433C17">
        <w:rPr>
          <w:rFonts w:asciiTheme="minorHAnsi" w:eastAsia="Calibri" w:hAnsiTheme="minorHAnsi" w:cstheme="minorHAnsi"/>
          <w:i/>
        </w:rPr>
        <w:t>invites Member States and Sector Members</w:t>
      </w:r>
    </w:p>
    <w:p w14:paraId="701E7AAC" w14:textId="729688D0" w:rsidR="00A87D3D" w:rsidRPr="00433C17" w:rsidRDefault="00A87D3D" w:rsidP="00BB3003">
      <w:pPr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</w:rPr>
        <w:t>1</w:t>
      </w:r>
      <w:r w:rsidRPr="00433C17">
        <w:rPr>
          <w:rFonts w:asciiTheme="minorHAnsi" w:hAnsiTheme="minorHAnsi" w:cstheme="minorHAnsi"/>
        </w:rPr>
        <w:tab/>
        <w:t>to prioritize, mainstream and strengthen COP strategic activities by way of specific program</w:t>
      </w:r>
      <w:r w:rsidR="00713358" w:rsidRPr="00433C17">
        <w:rPr>
          <w:rFonts w:asciiTheme="minorHAnsi" w:hAnsiTheme="minorHAnsi" w:cstheme="minorHAnsi"/>
        </w:rPr>
        <w:t>me</w:t>
      </w:r>
      <w:r w:rsidRPr="00433C17">
        <w:rPr>
          <w:rFonts w:asciiTheme="minorHAnsi" w:hAnsiTheme="minorHAnsi" w:cstheme="minorHAnsi"/>
        </w:rPr>
        <w:t>s such as celebration of Girls in ICT;</w:t>
      </w:r>
    </w:p>
    <w:p w14:paraId="5C550CB2" w14:textId="0A8CB929" w:rsidR="00A87D3D" w:rsidRPr="00433C17" w:rsidRDefault="00A87D3D" w:rsidP="00BB3003">
      <w:pPr>
        <w:rPr>
          <w:rFonts w:asciiTheme="minorHAnsi" w:hAnsiTheme="minorHAnsi" w:cstheme="minorHAnsi"/>
        </w:rPr>
      </w:pPr>
      <w:r w:rsidRPr="00433C17">
        <w:rPr>
          <w:rFonts w:asciiTheme="minorHAnsi" w:hAnsiTheme="minorHAnsi" w:cstheme="minorHAnsi"/>
        </w:rPr>
        <w:t>2</w:t>
      </w:r>
      <w:r w:rsidRPr="00433C17">
        <w:rPr>
          <w:rFonts w:asciiTheme="minorHAnsi" w:hAnsiTheme="minorHAnsi" w:cstheme="minorHAnsi"/>
        </w:rPr>
        <w:tab/>
        <w:t>to pursue collaboration on the matter with other membership through the ITU.</w:t>
      </w:r>
    </w:p>
    <w:p w14:paraId="32231727" w14:textId="77777777" w:rsidR="00EB1BF6" w:rsidRPr="00EB1BF6" w:rsidRDefault="00EB1BF6" w:rsidP="0032202E">
      <w:pPr>
        <w:pStyle w:val="Reasons"/>
        <w:rPr>
          <w:rFonts w:asciiTheme="minorHAnsi" w:hAnsiTheme="minorHAnsi" w:cstheme="minorHAnsi"/>
        </w:rPr>
      </w:pPr>
    </w:p>
    <w:p w14:paraId="073BFB07" w14:textId="77777777" w:rsidR="00EB1BF6" w:rsidRDefault="00EB1BF6">
      <w:pPr>
        <w:jc w:val="center"/>
      </w:pPr>
      <w:r>
        <w:t>______________</w:t>
      </w:r>
    </w:p>
    <w:sectPr w:rsidR="00EB1BF6" w:rsidSect="00EB767D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07D6" w14:textId="77777777" w:rsidR="00A9608B" w:rsidRDefault="00A9608B">
      <w:r>
        <w:separator/>
      </w:r>
    </w:p>
  </w:endnote>
  <w:endnote w:type="continuationSeparator" w:id="0">
    <w:p w14:paraId="214FB6F6" w14:textId="77777777" w:rsidR="00A9608B" w:rsidRDefault="00A9608B">
      <w:r>
        <w:continuationSeparator/>
      </w:r>
    </w:p>
  </w:endnote>
  <w:endnote w:type="continuationNotice" w:id="1">
    <w:p w14:paraId="22DB9923" w14:textId="77777777" w:rsidR="00B63EDF" w:rsidRDefault="00B63E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7B37DE">
      <w:trPr>
        <w:jc w:val="center"/>
      </w:trPr>
      <w:tc>
        <w:tcPr>
          <w:tcW w:w="1803" w:type="dxa"/>
          <w:vAlign w:val="center"/>
        </w:tcPr>
        <w:p w14:paraId="727FD637" w14:textId="613970CF" w:rsidR="00EE49E8" w:rsidRDefault="00E066DA" w:rsidP="00EE49E8">
          <w:pPr>
            <w:pStyle w:val="Header"/>
            <w:jc w:val="left"/>
            <w:rPr>
              <w:noProof/>
            </w:rPr>
          </w:pPr>
          <w:r w:rsidRPr="00E066DA">
            <w:rPr>
              <w:noProof/>
            </w:rPr>
            <w:t>R2401096</w:t>
          </w:r>
        </w:p>
      </w:tc>
      <w:tc>
        <w:tcPr>
          <w:tcW w:w="8261" w:type="dxa"/>
        </w:tcPr>
        <w:p w14:paraId="2D49E76E" w14:textId="05454C0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433C17">
            <w:rPr>
              <w:bCs/>
            </w:rPr>
            <w:t>126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9329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0C7A16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E579AF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5C9883E2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433C17">
            <w:rPr>
              <w:bCs/>
            </w:rPr>
            <w:t>126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9329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62E9A" w14:textId="77777777" w:rsidR="00A9608B" w:rsidRDefault="00A9608B">
      <w:r>
        <w:t>____________________</w:t>
      </w:r>
    </w:p>
  </w:footnote>
  <w:footnote w:type="continuationSeparator" w:id="0">
    <w:p w14:paraId="6F1C8B11" w14:textId="77777777" w:rsidR="00A9608B" w:rsidRDefault="00A9608B">
      <w:r>
        <w:continuationSeparator/>
      </w:r>
    </w:p>
  </w:footnote>
  <w:footnote w:type="continuationNotice" w:id="1">
    <w:p w14:paraId="434F3CE2" w14:textId="77777777" w:rsidR="00B63EDF" w:rsidRDefault="00B63EDF">
      <w:pPr>
        <w:spacing w:before="0"/>
      </w:pPr>
    </w:p>
  </w:footnote>
  <w:footnote w:id="2">
    <w:p w14:paraId="1E8D4F55" w14:textId="6D8A7B8F" w:rsidR="00ED0A16" w:rsidRPr="00ED0A16" w:rsidRDefault="00ED0A16" w:rsidP="00ED0A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0A16">
        <w:tab/>
      </w:r>
      <w:r w:rsidRPr="00ED0A16">
        <w:rPr>
          <w:sz w:val="20"/>
        </w:rPr>
        <w:t>These include the least developed countries, small island developing states, landlocked developing countries and countries with economies in transition.</w:t>
      </w:r>
    </w:p>
  </w:footnote>
  <w:footnote w:id="3">
    <w:p w14:paraId="1F272D3F" w14:textId="12A27F94" w:rsidR="00266620" w:rsidRPr="00E31D14" w:rsidRDefault="00266620" w:rsidP="00266620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266620">
        <w:rPr>
          <w:sz w:val="20"/>
        </w:rPr>
        <w:t>Data coming from the ITU Girls in ICT map</w:t>
      </w:r>
      <w:r w:rsidR="0045223B">
        <w:rPr>
          <w:sz w:val="20"/>
        </w:rPr>
        <w:t>:</w:t>
      </w:r>
      <w:r w:rsidRPr="00266620">
        <w:rPr>
          <w:sz w:val="20"/>
        </w:rPr>
        <w:t xml:space="preserve"> </w:t>
      </w:r>
      <w:hyperlink r:id="rId1" w:history="1">
        <w:r w:rsidRPr="00266620">
          <w:rPr>
            <w:rStyle w:val="Hyperlink"/>
            <w:sz w:val="20"/>
          </w:rPr>
          <w:t>https://www.itu.int/en/ITU-D/Digital-Inclusion/Women-and-Girls/Girls-in-ICT-Portal/Pages/Portaldev.aspx</w:t>
        </w:r>
      </w:hyperlink>
      <w:r w:rsidR="00043DCB" w:rsidRPr="00ED0A16">
        <w:rPr>
          <w:sz w:val="20"/>
        </w:rPr>
        <w:t>.</w:t>
      </w:r>
      <w:r w:rsidRPr="00266620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7B37DE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  <w:lang w:val="en-US"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8036D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149D2"/>
    <w:multiLevelType w:val="multilevel"/>
    <w:tmpl w:val="5ECAD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76D0B"/>
    <w:multiLevelType w:val="multilevel"/>
    <w:tmpl w:val="6DFCF0C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abstractNum w:abstractNumId="3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29B0"/>
    <w:multiLevelType w:val="hybridMultilevel"/>
    <w:tmpl w:val="BEFC7AAA"/>
    <w:lvl w:ilvl="0" w:tplc="2BA22D8C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A6A"/>
    <w:multiLevelType w:val="multilevel"/>
    <w:tmpl w:val="393C265A"/>
    <w:lvl w:ilvl="0">
      <w:start w:val="1"/>
      <w:numFmt w:val="decimal"/>
      <w:lvlText w:val="%1."/>
      <w:lvlJc w:val="left"/>
      <w:pPr>
        <w:ind w:left="107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800" w:hanging="80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7A710E"/>
    <w:multiLevelType w:val="multilevel"/>
    <w:tmpl w:val="2BE0BB8E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ajorBidi" w:hint="default"/>
        <w:color w:val="7030A0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asciiTheme="minorHAnsi" w:hAnsiTheme="minorHAnsi" w:cstheme="majorBidi" w:hint="default"/>
        <w:color w:val="auto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asciiTheme="minorHAnsi" w:hAnsiTheme="minorHAnsi" w:cstheme="majorBidi" w:hint="default"/>
        <w:color w:val="7030A0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asciiTheme="minorHAnsi" w:hAnsiTheme="minorHAnsi" w:cstheme="majorBidi" w:hint="default"/>
        <w:color w:val="7030A0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asciiTheme="minorHAnsi" w:hAnsiTheme="minorHAnsi" w:cstheme="majorBidi" w:hint="default"/>
        <w:color w:val="7030A0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asciiTheme="minorHAnsi" w:hAnsiTheme="minorHAnsi" w:cstheme="majorBidi"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asciiTheme="minorHAnsi" w:hAnsiTheme="minorHAnsi" w:cstheme="majorBidi"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asciiTheme="minorHAnsi" w:hAnsiTheme="minorHAnsi" w:cstheme="majorBidi"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asciiTheme="minorHAnsi" w:hAnsiTheme="minorHAnsi" w:cstheme="majorBidi" w:hint="default"/>
        <w:color w:val="7030A0"/>
      </w:rPr>
    </w:lvl>
  </w:abstractNum>
  <w:abstractNum w:abstractNumId="8" w15:restartNumberingAfterBreak="0">
    <w:nsid w:val="3FCF2827"/>
    <w:multiLevelType w:val="multilevel"/>
    <w:tmpl w:val="279287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43E743A4"/>
    <w:multiLevelType w:val="hybridMultilevel"/>
    <w:tmpl w:val="378087F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EAF57A7"/>
    <w:multiLevelType w:val="multilevel"/>
    <w:tmpl w:val="6DFCF0C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abstractNum w:abstractNumId="11" w15:restartNumberingAfterBreak="0">
    <w:nsid w:val="4FDD7F33"/>
    <w:multiLevelType w:val="hybridMultilevel"/>
    <w:tmpl w:val="FFFFFFFF"/>
    <w:lvl w:ilvl="0" w:tplc="20527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6F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4B0FA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3" w:tplc="1D2EE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EF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2F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AD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05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A4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4F77"/>
    <w:multiLevelType w:val="multilevel"/>
    <w:tmpl w:val="4E22E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52FF49B4"/>
    <w:multiLevelType w:val="hybridMultilevel"/>
    <w:tmpl w:val="7312F8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D65049"/>
    <w:multiLevelType w:val="multilevel"/>
    <w:tmpl w:val="CD64086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2346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6DB33362"/>
    <w:multiLevelType w:val="multilevel"/>
    <w:tmpl w:val="5ECAD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596486"/>
    <w:multiLevelType w:val="hybridMultilevel"/>
    <w:tmpl w:val="7BF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43FC4"/>
    <w:multiLevelType w:val="multilevel"/>
    <w:tmpl w:val="117AF0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91D2222"/>
    <w:multiLevelType w:val="multilevel"/>
    <w:tmpl w:val="5EE01B02"/>
    <w:lvl w:ilvl="0">
      <w:start w:val="2"/>
      <w:numFmt w:val="decimal"/>
      <w:lvlText w:val="%1"/>
      <w:lvlJc w:val="left"/>
      <w:pPr>
        <w:ind w:left="480" w:hanging="480"/>
      </w:pPr>
      <w:rPr>
        <w:rFonts w:ascii="Calibri" w:eastAsia="SimSun" w:hAnsi="Calibri" w:cs="Calibr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abstractNum w:abstractNumId="20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4E6A"/>
    <w:multiLevelType w:val="multilevel"/>
    <w:tmpl w:val="F0B4C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FA54179"/>
    <w:multiLevelType w:val="multilevel"/>
    <w:tmpl w:val="1B08790C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num w:numId="1" w16cid:durableId="4794874">
    <w:abstractNumId w:val="0"/>
  </w:num>
  <w:num w:numId="2" w16cid:durableId="95057971">
    <w:abstractNumId w:val="14"/>
  </w:num>
  <w:num w:numId="3" w16cid:durableId="1136217270">
    <w:abstractNumId w:val="7"/>
  </w:num>
  <w:num w:numId="4" w16cid:durableId="1599749249">
    <w:abstractNumId w:val="16"/>
  </w:num>
  <w:num w:numId="5" w16cid:durableId="1567914242">
    <w:abstractNumId w:val="17"/>
  </w:num>
  <w:num w:numId="6" w16cid:durableId="2116632497">
    <w:abstractNumId w:val="13"/>
  </w:num>
  <w:num w:numId="7" w16cid:durableId="1760329117">
    <w:abstractNumId w:val="11"/>
  </w:num>
  <w:num w:numId="8" w16cid:durableId="1956595503">
    <w:abstractNumId w:val="9"/>
  </w:num>
  <w:num w:numId="9" w16cid:durableId="1896114176">
    <w:abstractNumId w:val="4"/>
  </w:num>
  <w:num w:numId="10" w16cid:durableId="1667395442">
    <w:abstractNumId w:val="12"/>
  </w:num>
  <w:num w:numId="11" w16cid:durableId="769550044">
    <w:abstractNumId w:val="8"/>
  </w:num>
  <w:num w:numId="12" w16cid:durableId="708533826">
    <w:abstractNumId w:val="20"/>
  </w:num>
  <w:num w:numId="13" w16cid:durableId="1124035505">
    <w:abstractNumId w:val="5"/>
  </w:num>
  <w:num w:numId="14" w16cid:durableId="233786039">
    <w:abstractNumId w:val="22"/>
  </w:num>
  <w:num w:numId="15" w16cid:durableId="2112315746">
    <w:abstractNumId w:val="2"/>
  </w:num>
  <w:num w:numId="16" w16cid:durableId="1262491437">
    <w:abstractNumId w:val="18"/>
  </w:num>
  <w:num w:numId="17" w16cid:durableId="1397321369">
    <w:abstractNumId w:val="3"/>
  </w:num>
  <w:num w:numId="18" w16cid:durableId="351877986">
    <w:abstractNumId w:val="6"/>
  </w:num>
  <w:num w:numId="19" w16cid:durableId="960840251">
    <w:abstractNumId w:val="21"/>
  </w:num>
  <w:num w:numId="20" w16cid:durableId="330913065">
    <w:abstractNumId w:val="15"/>
  </w:num>
  <w:num w:numId="21" w16cid:durableId="1317563662">
    <w:abstractNumId w:val="1"/>
  </w:num>
  <w:num w:numId="22" w16cid:durableId="1324359411">
    <w:abstractNumId w:val="19"/>
  </w:num>
  <w:num w:numId="23" w16cid:durableId="1589919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E2"/>
    <w:rsid w:val="00001FF0"/>
    <w:rsid w:val="000210D4"/>
    <w:rsid w:val="00043DCB"/>
    <w:rsid w:val="00045722"/>
    <w:rsid w:val="0004698E"/>
    <w:rsid w:val="00052151"/>
    <w:rsid w:val="00063016"/>
    <w:rsid w:val="00066795"/>
    <w:rsid w:val="00076AF6"/>
    <w:rsid w:val="00085CF2"/>
    <w:rsid w:val="000B1705"/>
    <w:rsid w:val="000C7A16"/>
    <w:rsid w:val="000D75B2"/>
    <w:rsid w:val="001121F5"/>
    <w:rsid w:val="001220D6"/>
    <w:rsid w:val="00127647"/>
    <w:rsid w:val="001400DC"/>
    <w:rsid w:val="00140CE1"/>
    <w:rsid w:val="00166049"/>
    <w:rsid w:val="0017539C"/>
    <w:rsid w:val="00175AC2"/>
    <w:rsid w:val="0017609F"/>
    <w:rsid w:val="001A7D1D"/>
    <w:rsid w:val="001B51DD"/>
    <w:rsid w:val="001C628E"/>
    <w:rsid w:val="001E0F7B"/>
    <w:rsid w:val="001FD6FA"/>
    <w:rsid w:val="002119FD"/>
    <w:rsid w:val="002130E0"/>
    <w:rsid w:val="002133B4"/>
    <w:rsid w:val="00264425"/>
    <w:rsid w:val="00265875"/>
    <w:rsid w:val="00266620"/>
    <w:rsid w:val="0027303B"/>
    <w:rsid w:val="0028109B"/>
    <w:rsid w:val="002958B1"/>
    <w:rsid w:val="002A2188"/>
    <w:rsid w:val="002B1F58"/>
    <w:rsid w:val="002B56DA"/>
    <w:rsid w:val="002C1C7A"/>
    <w:rsid w:val="002C54E2"/>
    <w:rsid w:val="002E3EF4"/>
    <w:rsid w:val="002F1A08"/>
    <w:rsid w:val="0030160F"/>
    <w:rsid w:val="00314C08"/>
    <w:rsid w:val="00320223"/>
    <w:rsid w:val="003210D2"/>
    <w:rsid w:val="00322D0D"/>
    <w:rsid w:val="003541D4"/>
    <w:rsid w:val="00361465"/>
    <w:rsid w:val="00380C00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17"/>
    <w:rsid w:val="00433CE8"/>
    <w:rsid w:val="00434A5C"/>
    <w:rsid w:val="0045223B"/>
    <w:rsid w:val="004544D9"/>
    <w:rsid w:val="00466DC5"/>
    <w:rsid w:val="00472BAD"/>
    <w:rsid w:val="00482FEE"/>
    <w:rsid w:val="00484009"/>
    <w:rsid w:val="00490E72"/>
    <w:rsid w:val="00491157"/>
    <w:rsid w:val="004921C8"/>
    <w:rsid w:val="00495B0B"/>
    <w:rsid w:val="004A1B8B"/>
    <w:rsid w:val="004C29AE"/>
    <w:rsid w:val="004D00E4"/>
    <w:rsid w:val="004D1851"/>
    <w:rsid w:val="004D599D"/>
    <w:rsid w:val="004E2EA5"/>
    <w:rsid w:val="004E3AEB"/>
    <w:rsid w:val="0050223C"/>
    <w:rsid w:val="005243FF"/>
    <w:rsid w:val="0053530C"/>
    <w:rsid w:val="005452C8"/>
    <w:rsid w:val="00547554"/>
    <w:rsid w:val="00564ED3"/>
    <w:rsid w:val="00564FBC"/>
    <w:rsid w:val="005800BC"/>
    <w:rsid w:val="00582442"/>
    <w:rsid w:val="005A5ADA"/>
    <w:rsid w:val="005F3269"/>
    <w:rsid w:val="00623AE3"/>
    <w:rsid w:val="006327FF"/>
    <w:rsid w:val="0064737F"/>
    <w:rsid w:val="006535F1"/>
    <w:rsid w:val="0065557D"/>
    <w:rsid w:val="00660D50"/>
    <w:rsid w:val="00662984"/>
    <w:rsid w:val="006716BB"/>
    <w:rsid w:val="006850BE"/>
    <w:rsid w:val="00693297"/>
    <w:rsid w:val="006B1859"/>
    <w:rsid w:val="006B6680"/>
    <w:rsid w:val="006B6DCC"/>
    <w:rsid w:val="006B7B2D"/>
    <w:rsid w:val="00702DEF"/>
    <w:rsid w:val="00703E6F"/>
    <w:rsid w:val="00706861"/>
    <w:rsid w:val="00707B49"/>
    <w:rsid w:val="00713358"/>
    <w:rsid w:val="0075051B"/>
    <w:rsid w:val="007674BC"/>
    <w:rsid w:val="00793188"/>
    <w:rsid w:val="007935D8"/>
    <w:rsid w:val="00794D34"/>
    <w:rsid w:val="007B37DE"/>
    <w:rsid w:val="007D6F53"/>
    <w:rsid w:val="00806224"/>
    <w:rsid w:val="00813E5E"/>
    <w:rsid w:val="0083581B"/>
    <w:rsid w:val="00863874"/>
    <w:rsid w:val="00864AFF"/>
    <w:rsid w:val="00865925"/>
    <w:rsid w:val="00885987"/>
    <w:rsid w:val="00887484"/>
    <w:rsid w:val="0089135A"/>
    <w:rsid w:val="008A4600"/>
    <w:rsid w:val="008B4A6A"/>
    <w:rsid w:val="008C2D09"/>
    <w:rsid w:val="008C7E27"/>
    <w:rsid w:val="008F7448"/>
    <w:rsid w:val="0090147A"/>
    <w:rsid w:val="009173EF"/>
    <w:rsid w:val="00932906"/>
    <w:rsid w:val="00951216"/>
    <w:rsid w:val="00961B0B"/>
    <w:rsid w:val="00962D33"/>
    <w:rsid w:val="00963993"/>
    <w:rsid w:val="009B38C3"/>
    <w:rsid w:val="009E17BD"/>
    <w:rsid w:val="009E485A"/>
    <w:rsid w:val="00A04CEC"/>
    <w:rsid w:val="00A10DD7"/>
    <w:rsid w:val="00A27F92"/>
    <w:rsid w:val="00A32257"/>
    <w:rsid w:val="00A36D20"/>
    <w:rsid w:val="00A514A4"/>
    <w:rsid w:val="00A55622"/>
    <w:rsid w:val="00A73A07"/>
    <w:rsid w:val="00A83502"/>
    <w:rsid w:val="00A87D3D"/>
    <w:rsid w:val="00A9608B"/>
    <w:rsid w:val="00AA03A7"/>
    <w:rsid w:val="00AD15B3"/>
    <w:rsid w:val="00AD3606"/>
    <w:rsid w:val="00AD4A3D"/>
    <w:rsid w:val="00AE0328"/>
    <w:rsid w:val="00AF6E49"/>
    <w:rsid w:val="00B04A67"/>
    <w:rsid w:val="00B0583C"/>
    <w:rsid w:val="00B40A81"/>
    <w:rsid w:val="00B411E1"/>
    <w:rsid w:val="00B44910"/>
    <w:rsid w:val="00B50584"/>
    <w:rsid w:val="00B63EDF"/>
    <w:rsid w:val="00B67343"/>
    <w:rsid w:val="00B72267"/>
    <w:rsid w:val="00B76EB6"/>
    <w:rsid w:val="00B7737B"/>
    <w:rsid w:val="00B824C8"/>
    <w:rsid w:val="00B84B9D"/>
    <w:rsid w:val="00B965CB"/>
    <w:rsid w:val="00BB3003"/>
    <w:rsid w:val="00BB5B9A"/>
    <w:rsid w:val="00BC251A"/>
    <w:rsid w:val="00BD032B"/>
    <w:rsid w:val="00BE2640"/>
    <w:rsid w:val="00C01189"/>
    <w:rsid w:val="00C177FF"/>
    <w:rsid w:val="00C374DE"/>
    <w:rsid w:val="00C47AD4"/>
    <w:rsid w:val="00C52D81"/>
    <w:rsid w:val="00C55198"/>
    <w:rsid w:val="00CA4947"/>
    <w:rsid w:val="00CA54F7"/>
    <w:rsid w:val="00CA6393"/>
    <w:rsid w:val="00CB18FF"/>
    <w:rsid w:val="00CD0C08"/>
    <w:rsid w:val="00CE03FB"/>
    <w:rsid w:val="00CE433C"/>
    <w:rsid w:val="00CF0161"/>
    <w:rsid w:val="00CF33F3"/>
    <w:rsid w:val="00D06183"/>
    <w:rsid w:val="00D202BB"/>
    <w:rsid w:val="00D22C42"/>
    <w:rsid w:val="00D365C3"/>
    <w:rsid w:val="00D65041"/>
    <w:rsid w:val="00DB1936"/>
    <w:rsid w:val="00DB384B"/>
    <w:rsid w:val="00DC286D"/>
    <w:rsid w:val="00DD53F8"/>
    <w:rsid w:val="00DF0189"/>
    <w:rsid w:val="00DF4E0D"/>
    <w:rsid w:val="00E0188F"/>
    <w:rsid w:val="00E066DA"/>
    <w:rsid w:val="00E06FD5"/>
    <w:rsid w:val="00E10E80"/>
    <w:rsid w:val="00E124F0"/>
    <w:rsid w:val="00E227F3"/>
    <w:rsid w:val="00E23618"/>
    <w:rsid w:val="00E545C6"/>
    <w:rsid w:val="00E579AF"/>
    <w:rsid w:val="00E60F04"/>
    <w:rsid w:val="00E65B24"/>
    <w:rsid w:val="00E854E4"/>
    <w:rsid w:val="00E86DBF"/>
    <w:rsid w:val="00EB0D6F"/>
    <w:rsid w:val="00EB1BF6"/>
    <w:rsid w:val="00EB2232"/>
    <w:rsid w:val="00EB767D"/>
    <w:rsid w:val="00EC5337"/>
    <w:rsid w:val="00ED0A16"/>
    <w:rsid w:val="00EE49E8"/>
    <w:rsid w:val="00F16BAB"/>
    <w:rsid w:val="00F2150A"/>
    <w:rsid w:val="00F231D8"/>
    <w:rsid w:val="00F44C00"/>
    <w:rsid w:val="00F45D2C"/>
    <w:rsid w:val="00F46C5F"/>
    <w:rsid w:val="00F564AF"/>
    <w:rsid w:val="00F56A20"/>
    <w:rsid w:val="00F632C0"/>
    <w:rsid w:val="00F74710"/>
    <w:rsid w:val="00F94A63"/>
    <w:rsid w:val="00FA1C28"/>
    <w:rsid w:val="00FA4E82"/>
    <w:rsid w:val="00FB1279"/>
    <w:rsid w:val="00FB2B99"/>
    <w:rsid w:val="00FB6B76"/>
    <w:rsid w:val="00FB7596"/>
    <w:rsid w:val="00FE4077"/>
    <w:rsid w:val="00FE500D"/>
    <w:rsid w:val="00FE77D2"/>
    <w:rsid w:val="040AC3C9"/>
    <w:rsid w:val="0C0BA025"/>
    <w:rsid w:val="11BEF556"/>
    <w:rsid w:val="14CD15A7"/>
    <w:rsid w:val="15085DA4"/>
    <w:rsid w:val="2E7B0DB1"/>
    <w:rsid w:val="32939086"/>
    <w:rsid w:val="4201A6E2"/>
    <w:rsid w:val="5A4EA37A"/>
    <w:rsid w:val="66263516"/>
    <w:rsid w:val="78FB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,"/>
  <w14:docId w14:val="32E63E59"/>
  <w15:docId w15:val="{753332E8-1579-46CD-B31F-E0BB2014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A73A07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314C08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semiHidden/>
    <w:rsid w:val="00166049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4E0D"/>
    <w:rPr>
      <w:color w:val="605E5C"/>
      <w:shd w:val="clear" w:color="auto" w:fill="E1DFDD"/>
    </w:rPr>
  </w:style>
  <w:style w:type="paragraph" w:customStyle="1" w:styleId="Subtitle1">
    <w:name w:val="Subtitle1"/>
    <w:basedOn w:val="Title1"/>
    <w:qFormat/>
    <w:rsid w:val="006B7B2D"/>
    <w:pPr>
      <w:framePr w:wrap="around" w:vAnchor="margin" w:hAnchor="text"/>
      <w:spacing w:before="120" w:after="160"/>
    </w:pPr>
  </w:style>
  <w:style w:type="paragraph" w:styleId="CommentText">
    <w:name w:val="annotation text"/>
    <w:basedOn w:val="Normal"/>
    <w:link w:val="CommentTextChar"/>
    <w:semiHidden/>
    <w:unhideWhenUsed/>
    <w:rsid w:val="006B7B2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B2D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B7B2D"/>
    <w:rPr>
      <w:sz w:val="16"/>
      <w:szCs w:val="16"/>
    </w:rPr>
  </w:style>
  <w:style w:type="paragraph" w:customStyle="1" w:styleId="Reasons">
    <w:name w:val="Reasons"/>
    <w:basedOn w:val="Normal"/>
    <w:qFormat/>
    <w:rsid w:val="00CA54F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NormalaftertitleAsianCalibri">
    <w:name w:val="Normal after title + (Asian) Calibri"/>
    <w:basedOn w:val="Normalaftertitle"/>
    <w:rsid w:val="00043DC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Digital-Inclusion/Women-and-Girls/Girls-in-ICT-Portal/Pages/Portaldev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81E64-47E4-4B6A-AF19-8474033F43C1}">
  <ds:schemaRefs>
    <ds:schemaRef ds:uri="http://schemas.microsoft.com/office/2006/documentManagement/types"/>
    <ds:schemaRef ds:uri="http://purl.org/dc/dcmitype/"/>
    <ds:schemaRef ds:uri="085b46e1-7f22-4e81-9ba5-912dc5a5fd9a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98b04e1e-0540-4930-9623-702d547a0a3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964950-87D9-40FF-BD63-CE8CB2DDF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FBC0F9-3631-4B4D-8F9D-762C89147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0CFAE-3C02-4EA4-80FC-DE10BFD16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1423 - Child online protection</vt:lpstr>
    </vt:vector>
  </TitlesOfParts>
  <Company>International Telecommunication Union (ITU)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1423 - Child online protection</dc:title>
  <dc:subject>2024 session of the Council</dc:subject>
  <cp:keywords>C2024, C24, Council-24</cp:keywords>
  <dc:description/>
  <cp:lastModifiedBy>LRT</cp:lastModifiedBy>
  <cp:revision>4</cp:revision>
  <cp:lastPrinted>2000-07-18T04:30:00Z</cp:lastPrinted>
  <dcterms:created xsi:type="dcterms:W3CDTF">2024-06-12T10:23:00Z</dcterms:created>
  <dcterms:modified xsi:type="dcterms:W3CDTF">2024-06-27T08:06:00Z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