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1AB1D28" w14:textId="77777777" w:rsidTr="00E31DCE">
        <w:trPr>
          <w:cantSplit/>
          <w:trHeight w:val="23"/>
        </w:trPr>
        <w:tc>
          <w:tcPr>
            <w:tcW w:w="3969" w:type="dxa"/>
            <w:vMerge w:val="restart"/>
            <w:tcMar>
              <w:left w:w="0" w:type="dxa"/>
            </w:tcMar>
          </w:tcPr>
          <w:p w14:paraId="5B761480" w14:textId="0D02E4FC"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
        </w:tc>
        <w:tc>
          <w:tcPr>
            <w:tcW w:w="5245" w:type="dxa"/>
          </w:tcPr>
          <w:p w14:paraId="5BFD5B79" w14:textId="70FD8814"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6F4C43">
              <w:rPr>
                <w:b/>
                <w:lang w:val="fr-CH"/>
              </w:rPr>
              <w:t>126</w:t>
            </w:r>
            <w:r w:rsidRPr="00E24D59">
              <w:rPr>
                <w:b/>
                <w:lang w:val="fr-CH"/>
              </w:rPr>
              <w:t>-C</w:t>
            </w:r>
          </w:p>
        </w:tc>
      </w:tr>
      <w:tr w:rsidR="00E24D59" w:rsidRPr="00813E5E" w14:paraId="3D209343" w14:textId="77777777" w:rsidTr="00E31DCE">
        <w:trPr>
          <w:cantSplit/>
        </w:trPr>
        <w:tc>
          <w:tcPr>
            <w:tcW w:w="3969" w:type="dxa"/>
            <w:vMerge/>
          </w:tcPr>
          <w:p w14:paraId="3C8A4619"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FAFFA43" w14:textId="5D8B4BA9"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6F4C43">
              <w:rPr>
                <w:b/>
                <w:lang w:eastAsia="zh-CN"/>
              </w:rPr>
              <w:t>6</w:t>
            </w:r>
            <w:r w:rsidR="00C45EB2">
              <w:rPr>
                <w:rFonts w:hint="eastAsia"/>
                <w:b/>
                <w:lang w:eastAsia="zh-CN"/>
              </w:rPr>
              <w:t>月</w:t>
            </w:r>
            <w:r w:rsidR="006F4C43">
              <w:rPr>
                <w:b/>
                <w:lang w:eastAsia="zh-CN"/>
              </w:rPr>
              <w:t>14</w:t>
            </w:r>
            <w:r w:rsidR="00C45EB2">
              <w:rPr>
                <w:rFonts w:hint="eastAsia"/>
                <w:b/>
                <w:lang w:eastAsia="zh-CN"/>
              </w:rPr>
              <w:t>日</w:t>
            </w:r>
          </w:p>
        </w:tc>
      </w:tr>
      <w:tr w:rsidR="00E24D59" w:rsidRPr="00813E5E" w14:paraId="6524BC02" w14:textId="77777777" w:rsidTr="00E31DCE">
        <w:trPr>
          <w:cantSplit/>
          <w:trHeight w:val="23"/>
        </w:trPr>
        <w:tc>
          <w:tcPr>
            <w:tcW w:w="3969" w:type="dxa"/>
            <w:vMerge/>
          </w:tcPr>
          <w:p w14:paraId="25BE50A7"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1128CBF2" w14:textId="57DCAF05"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r w:rsidR="008D70D2">
              <w:rPr>
                <w:b/>
                <w:bCs/>
                <w:lang w:val="zh-CN"/>
              </w:rPr>
              <w:t>英文</w:t>
            </w:r>
            <w:proofErr w:type="spellEnd"/>
          </w:p>
        </w:tc>
      </w:tr>
      <w:tr w:rsidR="00E24D59" w:rsidRPr="00813E5E" w14:paraId="7A2A6AC2" w14:textId="77777777" w:rsidTr="00E31DCE">
        <w:trPr>
          <w:cantSplit/>
          <w:trHeight w:val="23"/>
        </w:trPr>
        <w:tc>
          <w:tcPr>
            <w:tcW w:w="3969" w:type="dxa"/>
          </w:tcPr>
          <w:p w14:paraId="4D4D824D" w14:textId="77777777" w:rsidR="00E24D59" w:rsidRPr="00813E5E" w:rsidRDefault="00E24D59" w:rsidP="00E31DCE">
            <w:pPr>
              <w:tabs>
                <w:tab w:val="left" w:pos="851"/>
              </w:tabs>
              <w:spacing w:line="240" w:lineRule="atLeast"/>
              <w:rPr>
                <w:b/>
              </w:rPr>
            </w:pPr>
          </w:p>
        </w:tc>
        <w:tc>
          <w:tcPr>
            <w:tcW w:w="5245" w:type="dxa"/>
          </w:tcPr>
          <w:p w14:paraId="318C9B31" w14:textId="77777777" w:rsidR="00E24D59" w:rsidRDefault="00E24D59" w:rsidP="00E31DCE">
            <w:pPr>
              <w:tabs>
                <w:tab w:val="left" w:pos="851"/>
              </w:tabs>
              <w:spacing w:before="0" w:line="240" w:lineRule="atLeast"/>
              <w:jc w:val="right"/>
              <w:rPr>
                <w:b/>
              </w:rPr>
            </w:pPr>
          </w:p>
        </w:tc>
      </w:tr>
    </w:tbl>
    <w:p w14:paraId="4A4F94F2" w14:textId="0B3AF722" w:rsidR="00E01F27" w:rsidRDefault="00E01F27" w:rsidP="003E18A3">
      <w:pPr>
        <w:pStyle w:val="ResNo"/>
        <w:rPr>
          <w:lang w:val="zh-CN" w:eastAsia="zh-CN"/>
        </w:rPr>
      </w:pPr>
      <w:bookmarkStart w:id="5" w:name="annxex"/>
      <w:bookmarkEnd w:id="4"/>
      <w:bookmarkEnd w:id="2"/>
      <w:bookmarkEnd w:id="5"/>
      <w:r>
        <w:rPr>
          <w:lang w:val="zh-CN" w:eastAsia="zh-CN"/>
        </w:rPr>
        <w:t>第</w:t>
      </w:r>
      <w:r w:rsidR="006F4C43">
        <w:rPr>
          <w:lang w:val="es-ES" w:eastAsia="zh-CN"/>
        </w:rPr>
        <w:t>1423</w:t>
      </w:r>
      <w:r>
        <w:rPr>
          <w:lang w:val="zh-CN" w:eastAsia="zh-CN"/>
        </w:rPr>
        <w:t>号决议</w:t>
      </w:r>
    </w:p>
    <w:p w14:paraId="0AB767DE" w14:textId="5BDFD3BE" w:rsidR="0044717B" w:rsidRPr="00C872C5" w:rsidRDefault="00C86A0A" w:rsidP="00C872C5">
      <w:pPr>
        <w:pStyle w:val="Resref"/>
        <w:rPr>
          <w:b/>
          <w:lang w:val="zh-CN" w:eastAsia="zh-CN"/>
        </w:rPr>
      </w:pPr>
      <w:r w:rsidRPr="00C86A0A">
        <w:rPr>
          <w:rFonts w:hint="eastAsia"/>
          <w:lang w:val="zh-CN" w:eastAsia="zh-CN"/>
        </w:rPr>
        <w:t>（第六次全体会议通过）</w:t>
      </w:r>
    </w:p>
    <w:p w14:paraId="6A11F2AF" w14:textId="11316D02" w:rsidR="00E01F27" w:rsidRDefault="00E01F27" w:rsidP="00C872C5">
      <w:pPr>
        <w:pStyle w:val="Restitle"/>
        <w:rPr>
          <w:lang w:val="zh-CN" w:eastAsia="zh-CN"/>
        </w:rPr>
      </w:pPr>
      <w:r>
        <w:rPr>
          <w:lang w:val="zh-CN" w:eastAsia="zh-CN"/>
        </w:rPr>
        <w:t>鼓励国际电联成员国和部门成员</w:t>
      </w:r>
      <w:r w:rsidRPr="00477757">
        <w:rPr>
          <w:rFonts w:hint="eastAsia"/>
          <w:lang w:val="zh-CN" w:eastAsia="zh-CN"/>
        </w:rPr>
        <w:t>通过国际电联</w:t>
      </w:r>
      <w:r w:rsidR="00C872C5">
        <w:rPr>
          <w:lang w:val="zh-CN" w:eastAsia="zh-CN"/>
        </w:rPr>
        <w:br/>
      </w:r>
      <w:r>
        <w:rPr>
          <w:lang w:val="zh-CN" w:eastAsia="zh-CN"/>
        </w:rPr>
        <w:t>庆祝信息通信年轻女性</w:t>
      </w:r>
      <w:r w:rsidR="00C86A0A">
        <w:rPr>
          <w:rFonts w:hint="eastAsia"/>
          <w:lang w:val="zh-CN" w:eastAsia="zh-CN"/>
        </w:rPr>
        <w:t>日</w:t>
      </w:r>
      <w:r>
        <w:rPr>
          <w:lang w:val="zh-CN" w:eastAsia="zh-CN"/>
        </w:rPr>
        <w:t>等具体</w:t>
      </w:r>
      <w:r w:rsidR="00C86A0A">
        <w:rPr>
          <w:rFonts w:hint="eastAsia"/>
          <w:lang w:val="zh-CN" w:eastAsia="zh-CN"/>
        </w:rPr>
        <w:t>项目</w:t>
      </w:r>
      <w:bookmarkStart w:id="6" w:name="_Hlk170289830"/>
      <w:r w:rsidR="00C872C5">
        <w:rPr>
          <w:lang w:val="zh-CN" w:eastAsia="zh-CN"/>
        </w:rPr>
        <w:br/>
      </w:r>
      <w:r>
        <w:rPr>
          <w:lang w:val="zh-CN" w:eastAsia="zh-CN"/>
        </w:rPr>
        <w:t>将保护上网儿童（</w:t>
      </w:r>
      <w:r>
        <w:rPr>
          <w:lang w:val="zh-CN" w:eastAsia="zh-CN"/>
        </w:rPr>
        <w:t>COP</w:t>
      </w:r>
      <w:r>
        <w:rPr>
          <w:lang w:val="zh-CN" w:eastAsia="zh-CN"/>
        </w:rPr>
        <w:t>）活动列为重点</w:t>
      </w:r>
      <w:r w:rsidR="00064860">
        <w:rPr>
          <w:rFonts w:hint="eastAsia"/>
          <w:lang w:val="zh-CN" w:eastAsia="zh-CN"/>
        </w:rPr>
        <w:t>工作</w:t>
      </w:r>
      <w:r>
        <w:rPr>
          <w:lang w:val="zh-CN" w:eastAsia="zh-CN"/>
        </w:rPr>
        <w:t>，将其</w:t>
      </w:r>
      <w:r w:rsidR="00064860">
        <w:rPr>
          <w:rFonts w:hint="eastAsia"/>
          <w:lang w:val="zh-CN" w:eastAsia="zh-CN"/>
        </w:rPr>
        <w:t>主流化</w:t>
      </w:r>
      <w:r>
        <w:rPr>
          <w:lang w:val="zh-CN" w:eastAsia="zh-CN"/>
        </w:rPr>
        <w:t>并予以加强</w:t>
      </w:r>
      <w:bookmarkEnd w:id="6"/>
    </w:p>
    <w:p w14:paraId="4D981D8F" w14:textId="77777777" w:rsidR="00E01F27" w:rsidRPr="00885987" w:rsidRDefault="00E01F27" w:rsidP="00E01F27">
      <w:pPr>
        <w:pStyle w:val="Normalaftertitle"/>
        <w:rPr>
          <w:rFonts w:eastAsia="Calibri"/>
          <w:lang w:eastAsia="zh-CN"/>
        </w:rPr>
      </w:pPr>
      <w:r>
        <w:rPr>
          <w:rFonts w:hint="eastAsia"/>
          <w:lang w:val="zh-CN" w:eastAsia="zh-CN"/>
        </w:rPr>
        <w:t>国际电联理事会，</w:t>
      </w:r>
    </w:p>
    <w:p w14:paraId="5FB2C5B2" w14:textId="77777777" w:rsidR="00E01F27" w:rsidRPr="00F14742" w:rsidRDefault="00E01F27" w:rsidP="00E01F27">
      <w:pPr>
        <w:pStyle w:val="Call"/>
        <w:rPr>
          <w:rFonts w:eastAsia="STKaiti"/>
          <w:i/>
          <w:lang w:eastAsia="zh-CN"/>
        </w:rPr>
      </w:pPr>
      <w:r w:rsidRPr="00F14742">
        <w:rPr>
          <w:rFonts w:eastAsia="STKaiti"/>
          <w:lang w:val="zh-CN" w:eastAsia="zh-CN"/>
        </w:rPr>
        <w:t>考虑到</w:t>
      </w:r>
    </w:p>
    <w:p w14:paraId="68573A31" w14:textId="7C433EAA" w:rsidR="00E01F27" w:rsidRPr="00885987" w:rsidRDefault="00E01F27" w:rsidP="00E01F27">
      <w:pPr>
        <w:rPr>
          <w:lang w:eastAsia="zh-CN"/>
        </w:rPr>
      </w:pPr>
      <w:r>
        <w:rPr>
          <w:i/>
          <w:iCs/>
          <w:lang w:val="zh-CN" w:eastAsia="zh-CN"/>
        </w:rPr>
        <w:t>a)</w:t>
      </w:r>
      <w:r w:rsidR="002D4DE9">
        <w:rPr>
          <w:i/>
          <w:iCs/>
          <w:lang w:val="zh-CN" w:eastAsia="zh-CN"/>
        </w:rPr>
        <w:tab/>
      </w:r>
      <w:r w:rsidR="00C86A0A">
        <w:rPr>
          <w:rFonts w:hint="eastAsia"/>
          <w:lang w:val="zh-CN" w:eastAsia="zh-CN"/>
        </w:rPr>
        <w:t>有关</w:t>
      </w:r>
      <w:r>
        <w:rPr>
          <w:lang w:val="zh-CN" w:eastAsia="zh-CN"/>
        </w:rPr>
        <w:t>国际电联在保护上网儿童方面的作用</w:t>
      </w:r>
      <w:r w:rsidR="00C86A0A">
        <w:rPr>
          <w:rFonts w:hint="eastAsia"/>
          <w:lang w:val="zh-CN" w:eastAsia="zh-CN"/>
        </w:rPr>
        <w:t>的</w:t>
      </w:r>
      <w:r w:rsidR="00C86A0A">
        <w:rPr>
          <w:lang w:val="zh-CN" w:eastAsia="zh-CN"/>
        </w:rPr>
        <w:t>全权代表大会第</w:t>
      </w:r>
      <w:r w:rsidR="00C86A0A">
        <w:rPr>
          <w:lang w:val="zh-CN" w:eastAsia="zh-CN"/>
        </w:rPr>
        <w:t>179</w:t>
      </w:r>
      <w:r w:rsidR="00C86A0A">
        <w:rPr>
          <w:lang w:val="zh-CN" w:eastAsia="zh-CN"/>
        </w:rPr>
        <w:t>号决议（</w:t>
      </w:r>
      <w:r w:rsidR="00C86A0A">
        <w:rPr>
          <w:lang w:val="zh-CN" w:eastAsia="zh-CN"/>
        </w:rPr>
        <w:t>20</w:t>
      </w:r>
      <w:r w:rsidR="00C86A0A">
        <w:rPr>
          <w:rFonts w:hint="eastAsia"/>
          <w:lang w:val="zh-CN" w:eastAsia="zh-CN"/>
        </w:rPr>
        <w:t>22</w:t>
      </w:r>
      <w:r w:rsidR="00C86A0A">
        <w:rPr>
          <w:lang w:val="zh-CN" w:eastAsia="zh-CN"/>
        </w:rPr>
        <w:t>年，</w:t>
      </w:r>
      <w:r w:rsidR="00C86A0A">
        <w:rPr>
          <w:rFonts w:hint="eastAsia"/>
          <w:lang w:val="zh-CN" w:eastAsia="zh-CN"/>
        </w:rPr>
        <w:t>布加勒斯特</w:t>
      </w:r>
      <w:r w:rsidR="00C86A0A">
        <w:rPr>
          <w:lang w:val="zh-CN" w:eastAsia="zh-CN"/>
        </w:rPr>
        <w:t>，修订版）</w:t>
      </w:r>
      <w:r>
        <w:rPr>
          <w:lang w:val="zh-CN" w:eastAsia="zh-CN"/>
        </w:rPr>
        <w:t>；</w:t>
      </w:r>
    </w:p>
    <w:p w14:paraId="756065A8" w14:textId="37AFD689" w:rsidR="00E01F27" w:rsidRPr="00885987" w:rsidRDefault="00E01F27" w:rsidP="00E01F27">
      <w:pPr>
        <w:rPr>
          <w:lang w:eastAsia="zh-CN"/>
        </w:rPr>
      </w:pPr>
      <w:r>
        <w:rPr>
          <w:i/>
          <w:iCs/>
          <w:lang w:val="zh-CN" w:eastAsia="zh-CN"/>
        </w:rPr>
        <w:t>b)</w:t>
      </w:r>
      <w:r w:rsidR="002D4DE9">
        <w:rPr>
          <w:i/>
          <w:iCs/>
          <w:lang w:val="zh-CN" w:eastAsia="zh-CN"/>
        </w:rPr>
        <w:tab/>
      </w:r>
      <w:r w:rsidR="00C86A0A">
        <w:rPr>
          <w:lang w:val="zh-CN" w:eastAsia="zh-CN"/>
        </w:rPr>
        <w:t>有关国际电</w:t>
      </w:r>
      <w:proofErr w:type="gramStart"/>
      <w:r w:rsidR="00C86A0A">
        <w:rPr>
          <w:lang w:val="zh-CN" w:eastAsia="zh-CN"/>
        </w:rPr>
        <w:t>联电信</w:t>
      </w:r>
      <w:proofErr w:type="gramEnd"/>
      <w:r w:rsidR="00C86A0A">
        <w:rPr>
          <w:lang w:val="zh-CN" w:eastAsia="zh-CN"/>
        </w:rPr>
        <w:t>发展部门在保护上网儿童中的作用</w:t>
      </w:r>
      <w:r w:rsidR="00C86A0A">
        <w:rPr>
          <w:rFonts w:hint="eastAsia"/>
          <w:lang w:val="zh-CN" w:eastAsia="zh-CN"/>
        </w:rPr>
        <w:t>的</w:t>
      </w:r>
      <w:r>
        <w:rPr>
          <w:lang w:val="zh-CN" w:eastAsia="zh-CN"/>
        </w:rPr>
        <w:t>世界电信发展大会第</w:t>
      </w:r>
      <w:r>
        <w:rPr>
          <w:lang w:val="zh-CN" w:eastAsia="zh-CN"/>
        </w:rPr>
        <w:t>67</w:t>
      </w:r>
      <w:r>
        <w:rPr>
          <w:lang w:val="zh-CN" w:eastAsia="zh-CN"/>
        </w:rPr>
        <w:t>号决议（</w:t>
      </w:r>
      <w:r>
        <w:rPr>
          <w:lang w:val="zh-CN" w:eastAsia="zh-CN"/>
        </w:rPr>
        <w:t>2022</w:t>
      </w:r>
      <w:r>
        <w:rPr>
          <w:lang w:val="zh-CN" w:eastAsia="zh-CN"/>
        </w:rPr>
        <w:t>年，基加利）；</w:t>
      </w:r>
    </w:p>
    <w:p w14:paraId="0E28C18A" w14:textId="0F8BB5D7" w:rsidR="00E01F27" w:rsidRPr="00F14742" w:rsidRDefault="00E01F27" w:rsidP="00E01F27">
      <w:pPr>
        <w:rPr>
          <w:lang w:val="zh-CN" w:eastAsia="zh-CN"/>
        </w:rPr>
      </w:pPr>
      <w:r>
        <w:rPr>
          <w:i/>
          <w:iCs/>
          <w:lang w:val="zh-CN" w:eastAsia="zh-CN"/>
        </w:rPr>
        <w:t>c)</w:t>
      </w:r>
      <w:r w:rsidR="002D4DE9">
        <w:rPr>
          <w:lang w:eastAsia="zh-CN"/>
        </w:rPr>
        <w:tab/>
      </w:r>
      <w:r w:rsidR="00C86A0A">
        <w:rPr>
          <w:rFonts w:cs="Calibri" w:hint="eastAsia"/>
          <w:lang w:val="zh-CN" w:eastAsia="zh-CN"/>
        </w:rPr>
        <w:t>关于</w:t>
      </w:r>
      <w:r w:rsidR="00C86A0A">
        <w:rPr>
          <w:lang w:val="zh-CN" w:eastAsia="zh-CN"/>
        </w:rPr>
        <w:t>国际电联在有关为儿童创建更加安全的互联网环境的国际公共政策问题方面的作用</w:t>
      </w:r>
      <w:r w:rsidR="00C86A0A">
        <w:rPr>
          <w:rFonts w:hint="eastAsia"/>
          <w:lang w:val="zh-CN" w:eastAsia="zh-CN"/>
        </w:rPr>
        <w:t>的</w:t>
      </w:r>
      <w:r w:rsidRPr="00F14742">
        <w:rPr>
          <w:rFonts w:hint="eastAsia"/>
          <w:lang w:val="zh-CN" w:eastAsia="zh-CN"/>
        </w:rPr>
        <w:t>第</w:t>
      </w:r>
      <w:r w:rsidRPr="00F14742">
        <w:rPr>
          <w:rFonts w:hint="eastAsia"/>
          <w:lang w:val="zh-CN" w:eastAsia="zh-CN"/>
        </w:rPr>
        <w:t>1306</w:t>
      </w:r>
      <w:r w:rsidRPr="00F14742">
        <w:rPr>
          <w:rFonts w:hint="eastAsia"/>
          <w:lang w:val="zh-CN" w:eastAsia="zh-CN"/>
        </w:rPr>
        <w:t>号决议（理事会</w:t>
      </w:r>
      <w:r w:rsidRPr="00F14742">
        <w:rPr>
          <w:rFonts w:hint="eastAsia"/>
          <w:lang w:val="zh-CN" w:eastAsia="zh-CN"/>
        </w:rPr>
        <w:t>20</w:t>
      </w:r>
      <w:r>
        <w:rPr>
          <w:rFonts w:hint="eastAsia"/>
          <w:lang w:val="zh-CN" w:eastAsia="zh-CN"/>
        </w:rPr>
        <w:t>09</w:t>
      </w:r>
      <w:r w:rsidRPr="00F14742">
        <w:rPr>
          <w:rFonts w:hint="eastAsia"/>
          <w:lang w:val="zh-CN" w:eastAsia="zh-CN"/>
        </w:rPr>
        <w:t>年会议，理事会</w:t>
      </w:r>
      <w:r w:rsidRPr="00F14742">
        <w:rPr>
          <w:rFonts w:hint="eastAsia"/>
          <w:lang w:val="zh-CN" w:eastAsia="zh-CN"/>
        </w:rPr>
        <w:t>2015</w:t>
      </w:r>
      <w:r w:rsidRPr="00F14742">
        <w:rPr>
          <w:rFonts w:hint="eastAsia"/>
          <w:lang w:val="zh-CN" w:eastAsia="zh-CN"/>
        </w:rPr>
        <w:t>年会议</w:t>
      </w:r>
      <w:r>
        <w:rPr>
          <w:rFonts w:hint="eastAsia"/>
          <w:lang w:val="zh-CN" w:eastAsia="zh-CN"/>
        </w:rPr>
        <w:t>最后</w:t>
      </w:r>
      <w:r w:rsidRPr="00F14742">
        <w:rPr>
          <w:rFonts w:hint="eastAsia"/>
          <w:lang w:val="zh-CN" w:eastAsia="zh-CN"/>
        </w:rPr>
        <w:t>修正）</w:t>
      </w:r>
      <w:r>
        <w:rPr>
          <w:rFonts w:hint="eastAsia"/>
          <w:lang w:val="zh-CN" w:eastAsia="zh-CN"/>
        </w:rPr>
        <w:t>，</w:t>
      </w:r>
    </w:p>
    <w:p w14:paraId="4C958700" w14:textId="77777777" w:rsidR="00E01F27" w:rsidRPr="00885987" w:rsidRDefault="00E01F27" w:rsidP="00E01F27">
      <w:pPr>
        <w:pStyle w:val="Call"/>
        <w:rPr>
          <w:rFonts w:eastAsia="Calibri"/>
          <w:lang w:eastAsia="zh-CN"/>
        </w:rPr>
      </w:pPr>
      <w:r w:rsidRPr="00F14742">
        <w:rPr>
          <w:rFonts w:eastAsia="STKaiti" w:hint="eastAsia"/>
          <w:lang w:val="zh-CN" w:eastAsia="zh-CN"/>
        </w:rPr>
        <w:t>忆及</w:t>
      </w:r>
    </w:p>
    <w:p w14:paraId="1F68E9DD" w14:textId="5988CB1B" w:rsidR="00E01F27" w:rsidRPr="00B61A64" w:rsidRDefault="00C86A0A" w:rsidP="002D4DE9">
      <w:pPr>
        <w:ind w:firstLineChars="200" w:firstLine="480"/>
        <w:rPr>
          <w:iCs/>
          <w:lang w:eastAsia="zh-CN"/>
        </w:rPr>
      </w:pPr>
      <w:r>
        <w:rPr>
          <w:rFonts w:hint="eastAsia"/>
          <w:lang w:val="zh-CN" w:eastAsia="zh-CN"/>
        </w:rPr>
        <w:t>有关</w:t>
      </w:r>
      <w:r>
        <w:rPr>
          <w:lang w:val="zh-CN" w:eastAsia="zh-CN"/>
        </w:rPr>
        <w:t>成立保护上网儿童工作组</w:t>
      </w:r>
      <w:r>
        <w:rPr>
          <w:rFonts w:hint="eastAsia"/>
          <w:lang w:val="zh-CN" w:eastAsia="zh-CN"/>
        </w:rPr>
        <w:t>的</w:t>
      </w:r>
      <w:r w:rsidR="00E01F27">
        <w:rPr>
          <w:lang w:val="zh-CN" w:eastAsia="zh-CN"/>
        </w:rPr>
        <w:t>第</w:t>
      </w:r>
      <w:r w:rsidR="00E01F27">
        <w:rPr>
          <w:lang w:val="zh-CN" w:eastAsia="zh-CN"/>
        </w:rPr>
        <w:t>1306</w:t>
      </w:r>
      <w:r w:rsidR="00E01F27">
        <w:rPr>
          <w:lang w:val="zh-CN" w:eastAsia="zh-CN"/>
        </w:rPr>
        <w:t>号决议（理事会</w:t>
      </w:r>
      <w:r w:rsidR="00E01F27">
        <w:rPr>
          <w:lang w:val="zh-CN" w:eastAsia="zh-CN"/>
        </w:rPr>
        <w:t>2009</w:t>
      </w:r>
      <w:r w:rsidR="00E01F27">
        <w:rPr>
          <w:lang w:val="zh-CN" w:eastAsia="zh-CN"/>
        </w:rPr>
        <w:t>年会议）</w:t>
      </w:r>
      <w:r w:rsidR="00E01F27">
        <w:rPr>
          <w:rFonts w:hint="eastAsia"/>
          <w:lang w:val="zh-CN" w:eastAsia="zh-CN"/>
        </w:rPr>
        <w:t>，</w:t>
      </w:r>
    </w:p>
    <w:p w14:paraId="16E0751E" w14:textId="440698C6" w:rsidR="00E01F27" w:rsidRPr="00F14742" w:rsidRDefault="00C86A0A" w:rsidP="00E01F27">
      <w:pPr>
        <w:pStyle w:val="Call"/>
        <w:rPr>
          <w:rFonts w:eastAsia="STKaiti"/>
          <w:i/>
          <w:lang w:val="zh-CN" w:eastAsia="zh-CN"/>
        </w:rPr>
      </w:pPr>
      <w:r>
        <w:rPr>
          <w:rFonts w:eastAsia="STKaiti" w:hint="eastAsia"/>
          <w:lang w:val="zh-CN" w:eastAsia="zh-CN"/>
        </w:rPr>
        <w:t>顾及</w:t>
      </w:r>
    </w:p>
    <w:p w14:paraId="3BF9AB5C" w14:textId="77777777" w:rsidR="00E01F27" w:rsidRPr="00885987" w:rsidRDefault="00E01F27" w:rsidP="002D4DE9">
      <w:pPr>
        <w:ind w:firstLineChars="200" w:firstLine="480"/>
        <w:rPr>
          <w:rFonts w:eastAsia="Calibri"/>
          <w:lang w:eastAsia="zh-CN"/>
        </w:rPr>
      </w:pPr>
      <w:r>
        <w:rPr>
          <w:lang w:val="zh-CN" w:eastAsia="zh-CN"/>
        </w:rPr>
        <w:t>第</w:t>
      </w:r>
      <w:r>
        <w:rPr>
          <w:lang w:val="zh-CN" w:eastAsia="zh-CN"/>
        </w:rPr>
        <w:t>179</w:t>
      </w:r>
      <w:r>
        <w:rPr>
          <w:lang w:val="zh-CN" w:eastAsia="zh-CN"/>
        </w:rPr>
        <w:t>号决议（</w:t>
      </w:r>
      <w:r>
        <w:rPr>
          <w:lang w:val="zh-CN" w:eastAsia="zh-CN"/>
        </w:rPr>
        <w:t>2022</w:t>
      </w:r>
      <w:r>
        <w:rPr>
          <w:lang w:val="zh-CN" w:eastAsia="zh-CN"/>
        </w:rPr>
        <w:t>年，布加勒斯特，修订版）</w:t>
      </w:r>
      <w:r w:rsidRPr="004641A0">
        <w:rPr>
          <w:rFonts w:ascii="STKaiti" w:eastAsia="STKaiti" w:hAnsi="STKaiti"/>
          <w:lang w:val="zh-CN" w:eastAsia="zh-CN"/>
        </w:rPr>
        <w:t>做出决议</w:t>
      </w:r>
      <w:r>
        <w:rPr>
          <w:rFonts w:hint="eastAsia"/>
          <w:lang w:val="zh-CN" w:eastAsia="zh-CN"/>
        </w:rPr>
        <w:t>，其中包括：</w:t>
      </w:r>
    </w:p>
    <w:p w14:paraId="742FA962" w14:textId="1B54EDF1" w:rsidR="00E01F27" w:rsidRPr="00885987" w:rsidRDefault="00E01F27" w:rsidP="00E01F27">
      <w:pPr>
        <w:rPr>
          <w:rFonts w:eastAsia="Calibri"/>
          <w:lang w:eastAsia="zh-CN"/>
        </w:rPr>
      </w:pPr>
      <w:r>
        <w:rPr>
          <w:i/>
          <w:iCs/>
          <w:lang w:val="zh-CN" w:eastAsia="zh-CN"/>
        </w:rPr>
        <w:t>a)</w:t>
      </w:r>
      <w:r w:rsidR="002D4DE9">
        <w:rPr>
          <w:i/>
          <w:iCs/>
          <w:lang w:val="zh-CN" w:eastAsia="zh-CN"/>
        </w:rPr>
        <w:tab/>
      </w:r>
      <w:r>
        <w:rPr>
          <w:lang w:val="zh-CN" w:eastAsia="zh-CN"/>
        </w:rPr>
        <w:t>继续将</w:t>
      </w:r>
      <w:r>
        <w:rPr>
          <w:lang w:val="zh-CN" w:eastAsia="zh-CN"/>
        </w:rPr>
        <w:t>COP</w:t>
      </w:r>
      <w:r>
        <w:rPr>
          <w:lang w:val="zh-CN" w:eastAsia="zh-CN"/>
        </w:rPr>
        <w:t>举措作为提高人们有关儿童上网安全问题认识和分享这方面最佳做法的平台；</w:t>
      </w:r>
    </w:p>
    <w:p w14:paraId="638200F2" w14:textId="2438F100" w:rsidR="00E01F27" w:rsidRPr="00885987" w:rsidRDefault="00E01F27" w:rsidP="00E01F27">
      <w:pPr>
        <w:rPr>
          <w:rFonts w:eastAsia="Calibri"/>
          <w:lang w:eastAsia="zh-CN"/>
        </w:rPr>
      </w:pPr>
      <w:r>
        <w:rPr>
          <w:i/>
          <w:iCs/>
          <w:lang w:val="zh-CN" w:eastAsia="zh-CN"/>
        </w:rPr>
        <w:t>b)</w:t>
      </w:r>
      <w:r w:rsidR="002D4DE9">
        <w:rPr>
          <w:i/>
          <w:iCs/>
          <w:lang w:val="zh-CN" w:eastAsia="zh-CN"/>
        </w:rPr>
        <w:tab/>
      </w:r>
      <w:r>
        <w:rPr>
          <w:lang w:val="zh-CN" w:eastAsia="zh-CN"/>
        </w:rPr>
        <w:t>继续向成员国，特别是向发展中国家</w:t>
      </w:r>
      <w:r>
        <w:rPr>
          <w:rStyle w:val="FootnoteReference"/>
          <w:rFonts w:eastAsia="Calibri"/>
        </w:rPr>
        <w:footnoteReference w:id="1"/>
      </w:r>
      <w:r>
        <w:rPr>
          <w:lang w:val="zh-CN" w:eastAsia="zh-CN"/>
        </w:rPr>
        <w:t>提供帮助和支持，为</w:t>
      </w:r>
      <w:r>
        <w:rPr>
          <w:lang w:val="zh-CN" w:eastAsia="zh-CN"/>
        </w:rPr>
        <w:t>COP</w:t>
      </w:r>
      <w:r>
        <w:rPr>
          <w:lang w:val="zh-CN" w:eastAsia="zh-CN"/>
        </w:rPr>
        <w:t>举措制定并实施路线图；</w:t>
      </w:r>
    </w:p>
    <w:p w14:paraId="0D6B36EF" w14:textId="20DB4402" w:rsidR="00E01F27" w:rsidRPr="00885987" w:rsidRDefault="00E01F27" w:rsidP="00E01F27">
      <w:pPr>
        <w:rPr>
          <w:rFonts w:eastAsia="Calibri"/>
          <w:lang w:eastAsia="zh-CN"/>
        </w:rPr>
      </w:pPr>
      <w:r>
        <w:rPr>
          <w:i/>
          <w:iCs/>
          <w:lang w:val="zh-CN" w:eastAsia="zh-CN"/>
        </w:rPr>
        <w:t>c)</w:t>
      </w:r>
      <w:r w:rsidR="002D4DE9">
        <w:rPr>
          <w:i/>
          <w:iCs/>
          <w:lang w:val="zh-CN" w:eastAsia="zh-CN"/>
        </w:rPr>
        <w:tab/>
      </w:r>
      <w:r>
        <w:rPr>
          <w:lang w:val="zh-CN" w:eastAsia="zh-CN"/>
        </w:rPr>
        <w:t>继续与相关利益攸关方合作，协调有关</w:t>
      </w:r>
      <w:r>
        <w:rPr>
          <w:lang w:val="zh-CN" w:eastAsia="zh-CN"/>
        </w:rPr>
        <w:t>COP</w:t>
      </w:r>
      <w:r>
        <w:rPr>
          <w:lang w:val="zh-CN" w:eastAsia="zh-CN"/>
        </w:rPr>
        <w:t>的各项举措</w:t>
      </w:r>
      <w:r w:rsidR="003E18A3">
        <w:rPr>
          <w:rFonts w:hint="eastAsia"/>
          <w:lang w:val="zh-CN" w:eastAsia="zh-CN"/>
        </w:rPr>
        <w:t>，</w:t>
      </w:r>
    </w:p>
    <w:p w14:paraId="65271B54" w14:textId="77777777" w:rsidR="00E01F27" w:rsidRPr="00885987" w:rsidRDefault="00E01F27" w:rsidP="00E01F27">
      <w:pPr>
        <w:pStyle w:val="Call"/>
        <w:rPr>
          <w:rFonts w:eastAsia="Calibri"/>
          <w:lang w:eastAsia="zh-CN"/>
        </w:rPr>
      </w:pPr>
      <w:r w:rsidRPr="004641A0">
        <w:rPr>
          <w:rFonts w:eastAsia="STKaiti"/>
          <w:lang w:val="zh-CN" w:eastAsia="zh-CN"/>
        </w:rPr>
        <w:t>认识到</w:t>
      </w:r>
    </w:p>
    <w:p w14:paraId="285061AC" w14:textId="7E45C2A4" w:rsidR="00E01F27" w:rsidRPr="002D4DE9" w:rsidRDefault="00E01F27" w:rsidP="00E01F27">
      <w:pPr>
        <w:rPr>
          <w:lang w:val="en-US" w:eastAsia="zh-CN"/>
        </w:rPr>
      </w:pPr>
      <w:r>
        <w:rPr>
          <w:i/>
          <w:iCs/>
          <w:lang w:val="zh-CN" w:eastAsia="zh-CN"/>
        </w:rPr>
        <w:t>a)</w:t>
      </w:r>
      <w:r w:rsidR="002D4DE9">
        <w:rPr>
          <w:i/>
          <w:iCs/>
          <w:lang w:val="zh-CN" w:eastAsia="zh-CN"/>
        </w:rPr>
        <w:tab/>
      </w:r>
      <w:r>
        <w:rPr>
          <w:lang w:val="zh-CN" w:eastAsia="zh-CN"/>
        </w:rPr>
        <w:t>迫切需要采取紧急的集体对策，打击网上对儿童的性虐待或性剥削</w:t>
      </w:r>
      <w:r w:rsidR="002D4DE9">
        <w:rPr>
          <w:rFonts w:hint="eastAsia"/>
          <w:lang w:val="en-US" w:eastAsia="zh-CN"/>
        </w:rPr>
        <w:t>；</w:t>
      </w:r>
    </w:p>
    <w:p w14:paraId="2EBFDC80" w14:textId="2B0E6508" w:rsidR="00E01F27" w:rsidRPr="00885987" w:rsidRDefault="00E01F27" w:rsidP="00E01F27">
      <w:pPr>
        <w:rPr>
          <w:lang w:eastAsia="zh-CN"/>
        </w:rPr>
      </w:pPr>
      <w:r>
        <w:rPr>
          <w:i/>
          <w:iCs/>
          <w:lang w:val="zh-CN" w:eastAsia="zh-CN"/>
        </w:rPr>
        <w:lastRenderedPageBreak/>
        <w:t>b)</w:t>
      </w:r>
      <w:r w:rsidR="002D4DE9">
        <w:rPr>
          <w:i/>
          <w:iCs/>
          <w:lang w:val="zh-CN" w:eastAsia="zh-CN"/>
        </w:rPr>
        <w:tab/>
      </w:r>
      <w:r>
        <w:rPr>
          <w:lang w:val="zh-CN" w:eastAsia="zh-CN"/>
        </w:rPr>
        <w:t>国际电联信息通信年轻女性地图</w:t>
      </w:r>
      <w:r>
        <w:rPr>
          <w:rStyle w:val="FootnoteReference"/>
        </w:rPr>
        <w:footnoteReference w:id="2"/>
      </w:r>
      <w:r>
        <w:rPr>
          <w:lang w:val="zh-CN" w:eastAsia="zh-CN"/>
        </w:rPr>
        <w:t>显示，成员国已广泛认可信息通信年轻女性日，自</w:t>
      </w:r>
      <w:r>
        <w:rPr>
          <w:lang w:val="zh-CN" w:eastAsia="zh-CN"/>
        </w:rPr>
        <w:t>2011</w:t>
      </w:r>
      <w:r>
        <w:rPr>
          <w:lang w:val="zh-CN" w:eastAsia="zh-CN"/>
        </w:rPr>
        <w:t>年以来，</w:t>
      </w:r>
      <w:r>
        <w:rPr>
          <w:lang w:val="zh-CN" w:eastAsia="zh-CN"/>
        </w:rPr>
        <w:t>171</w:t>
      </w:r>
      <w:r>
        <w:rPr>
          <w:lang w:val="zh-CN" w:eastAsia="zh-CN"/>
        </w:rPr>
        <w:t>个国家共举办了</w:t>
      </w:r>
      <w:r>
        <w:rPr>
          <w:lang w:val="zh-CN" w:eastAsia="zh-CN"/>
        </w:rPr>
        <w:t>11 400</w:t>
      </w:r>
      <w:r>
        <w:rPr>
          <w:lang w:val="zh-CN" w:eastAsia="zh-CN"/>
        </w:rPr>
        <w:t>场国际信息通信年轻女性日庆祝活动，</w:t>
      </w:r>
    </w:p>
    <w:p w14:paraId="117AEC40" w14:textId="77777777" w:rsidR="00E01F27" w:rsidRPr="00885987" w:rsidRDefault="00E01F27" w:rsidP="00E01F27">
      <w:pPr>
        <w:pStyle w:val="Call"/>
        <w:rPr>
          <w:lang w:eastAsia="zh-CN"/>
        </w:rPr>
      </w:pPr>
      <w:r w:rsidRPr="004641A0">
        <w:rPr>
          <w:rFonts w:eastAsia="STKaiti"/>
          <w:lang w:val="zh-CN" w:eastAsia="zh-CN"/>
        </w:rPr>
        <w:t>做出决议</w:t>
      </w:r>
    </w:p>
    <w:p w14:paraId="33C60D3F" w14:textId="6BBDB58E" w:rsidR="00E01F27" w:rsidRPr="00885987" w:rsidRDefault="00E01F27" w:rsidP="00E01F27">
      <w:pPr>
        <w:rPr>
          <w:lang w:eastAsia="zh-CN"/>
        </w:rPr>
      </w:pPr>
      <w:r>
        <w:rPr>
          <w:lang w:val="zh-CN" w:eastAsia="zh-CN"/>
        </w:rPr>
        <w:t>1</w:t>
      </w:r>
      <w:r>
        <w:rPr>
          <w:lang w:val="zh-CN" w:eastAsia="zh-CN"/>
        </w:rPr>
        <w:tab/>
      </w:r>
      <w:r>
        <w:rPr>
          <w:lang w:val="zh-CN" w:eastAsia="zh-CN"/>
        </w:rPr>
        <w:t>利用在线安全信息和资源，促进、协调和支持数字包容性相关计划以及国际电联牵头的有关儿童权利和福利的项目</w:t>
      </w:r>
      <w:r w:rsidR="002D4DE9">
        <w:rPr>
          <w:rFonts w:hint="eastAsia"/>
          <w:lang w:val="zh-CN" w:eastAsia="zh-CN"/>
        </w:rPr>
        <w:t>；</w:t>
      </w:r>
    </w:p>
    <w:p w14:paraId="4FF6F3FD" w14:textId="77777777" w:rsidR="00E01F27" w:rsidRPr="00885987" w:rsidRDefault="00E01F27" w:rsidP="00E01F27">
      <w:pPr>
        <w:rPr>
          <w:lang w:eastAsia="zh-CN"/>
        </w:rPr>
      </w:pPr>
      <w:r>
        <w:rPr>
          <w:lang w:val="zh-CN" w:eastAsia="zh-CN"/>
        </w:rPr>
        <w:t>2</w:t>
      </w:r>
      <w:r>
        <w:rPr>
          <w:lang w:val="zh-CN" w:eastAsia="zh-CN"/>
        </w:rPr>
        <w:tab/>
      </w:r>
      <w:r>
        <w:rPr>
          <w:lang w:val="zh-CN" w:eastAsia="zh-CN"/>
        </w:rPr>
        <w:t>划拨必要资源，确保赋予儿童和青年能力，掌握在线安全技能，</w:t>
      </w:r>
    </w:p>
    <w:p w14:paraId="4FFB2366" w14:textId="77777777" w:rsidR="00E01F27" w:rsidRPr="003E18A3" w:rsidRDefault="00E01F27" w:rsidP="00E01F27">
      <w:pPr>
        <w:pStyle w:val="Call"/>
        <w:rPr>
          <w:rFonts w:asciiTheme="minorHAnsi" w:eastAsia="Calibri" w:hAnsiTheme="minorHAnsi" w:cstheme="minorHAnsi"/>
          <w:iCs/>
          <w:lang w:eastAsia="zh-CN"/>
        </w:rPr>
      </w:pPr>
      <w:r w:rsidRPr="004641A0">
        <w:rPr>
          <w:rFonts w:eastAsia="STKaiti"/>
          <w:lang w:val="zh-CN" w:eastAsia="zh-CN"/>
        </w:rPr>
        <w:t>请成员国和部门成员</w:t>
      </w:r>
    </w:p>
    <w:p w14:paraId="7089EEDF" w14:textId="58AD0B69" w:rsidR="00E01F27" w:rsidRPr="00885987" w:rsidRDefault="00E01F27" w:rsidP="00E01F27">
      <w:pPr>
        <w:rPr>
          <w:lang w:eastAsia="zh-CN"/>
        </w:rPr>
      </w:pPr>
      <w:r>
        <w:rPr>
          <w:lang w:val="zh-CN" w:eastAsia="zh-CN"/>
        </w:rPr>
        <w:t>1</w:t>
      </w:r>
      <w:r>
        <w:rPr>
          <w:lang w:val="zh-CN" w:eastAsia="zh-CN"/>
        </w:rPr>
        <w:tab/>
      </w:r>
      <w:r>
        <w:rPr>
          <w:lang w:val="zh-CN" w:eastAsia="zh-CN"/>
        </w:rPr>
        <w:t>通过庆祝信息通信年轻女性</w:t>
      </w:r>
      <w:r>
        <w:rPr>
          <w:rFonts w:hint="eastAsia"/>
          <w:lang w:val="zh-CN" w:eastAsia="zh-CN"/>
        </w:rPr>
        <w:t>日</w:t>
      </w:r>
      <w:r>
        <w:rPr>
          <w:lang w:val="zh-CN" w:eastAsia="zh-CN"/>
        </w:rPr>
        <w:t>等具体项目，</w:t>
      </w:r>
      <w:r w:rsidR="00064860" w:rsidRPr="00064860">
        <w:rPr>
          <w:rFonts w:hint="eastAsia"/>
          <w:lang w:val="zh-CN" w:eastAsia="zh-CN"/>
        </w:rPr>
        <w:t>将</w:t>
      </w:r>
      <w:r w:rsidR="00064860">
        <w:rPr>
          <w:lang w:val="zh-CN" w:eastAsia="zh-CN"/>
        </w:rPr>
        <w:t>COP</w:t>
      </w:r>
      <w:r w:rsidR="00064860">
        <w:rPr>
          <w:lang w:val="zh-CN" w:eastAsia="zh-CN"/>
        </w:rPr>
        <w:t>的战略性活动</w:t>
      </w:r>
      <w:r w:rsidR="00064860" w:rsidRPr="00064860">
        <w:rPr>
          <w:rFonts w:hint="eastAsia"/>
          <w:lang w:val="zh-CN" w:eastAsia="zh-CN"/>
        </w:rPr>
        <w:t>列为重点</w:t>
      </w:r>
      <w:r w:rsidR="00064860">
        <w:rPr>
          <w:rFonts w:hint="eastAsia"/>
          <w:lang w:val="zh-CN" w:eastAsia="zh-CN"/>
        </w:rPr>
        <w:t>工作</w:t>
      </w:r>
      <w:r w:rsidR="00064860" w:rsidRPr="00064860">
        <w:rPr>
          <w:rFonts w:hint="eastAsia"/>
          <w:lang w:val="zh-CN" w:eastAsia="zh-CN"/>
        </w:rPr>
        <w:t>，将其</w:t>
      </w:r>
      <w:r w:rsidR="00064860">
        <w:rPr>
          <w:rFonts w:hint="eastAsia"/>
          <w:lang w:val="zh-CN" w:eastAsia="zh-CN"/>
        </w:rPr>
        <w:t>主流化</w:t>
      </w:r>
      <w:r w:rsidR="00064860" w:rsidRPr="00064860">
        <w:rPr>
          <w:rFonts w:hint="eastAsia"/>
          <w:lang w:val="zh-CN" w:eastAsia="zh-CN"/>
        </w:rPr>
        <w:t>并予以加强</w:t>
      </w:r>
      <w:r w:rsidR="002D4DE9">
        <w:rPr>
          <w:rFonts w:hint="eastAsia"/>
          <w:lang w:val="zh-CN" w:eastAsia="zh-CN"/>
        </w:rPr>
        <w:t>；</w:t>
      </w:r>
    </w:p>
    <w:p w14:paraId="1FCD8436" w14:textId="3AEB7514" w:rsidR="00E01F27" w:rsidRDefault="00E01F27" w:rsidP="00C872C5">
      <w:pPr>
        <w:rPr>
          <w:lang w:eastAsia="zh-CN"/>
        </w:rPr>
      </w:pPr>
      <w:r>
        <w:rPr>
          <w:lang w:val="zh-CN" w:eastAsia="zh-CN"/>
        </w:rPr>
        <w:t>2</w:t>
      </w:r>
      <w:r>
        <w:rPr>
          <w:lang w:val="zh-CN" w:eastAsia="zh-CN"/>
        </w:rPr>
        <w:tab/>
      </w:r>
      <w:r w:rsidR="00064860">
        <w:rPr>
          <w:rFonts w:hint="eastAsia"/>
          <w:lang w:val="zh-CN" w:eastAsia="zh-CN"/>
        </w:rPr>
        <w:t>就此事宜</w:t>
      </w:r>
      <w:r>
        <w:rPr>
          <w:lang w:val="zh-CN" w:eastAsia="zh-CN"/>
        </w:rPr>
        <w:t>，通过国际电联与其它成员开展协作。</w:t>
      </w:r>
    </w:p>
    <w:p w14:paraId="36B36914" w14:textId="77777777" w:rsidR="00C872C5" w:rsidRDefault="00C872C5" w:rsidP="00411C49">
      <w:pPr>
        <w:pStyle w:val="Reasons"/>
      </w:pPr>
    </w:p>
    <w:p w14:paraId="6D1E1909" w14:textId="7BFE6068" w:rsidR="00C872C5" w:rsidRPr="00C872C5" w:rsidRDefault="00C872C5" w:rsidP="00C872C5">
      <w:pPr>
        <w:jc w:val="center"/>
      </w:pPr>
      <w:r>
        <w:t>______________</w:t>
      </w:r>
    </w:p>
    <w:sectPr w:rsidR="00C872C5" w:rsidRPr="00C872C5" w:rsidSect="00E24D59">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8FEEA" w14:textId="77777777" w:rsidR="00874C82" w:rsidRDefault="00874C82">
      <w:r>
        <w:separator/>
      </w:r>
    </w:p>
  </w:endnote>
  <w:endnote w:type="continuationSeparator" w:id="0">
    <w:p w14:paraId="15AF9C08" w14:textId="77777777" w:rsidR="00874C82" w:rsidRDefault="0087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5652288" w14:textId="77777777" w:rsidTr="00E31DCE">
      <w:trPr>
        <w:jc w:val="center"/>
      </w:trPr>
      <w:tc>
        <w:tcPr>
          <w:tcW w:w="1803" w:type="dxa"/>
          <w:vAlign w:val="center"/>
        </w:tcPr>
        <w:p w14:paraId="2E33C152" w14:textId="5CDEE78D" w:rsidR="00E24D59" w:rsidRPr="003E18A3" w:rsidRDefault="003E18A3" w:rsidP="00E24D59">
          <w:pPr>
            <w:pStyle w:val="Header"/>
            <w:jc w:val="left"/>
            <w:rPr>
              <w:rFonts w:eastAsiaTheme="minorEastAsia" w:hint="eastAsia"/>
              <w:noProof/>
              <w:lang w:eastAsia="zh-CN"/>
            </w:rPr>
          </w:pPr>
          <w:r>
            <w:rPr>
              <w:rFonts w:eastAsiaTheme="minorEastAsia" w:hint="eastAsia"/>
              <w:noProof/>
              <w:lang w:eastAsia="zh-CN"/>
            </w:rPr>
            <w:t>2401096</w:t>
          </w:r>
        </w:p>
      </w:tc>
      <w:tc>
        <w:tcPr>
          <w:tcW w:w="8261" w:type="dxa"/>
        </w:tcPr>
        <w:p w14:paraId="128C249C" w14:textId="01F3F014"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6F4C43">
            <w:rPr>
              <w:bCs/>
            </w:rPr>
            <w:t>126</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3EA752D"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EA587E7" w14:textId="77777777" w:rsidTr="00E31DCE">
      <w:trPr>
        <w:jc w:val="center"/>
      </w:trPr>
      <w:tc>
        <w:tcPr>
          <w:tcW w:w="1803" w:type="dxa"/>
          <w:vAlign w:val="center"/>
        </w:tcPr>
        <w:p w14:paraId="77D90C33" w14:textId="0977243F" w:rsidR="00E24D59" w:rsidRDefault="00E24D59" w:rsidP="00E24D59">
          <w:pPr>
            <w:pStyle w:val="Header"/>
            <w:jc w:val="left"/>
            <w:rPr>
              <w:noProof/>
            </w:rPr>
          </w:pPr>
          <w:r w:rsidRPr="00B93453">
            <w:rPr>
              <w:color w:val="0563C1"/>
              <w:szCs w:val="14"/>
            </w:rPr>
            <w:t>www.itu.int/council</w:t>
          </w:r>
        </w:p>
      </w:tc>
      <w:tc>
        <w:tcPr>
          <w:tcW w:w="8261" w:type="dxa"/>
        </w:tcPr>
        <w:p w14:paraId="5CB609DF" w14:textId="4E568265"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6F4C43">
            <w:rPr>
              <w:bCs/>
            </w:rPr>
            <w:t>126</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F5B853B"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2DAB5" w14:textId="77777777" w:rsidR="00874C82" w:rsidRDefault="00874C82">
      <w:r>
        <w:t>____________________</w:t>
      </w:r>
    </w:p>
  </w:footnote>
  <w:footnote w:type="continuationSeparator" w:id="0">
    <w:p w14:paraId="4C9587B9" w14:textId="77777777" w:rsidR="00874C82" w:rsidRDefault="00874C82">
      <w:r>
        <w:continuationSeparator/>
      </w:r>
    </w:p>
  </w:footnote>
  <w:footnote w:id="1">
    <w:p w14:paraId="2A55DDAA" w14:textId="35DE9350" w:rsidR="00E01F27" w:rsidRPr="00ED0A16" w:rsidRDefault="00E01F27" w:rsidP="002D4DE9">
      <w:pPr>
        <w:pStyle w:val="FootnoteText"/>
        <w:tabs>
          <w:tab w:val="clear" w:pos="255"/>
          <w:tab w:val="clear" w:pos="794"/>
          <w:tab w:val="clear" w:pos="1191"/>
          <w:tab w:val="clear" w:pos="1588"/>
          <w:tab w:val="clear" w:pos="1985"/>
        </w:tabs>
        <w:rPr>
          <w:lang w:eastAsia="zh-CN"/>
        </w:rPr>
      </w:pPr>
      <w:r>
        <w:rPr>
          <w:rStyle w:val="FootnoteReference"/>
        </w:rPr>
        <w:footnoteRef/>
      </w:r>
      <w:r w:rsidR="002D4DE9">
        <w:rPr>
          <w:lang w:eastAsia="zh-CN"/>
        </w:rPr>
        <w:tab/>
      </w:r>
      <w:r w:rsidRPr="00E60286">
        <w:rPr>
          <w:rFonts w:hint="eastAsia"/>
          <w:sz w:val="20"/>
          <w:lang w:eastAsia="zh-CN"/>
        </w:rPr>
        <w:t>这些国家包括最不发达国家、小岛屿发展中国家、内陆发展中国家和经济转型国家。</w:t>
      </w:r>
    </w:p>
  </w:footnote>
  <w:footnote w:id="2">
    <w:p w14:paraId="3B2598A0" w14:textId="7C1EB4EF" w:rsidR="00E01F27" w:rsidRPr="00E31D14" w:rsidRDefault="00E01F27" w:rsidP="00E01F27">
      <w:pPr>
        <w:pStyle w:val="FootnoteText"/>
        <w:tabs>
          <w:tab w:val="clear" w:pos="255"/>
        </w:tabs>
        <w:ind w:left="284" w:hanging="284"/>
      </w:pPr>
      <w:r>
        <w:rPr>
          <w:rStyle w:val="FootnoteReference"/>
        </w:rPr>
        <w:footnoteRef/>
      </w:r>
      <w:r>
        <w:tab/>
      </w:r>
      <w:bookmarkStart w:id="7" w:name="lt_pId119"/>
      <w:proofErr w:type="spellStart"/>
      <w:r w:rsidRPr="00E60286">
        <w:rPr>
          <w:rFonts w:hint="eastAsia"/>
          <w:sz w:val="20"/>
        </w:rPr>
        <w:t>数据来自国际电联信息通信年轻女性地图</w:t>
      </w:r>
      <w:proofErr w:type="spellEnd"/>
      <w:hyperlink r:id="rId1" w:history="1">
        <w:r w:rsidRPr="00266620">
          <w:rPr>
            <w:rStyle w:val="Hyperlink"/>
            <w:sz w:val="20"/>
          </w:rPr>
          <w:t>https://www.itu.int/en/ITU-D/Digital-Inclusion/Women-and-Girls/Girls-in-ICT-Portal/Pages/Portaldev.aspx</w:t>
        </w:r>
      </w:hyperlink>
      <w:bookmarkEnd w:id="7"/>
      <w:r w:rsidR="003069DE">
        <w:rPr>
          <w:rFonts w:hint="eastAsia"/>
          <w:sz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4FC1C57A" w14:textId="77777777" w:rsidTr="00E31DCE">
      <w:trPr>
        <w:trHeight w:val="1104"/>
        <w:jc w:val="center"/>
      </w:trPr>
      <w:tc>
        <w:tcPr>
          <w:tcW w:w="4390" w:type="dxa"/>
          <w:vAlign w:val="center"/>
        </w:tcPr>
        <w:p w14:paraId="007B3524" w14:textId="4B888FB1" w:rsidR="00E24D59" w:rsidRPr="009621F8" w:rsidRDefault="00B93453" w:rsidP="00E24D59">
          <w:pPr>
            <w:pStyle w:val="Header"/>
            <w:jc w:val="left"/>
            <w:rPr>
              <w:rFonts w:ascii="Arial" w:hAnsi="Arial" w:cs="Arial"/>
              <w:b/>
              <w:bCs/>
              <w:color w:val="009CD6"/>
              <w:sz w:val="36"/>
              <w:szCs w:val="36"/>
            </w:rPr>
          </w:pPr>
          <w:bookmarkStart w:id="8" w:name="_Hlk133422111"/>
          <w:r>
            <w:rPr>
              <w:noProof/>
            </w:rPr>
            <w:drawing>
              <wp:inline distT="0" distB="0" distL="0" distR="0" wp14:anchorId="7D00D696" wp14:editId="7A28FD21">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11B2470D" w14:textId="77777777" w:rsidR="00E24D59" w:rsidRDefault="00E24D59" w:rsidP="00E24D59">
          <w:pPr>
            <w:pStyle w:val="Header"/>
            <w:jc w:val="right"/>
            <w:rPr>
              <w:rFonts w:ascii="Arial" w:hAnsi="Arial" w:cs="Arial"/>
              <w:b/>
              <w:bCs/>
              <w:color w:val="009CD6"/>
              <w:szCs w:val="18"/>
            </w:rPr>
          </w:pPr>
        </w:p>
        <w:p w14:paraId="7F5C6E33" w14:textId="77777777" w:rsidR="00E24D59" w:rsidRDefault="00E24D59" w:rsidP="00E24D59">
          <w:pPr>
            <w:pStyle w:val="Header"/>
            <w:jc w:val="right"/>
            <w:rPr>
              <w:rFonts w:ascii="Arial" w:hAnsi="Arial" w:cs="Arial"/>
              <w:b/>
              <w:bCs/>
              <w:color w:val="009CD6"/>
              <w:szCs w:val="18"/>
            </w:rPr>
          </w:pPr>
        </w:p>
        <w:p w14:paraId="17FC93E0"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57C1AFA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0251A85" wp14:editId="1A77325E">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92B04"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676D0B"/>
    <w:multiLevelType w:val="multilevel"/>
    <w:tmpl w:val="6DFCF0C8"/>
    <w:lvl w:ilvl="0">
      <w:start w:val="2"/>
      <w:numFmt w:val="decimal"/>
      <w:lvlText w:val="%1"/>
      <w:lvlJc w:val="left"/>
      <w:pPr>
        <w:ind w:left="360" w:hanging="360"/>
      </w:pPr>
      <w:rPr>
        <w:rFonts w:ascii="Calibri" w:eastAsia="SimSun" w:hAnsi="Calibri" w:cs="Calibri" w:hint="default"/>
      </w:rPr>
    </w:lvl>
    <w:lvl w:ilvl="1">
      <w:start w:val="2"/>
      <w:numFmt w:val="decimal"/>
      <w:lvlText w:val="%1.%2"/>
      <w:lvlJc w:val="left"/>
      <w:pPr>
        <w:ind w:left="360" w:hanging="360"/>
      </w:pPr>
      <w:rPr>
        <w:rFonts w:ascii="Calibri" w:eastAsia="SimSun" w:hAnsi="Calibri" w:cs="Calibri" w:hint="default"/>
      </w:rPr>
    </w:lvl>
    <w:lvl w:ilvl="2">
      <w:start w:val="1"/>
      <w:numFmt w:val="decimal"/>
      <w:lvlText w:val="%1.%2.%3"/>
      <w:lvlJc w:val="left"/>
      <w:pPr>
        <w:ind w:left="720" w:hanging="720"/>
      </w:pPr>
      <w:rPr>
        <w:rFonts w:ascii="Calibri" w:eastAsia="SimSun" w:hAnsi="Calibri" w:cs="Calibri" w:hint="default"/>
      </w:rPr>
    </w:lvl>
    <w:lvl w:ilvl="3">
      <w:start w:val="1"/>
      <w:numFmt w:val="decimal"/>
      <w:lvlText w:val="%1.%2.%3.%4"/>
      <w:lvlJc w:val="left"/>
      <w:pPr>
        <w:ind w:left="720" w:hanging="720"/>
      </w:pPr>
      <w:rPr>
        <w:rFonts w:ascii="Calibri" w:eastAsia="SimSun" w:hAnsi="Calibri" w:cs="Calibri" w:hint="default"/>
      </w:rPr>
    </w:lvl>
    <w:lvl w:ilvl="4">
      <w:start w:val="1"/>
      <w:numFmt w:val="decimal"/>
      <w:lvlText w:val="%1.%2.%3.%4.%5"/>
      <w:lvlJc w:val="left"/>
      <w:pPr>
        <w:ind w:left="1080" w:hanging="1080"/>
      </w:pPr>
      <w:rPr>
        <w:rFonts w:ascii="Calibri" w:eastAsia="SimSun" w:hAnsi="Calibri" w:cs="Calibri" w:hint="default"/>
      </w:rPr>
    </w:lvl>
    <w:lvl w:ilvl="5">
      <w:start w:val="1"/>
      <w:numFmt w:val="decimal"/>
      <w:lvlText w:val="%1.%2.%3.%4.%5.%6"/>
      <w:lvlJc w:val="left"/>
      <w:pPr>
        <w:ind w:left="1080" w:hanging="1080"/>
      </w:pPr>
      <w:rPr>
        <w:rFonts w:ascii="Calibri" w:eastAsia="SimSun" w:hAnsi="Calibri" w:cs="Calibri" w:hint="default"/>
      </w:rPr>
    </w:lvl>
    <w:lvl w:ilvl="6">
      <w:start w:val="1"/>
      <w:numFmt w:val="decimal"/>
      <w:lvlText w:val="%1.%2.%3.%4.%5.%6.%7"/>
      <w:lvlJc w:val="left"/>
      <w:pPr>
        <w:ind w:left="1440" w:hanging="1440"/>
      </w:pPr>
      <w:rPr>
        <w:rFonts w:ascii="Calibri" w:eastAsia="SimSun" w:hAnsi="Calibri" w:cs="Calibri" w:hint="default"/>
      </w:rPr>
    </w:lvl>
    <w:lvl w:ilvl="7">
      <w:start w:val="1"/>
      <w:numFmt w:val="decimal"/>
      <w:lvlText w:val="%1.%2.%3.%4.%5.%6.%7.%8"/>
      <w:lvlJc w:val="left"/>
      <w:pPr>
        <w:ind w:left="1440" w:hanging="1440"/>
      </w:pPr>
      <w:rPr>
        <w:rFonts w:ascii="Calibri" w:eastAsia="SimSun" w:hAnsi="Calibri" w:cs="Calibri" w:hint="default"/>
      </w:rPr>
    </w:lvl>
    <w:lvl w:ilvl="8">
      <w:start w:val="1"/>
      <w:numFmt w:val="decimal"/>
      <w:lvlText w:val="%1.%2.%3.%4.%5.%6.%7.%8.%9"/>
      <w:lvlJc w:val="left"/>
      <w:pPr>
        <w:ind w:left="1800" w:hanging="1800"/>
      </w:pPr>
      <w:rPr>
        <w:rFonts w:ascii="Calibri" w:eastAsia="SimSun" w:hAnsi="Calibri" w:cs="Calibri" w:hint="default"/>
      </w:rPr>
    </w:lvl>
  </w:abstractNum>
  <w:abstractNum w:abstractNumId="2" w15:restartNumberingAfterBreak="0">
    <w:nsid w:val="13CA613F"/>
    <w:multiLevelType w:val="hybridMultilevel"/>
    <w:tmpl w:val="6244362A"/>
    <w:lvl w:ilvl="0" w:tplc="FB66012C">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B40D4B"/>
    <w:multiLevelType w:val="hybridMultilevel"/>
    <w:tmpl w:val="3EB06EB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6822280"/>
    <w:multiLevelType w:val="hybridMultilevel"/>
    <w:tmpl w:val="68BA3FD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1" w15:restartNumberingAfterBreak="0">
    <w:nsid w:val="793D604C"/>
    <w:multiLevelType w:val="hybridMultilevel"/>
    <w:tmpl w:val="4FAE45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9449368">
    <w:abstractNumId w:val="0"/>
  </w:num>
  <w:num w:numId="2" w16cid:durableId="501241818">
    <w:abstractNumId w:val="5"/>
  </w:num>
  <w:num w:numId="3" w16cid:durableId="371539808">
    <w:abstractNumId w:val="6"/>
  </w:num>
  <w:num w:numId="4" w16cid:durableId="1525828948">
    <w:abstractNumId w:val="7"/>
  </w:num>
  <w:num w:numId="5" w16cid:durableId="2033219779">
    <w:abstractNumId w:val="9"/>
  </w:num>
  <w:num w:numId="6" w16cid:durableId="349645790">
    <w:abstractNumId w:val="8"/>
  </w:num>
  <w:num w:numId="7" w16cid:durableId="1451586466">
    <w:abstractNumId w:val="3"/>
  </w:num>
  <w:num w:numId="8" w16cid:durableId="708533826">
    <w:abstractNumId w:val="11"/>
    <w:lvlOverride w:ilvl="0">
      <w:lvl w:ilvl="0" w:tplc="08090017">
        <w:start w:val="1"/>
        <w:numFmt w:val="lowerLetter"/>
        <w:lvlText w:val="%1)"/>
        <w:lvlJc w:val="left"/>
        <w:pPr>
          <w:ind w:left="720" w:hanging="360"/>
        </w:pPr>
        <w:rPr>
          <w:rFonts w:hint="default"/>
        </w:rPr>
      </w:lvl>
    </w:lvlOverride>
  </w:num>
  <w:num w:numId="9" w16cid:durableId="2112315746">
    <w:abstractNumId w:val="1"/>
  </w:num>
  <w:num w:numId="10" w16cid:durableId="1262491437">
    <w:abstractNumId w:val="10"/>
    <w:lvlOverride w:ilvl="0">
      <w:lvl w:ilvl="0" w:tplc="08090001">
        <w:start w:val="1"/>
        <w:numFmt w:val="bullet"/>
        <w:lvlText w:val=""/>
        <w:lvlJc w:val="left"/>
        <w:pPr>
          <w:ind w:left="1065" w:hanging="360"/>
        </w:pPr>
        <w:rPr>
          <w:rFonts w:ascii="Symbol" w:hAnsi="Symbol" w:hint="default"/>
        </w:rPr>
      </w:lvl>
    </w:lvlOverride>
  </w:num>
  <w:num w:numId="11" w16cid:durableId="1397321369">
    <w:abstractNumId w:val="2"/>
    <w:lvlOverride w:ilvl="0">
      <w:lvl w:ilvl="0" w:tplc="FB66012C">
        <w:start w:val="2"/>
        <w:numFmt w:val="bullet"/>
        <w:lvlText w:val="-"/>
        <w:lvlJc w:val="left"/>
        <w:pPr>
          <w:ind w:left="720" w:hanging="360"/>
        </w:pPr>
        <w:rPr>
          <w:rFonts w:ascii="Calibri" w:eastAsia="Times New Roman" w:hAnsi="Calibri" w:cs="Calibri" w:hint="default"/>
        </w:rPr>
      </w:lvl>
    </w:lvlOverride>
  </w:num>
  <w:num w:numId="12" w16cid:durableId="351877986">
    <w:abstractNumId w:val="4"/>
    <w:lvlOverride w:ilvl="0">
      <w:lvl w:ilvl="0" w:tplc="08090001">
        <w:start w:val="1"/>
        <w:numFmt w:val="bullet"/>
        <w:lvlText w:val=""/>
        <w:lvlJc w:val="left"/>
        <w:pPr>
          <w:ind w:left="1069"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64860"/>
    <w:rsid w:val="000853C0"/>
    <w:rsid w:val="0009409E"/>
    <w:rsid w:val="000A1C21"/>
    <w:rsid w:val="000C0BC5"/>
    <w:rsid w:val="000D15EA"/>
    <w:rsid w:val="000E02A0"/>
    <w:rsid w:val="00100D84"/>
    <w:rsid w:val="00124C9D"/>
    <w:rsid w:val="00157773"/>
    <w:rsid w:val="001710A4"/>
    <w:rsid w:val="0018251A"/>
    <w:rsid w:val="00190272"/>
    <w:rsid w:val="00193244"/>
    <w:rsid w:val="00195C6C"/>
    <w:rsid w:val="00195FED"/>
    <w:rsid w:val="001A4BD6"/>
    <w:rsid w:val="001B47EB"/>
    <w:rsid w:val="001D503F"/>
    <w:rsid w:val="001D5A18"/>
    <w:rsid w:val="00224449"/>
    <w:rsid w:val="00280EB8"/>
    <w:rsid w:val="002A6670"/>
    <w:rsid w:val="002D4DE9"/>
    <w:rsid w:val="00303502"/>
    <w:rsid w:val="003069DE"/>
    <w:rsid w:val="00325C25"/>
    <w:rsid w:val="00372C8F"/>
    <w:rsid w:val="00380ECE"/>
    <w:rsid w:val="00393DDF"/>
    <w:rsid w:val="00397F55"/>
    <w:rsid w:val="003B4454"/>
    <w:rsid w:val="003C2E37"/>
    <w:rsid w:val="003E18A3"/>
    <w:rsid w:val="003F1415"/>
    <w:rsid w:val="0040144C"/>
    <w:rsid w:val="00403EB7"/>
    <w:rsid w:val="00430BF0"/>
    <w:rsid w:val="00442621"/>
    <w:rsid w:val="0044717B"/>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30DD5"/>
    <w:rsid w:val="00654257"/>
    <w:rsid w:val="0065435A"/>
    <w:rsid w:val="006A2DD3"/>
    <w:rsid w:val="006A5AF8"/>
    <w:rsid w:val="006C36CD"/>
    <w:rsid w:val="006E0E42"/>
    <w:rsid w:val="006F4C43"/>
    <w:rsid w:val="00700D1F"/>
    <w:rsid w:val="007205CB"/>
    <w:rsid w:val="00726073"/>
    <w:rsid w:val="00734FE8"/>
    <w:rsid w:val="007360CE"/>
    <w:rsid w:val="00772315"/>
    <w:rsid w:val="00775157"/>
    <w:rsid w:val="007813AE"/>
    <w:rsid w:val="007A37DB"/>
    <w:rsid w:val="007E189D"/>
    <w:rsid w:val="007F0210"/>
    <w:rsid w:val="00806E3F"/>
    <w:rsid w:val="00811259"/>
    <w:rsid w:val="00813AA2"/>
    <w:rsid w:val="008173A3"/>
    <w:rsid w:val="00831672"/>
    <w:rsid w:val="008418F5"/>
    <w:rsid w:val="0086059C"/>
    <w:rsid w:val="00864589"/>
    <w:rsid w:val="00874C82"/>
    <w:rsid w:val="00890AFB"/>
    <w:rsid w:val="00890FC4"/>
    <w:rsid w:val="00895905"/>
    <w:rsid w:val="008D70D2"/>
    <w:rsid w:val="008F64AD"/>
    <w:rsid w:val="00911867"/>
    <w:rsid w:val="009164A9"/>
    <w:rsid w:val="009258CB"/>
    <w:rsid w:val="0093362E"/>
    <w:rsid w:val="00944563"/>
    <w:rsid w:val="00944FD4"/>
    <w:rsid w:val="00953160"/>
    <w:rsid w:val="009625D8"/>
    <w:rsid w:val="0098459B"/>
    <w:rsid w:val="00997185"/>
    <w:rsid w:val="009C2458"/>
    <w:rsid w:val="009C4A7B"/>
    <w:rsid w:val="009C6123"/>
    <w:rsid w:val="009F1E3E"/>
    <w:rsid w:val="00A1213C"/>
    <w:rsid w:val="00A272FF"/>
    <w:rsid w:val="00A5354B"/>
    <w:rsid w:val="00A71B57"/>
    <w:rsid w:val="00AB42C1"/>
    <w:rsid w:val="00AC4BF8"/>
    <w:rsid w:val="00AC516F"/>
    <w:rsid w:val="00AE195F"/>
    <w:rsid w:val="00AE2926"/>
    <w:rsid w:val="00B0184B"/>
    <w:rsid w:val="00B035CD"/>
    <w:rsid w:val="00B0769D"/>
    <w:rsid w:val="00B217F8"/>
    <w:rsid w:val="00B332EA"/>
    <w:rsid w:val="00B40A53"/>
    <w:rsid w:val="00B45365"/>
    <w:rsid w:val="00B46A65"/>
    <w:rsid w:val="00B60184"/>
    <w:rsid w:val="00B61A64"/>
    <w:rsid w:val="00B62D20"/>
    <w:rsid w:val="00B81E75"/>
    <w:rsid w:val="00B93453"/>
    <w:rsid w:val="00BD0954"/>
    <w:rsid w:val="00BD1A5A"/>
    <w:rsid w:val="00BD7A9B"/>
    <w:rsid w:val="00BD7BE1"/>
    <w:rsid w:val="00BF416B"/>
    <w:rsid w:val="00C45EB2"/>
    <w:rsid w:val="00C46320"/>
    <w:rsid w:val="00C64E4E"/>
    <w:rsid w:val="00C66E64"/>
    <w:rsid w:val="00C761A0"/>
    <w:rsid w:val="00C85F7E"/>
    <w:rsid w:val="00C86A0A"/>
    <w:rsid w:val="00C872C5"/>
    <w:rsid w:val="00C8774B"/>
    <w:rsid w:val="00C90D53"/>
    <w:rsid w:val="00CA0B2E"/>
    <w:rsid w:val="00CA6EF7"/>
    <w:rsid w:val="00CD47F0"/>
    <w:rsid w:val="00CD5566"/>
    <w:rsid w:val="00CD64D7"/>
    <w:rsid w:val="00CE6F22"/>
    <w:rsid w:val="00CF41F6"/>
    <w:rsid w:val="00CF7D3E"/>
    <w:rsid w:val="00D02B4E"/>
    <w:rsid w:val="00D21F11"/>
    <w:rsid w:val="00D36817"/>
    <w:rsid w:val="00D453EE"/>
    <w:rsid w:val="00D45691"/>
    <w:rsid w:val="00D5666C"/>
    <w:rsid w:val="00D666BC"/>
    <w:rsid w:val="00D83542"/>
    <w:rsid w:val="00D92F45"/>
    <w:rsid w:val="00D94637"/>
    <w:rsid w:val="00D9725C"/>
    <w:rsid w:val="00DA7006"/>
    <w:rsid w:val="00DB3621"/>
    <w:rsid w:val="00DC075F"/>
    <w:rsid w:val="00DC6427"/>
    <w:rsid w:val="00DD62F5"/>
    <w:rsid w:val="00DD66A1"/>
    <w:rsid w:val="00DE196D"/>
    <w:rsid w:val="00DF6B49"/>
    <w:rsid w:val="00E01F27"/>
    <w:rsid w:val="00E067C5"/>
    <w:rsid w:val="00E160A2"/>
    <w:rsid w:val="00E24D59"/>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DB9A8"/>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Pl"/>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E01F27"/>
    <w:rPr>
      <w:rFonts w:ascii="Calibri" w:eastAsia="Times New Roman" w:hAnsi="Calibri"/>
      <w:sz w:val="24"/>
      <w:lang w:val="en-GB" w:eastAsia="en-US"/>
    </w:rPr>
  </w:style>
  <w:style w:type="character" w:styleId="UnresolvedMention">
    <w:name w:val="Unresolved Mention"/>
    <w:basedOn w:val="DefaultParagraphFont"/>
    <w:uiPriority w:val="99"/>
    <w:semiHidden/>
    <w:unhideWhenUsed/>
    <w:rsid w:val="00944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D/Digital-Inclusion/Women-and-Girls/Girls-in-ICT-Portal/Pages/Portaldev.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y\AppData\Local\Microsoft\Windows\INetCache\Content.Outlook\ISBZTKHC\PC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5</TotalTime>
  <Pages>2</Pages>
  <Words>696</Words>
  <Characters>139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834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1423 - Child online protection</dc:title>
  <dc:subject>2024 session of the Council</dc:subject>
  <cp:keywords>Council-24; C24; Council 2024</cp:keywords>
  <dc:description/>
  <cp:lastPrinted>2015-02-24T13:23:00Z</cp:lastPrinted>
  <dcterms:created xsi:type="dcterms:W3CDTF">2024-06-26T11:00:00Z</dcterms:created>
  <dcterms:modified xsi:type="dcterms:W3CDTF">2024-06-26T11:04:00Z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